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0.png" ContentType="image/png"/>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1" w:name="introduction"/>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End w:id="21"/>
    <w:bookmarkStart w:id="38" w:name="economic-complexity"/>
    <w:p>
      <w:pPr>
        <w:pStyle w:val="Heading1"/>
      </w:pPr>
      <w:r>
        <w:t xml:space="preserve">2.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3"/>
        </w:numPr>
      </w:pPr>
      <w:r>
        <w:t xml:space="preserve">a country that exports t-shirts is more likely to also export pants because of the similarity of skills and equipment required</w:t>
      </w:r>
    </w:p>
    <w:p>
      <w:pPr>
        <w:numPr>
          <w:ilvl w:val="0"/>
          <w:numId w:val="1003"/>
        </w:numPr>
      </w:pPr>
      <w:r>
        <w:t xml:space="preserve">a region that specialises in copper mining is more likely to also specialise in other kinds of mining because of the similarity of skills, equipment, and co-location of minerals</w:t>
      </w:r>
    </w:p>
    <w:p>
      <w:pPr>
        <w:numPr>
          <w:ilvl w:val="0"/>
          <w:numId w:val="1003"/>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26" w:name="economic-complexity-in-australia"/>
    <w:p>
      <w:pPr>
        <w:pStyle w:val="Heading2"/>
      </w:pPr>
      <w:r>
        <w:t xml:space="preserve">2.1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2.1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25" w:name="fig-complexity-index"/>
          <w:p>
            <w:pPr>
              <w:pStyle w:val="Compact"/>
              <w:jc w:val="center"/>
            </w:pPr>
            <w:r>
              <w:drawing>
                <wp:inline>
                  <wp:extent cx="5334000" cy="3287447"/>
                  <wp:effectExtent b="0" l="0" r="0" t="0"/>
                  <wp:docPr descr="" title="" id="23" name="Picture"/>
                  <a:graphic>
                    <a:graphicData uri="http://schemas.openxmlformats.org/drawingml/2006/picture">
                      <pic:pic>
                        <pic:nvPicPr>
                          <pic:cNvPr descr="economic-complexity_files/figure-docx/fig-complexity-index-1.png" id="24" name="Picture"/>
                          <pic:cNvPicPr>
                            <a:picLocks noChangeArrowheads="1" noChangeAspect="1"/>
                          </pic:cNvPicPr>
                        </pic:nvPicPr>
                        <pic:blipFill>
                          <a:blip r:embed="rId22"/>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Economic Complexity Index, Australia, Canada, Germany</w:t>
            </w:r>
          </w:p>
          <w:bookmarkEnd w:id="25"/>
        </w:tc>
      </w:tr>
    </w:tbl>
    <w:bookmarkEnd w:id="26"/>
    <w:bookmarkStart w:id="37" w:name="X002c81b237d0e7ea4aa6242ee98c3a084447a12"/>
    <w:p>
      <w:pPr>
        <w:pStyle w:val="Heading2"/>
      </w:pPr>
      <w:r>
        <w:t xml:space="preserve">2.2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4"/>
        </w:numPr>
      </w:pPr>
      <w:r>
        <w:t xml:space="preserve">embody greater knowledge intensity and have high positive spill-overs (for example, local/domestic processing and value-adding of minerals compared to dig and ship)</w:t>
      </w:r>
    </w:p>
    <w:p>
      <w:pPr>
        <w:numPr>
          <w:ilvl w:val="0"/>
          <w:numId w:val="1004"/>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4"/>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AU011030\AppData\Local\App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tc>
      </w:tr>
    </w:tbl>
    <w:bookmarkStart w:id="35" w:name="X52a14f844cdd7e5d28d1b0254b4df4fde123a09"/>
    <w:p>
      <w:pPr>
        <w:pStyle w:val="Heading3"/>
      </w:pPr>
      <w:r>
        <w:t xml:space="preserve">2.2.1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r>
        <w:t xml:space="preserve"> </w:t>
      </w:r>
      <w:hyperlink w:anchor="tbl-capabilities">
        <w:r>
          <w:rPr>
            <w:rStyle w:val="Hyperlink"/>
          </w:rPr>
          <w:t xml:space="preserve">Table 2.1</w:t>
        </w:r>
      </w:hyperlink>
      <w:r>
        <w:t xml:space="preserve"> </w:t>
      </w:r>
      <w:r>
        <w:t xml:space="preserve">shows the top ten industries in which Whyalla has an employment capability.</w:t>
      </w:r>
    </w:p>
    <w:tbl>
      <w:tblPr>
        <w:tblStyle w:val="Table"/>
        <w:tblW w:type="pct" w:w="5000"/>
        <w:tblLayout w:type="fixed"/>
        <w:tblLook w:firstRow="0" w:lastRow="0" w:firstColumn="0" w:lastColumn="0" w:noHBand="0" w:noVBand="0" w:val="0000"/>
      </w:tblPr>
      <w:tblGrid>
        <w:gridCol w:w="7920"/>
      </w:tblGrid>
      <w:tr>
        <w:tc>
          <w:tcPr/>
          <w:bookmarkStart w:id="30" w:name="tbl-capabilities"/>
          <w:p>
            <w:pPr>
              <w:jc w:val="center"/>
            </w:pPr>
            <w:pPr>
              <w:jc w:val="start"/>
              <w:spacing w:before="200"/>
              <w:pStyle w:val="ImageCaption"/>
            </w:pPr>
            <w:r>
              <w:t xml:space="preserve">Table 2.1: Employment capabilities, Whyalla</w:t>
            </w:r>
          </w:p>
          <w:p>
            <w:pPr>
              <w:pStyle w:val="SourceCode"/>
              <w:jc w:val="center"/>
            </w:pPr>
            <w:r>
              <w:rPr>
                <w:rStyle w:val="VerbatimChar"/>
              </w:rPr>
              <w:t xml:space="preserve"># A tibble: 10 × 10</w:t>
            </w:r>
            <w:r>
              <w:br/>
            </w:r>
            <w:r>
              <w:rPr>
                <w:rStyle w:val="VerbatimChar"/>
              </w:rPr>
              <w:t xml:space="preserve">   lga     indp  count  year   rca product_complexity_i…¹ country_complexity_i…²</w:t>
            </w:r>
            <w:r>
              <w:br/>
            </w:r>
            <w:r>
              <w:rPr>
                <w:rStyle w:val="VerbatimChar"/>
              </w:rPr>
              <w:t xml:space="preserve">   &lt;chr&gt;   &lt;chr&gt; &lt;dbl&gt; &lt;dbl&gt; &lt;dbl&gt;                  &lt;dbl&gt;                  &lt;dbl&gt;</w:t>
            </w:r>
            <w:r>
              <w:br/>
            </w:r>
            <w:r>
              <w:rPr>
                <w:rStyle w:val="VerbatimChar"/>
              </w:rPr>
              <w:t xml:space="preserve"> 1 Whyalla Natu…     5  2022 13.3                  -0.126                -0.0444</w:t>
            </w:r>
            <w:r>
              <w:br/>
            </w:r>
            <w:r>
              <w:rPr>
                <w:rStyle w:val="VerbatimChar"/>
              </w:rPr>
              <w:t xml:space="preserve"> 2 Whyalla Basi…   139  2022 10.3                  -0.958                -0.0444</w:t>
            </w:r>
            <w:r>
              <w:br/>
            </w:r>
            <w:r>
              <w:rPr>
                <w:rStyle w:val="VerbatimChar"/>
              </w:rPr>
              <w:t xml:space="preserve"> 3 Whyalla Shee…    11  2022  7.02                  0.208                -0.0444</w:t>
            </w:r>
            <w:r>
              <w:br/>
            </w:r>
            <w:r>
              <w:rPr>
                <w:rStyle w:val="VerbatimChar"/>
              </w:rPr>
              <w:t xml:space="preserve"> 4 Whyalla Wate…     8  2022  6.64                  0.134                -0.0444</w:t>
            </w:r>
            <w:r>
              <w:br/>
            </w:r>
            <w:r>
              <w:rPr>
                <w:rStyle w:val="VerbatimChar"/>
              </w:rPr>
              <w:t xml:space="preserve"> 5 Whyalla Wast…    40  2022  5.14                 -0.883                -0.0444</w:t>
            </w:r>
            <w:r>
              <w:br/>
            </w:r>
            <w:r>
              <w:rPr>
                <w:rStyle w:val="VerbatimChar"/>
              </w:rPr>
              <w:t xml:space="preserve"> 6 Whyalla Meta…     9  2022  4.76                 -0.759                -0.0444</w:t>
            </w:r>
            <w:r>
              <w:br/>
            </w:r>
            <w:r>
              <w:rPr>
                <w:rStyle w:val="VerbatimChar"/>
              </w:rPr>
              <w:t xml:space="preserve"> 7 Whyalla Wate…    36  2022  4.41                 -0.321                -0.0444</w:t>
            </w:r>
            <w:r>
              <w:br/>
            </w:r>
            <w:r>
              <w:rPr>
                <w:rStyle w:val="VerbatimChar"/>
              </w:rPr>
              <w:t xml:space="preserve"> 8 Whyalla Oil …    45  2022  4.33                 -1.07                 -0.0444</w:t>
            </w:r>
            <w:r>
              <w:br/>
            </w:r>
            <w:r>
              <w:rPr>
                <w:rStyle w:val="VerbatimChar"/>
              </w:rPr>
              <w:t xml:space="preserve"> 9 Whyalla Othe…    38  2022  4.28                 -1.47                 -0.0444</w:t>
            </w:r>
            <w:r>
              <w:br/>
            </w:r>
            <w:r>
              <w:rPr>
                <w:rStyle w:val="VerbatimChar"/>
              </w:rPr>
              <w:t xml:space="preserve">10 Whyalla Basi…     5  2022  3.93                 -0.417                -0.0444</w:t>
            </w:r>
            <w:r>
              <w:br/>
            </w:r>
            <w:r>
              <w:rPr>
                <w:rStyle w:val="VerbatimChar"/>
              </w:rPr>
              <w:t xml:space="preserve"># ℹ abbreviated names: ¹​product_complexity_index, ²​country_complexity_index</w:t>
            </w:r>
            <w:r>
              <w:br/>
            </w:r>
            <w:r>
              <w:rPr>
                <w:rStyle w:val="VerbatimChar"/>
              </w:rPr>
              <w:t xml:space="preserve"># ℹ 3 more variables: complexity_outlook_index &lt;dbl&gt;, cog &lt;dbl&gt;, density &lt;dbl&gt;</w:t>
            </w:r>
          </w:p>
          <w:bookmarkEnd w:id="30"/>
        </w:tc>
      </w:tr>
    </w:tbl>
    <w:p>
      <w:pPr>
        <w:pStyle w:val="FirstParagraph"/>
      </w:pPr>
      <w:r>
        <w:t xml:space="preserve">Economic complexity analysis reveals how</w:t>
      </w:r>
      <w:r>
        <w:t xml:space="preserve"> </w:t>
      </w:r>
      <w:r>
        <w:t xml:space="preserve">“close”</w:t>
      </w:r>
      <w:r>
        <w:t xml:space="preserve"> </w:t>
      </w:r>
      <w:r>
        <w:t xml:space="preserve">other activities are to the existing set of capabilities, through a measure called</w:t>
      </w:r>
      <w:r>
        <w:t xml:space="preserve"> </w:t>
      </w:r>
      <w:r>
        <w:rPr>
          <w:i/>
          <w:iCs/>
        </w:rPr>
        <w:t xml:space="preserve">density.</w:t>
      </w:r>
    </w:p>
    <w:tbl>
      <w:tblPr>
        <w:tblStyle w:val="Table"/>
        <w:tblW w:type="pct" w:w="5000"/>
        <w:tblLayout w:type="fixed"/>
        <w:tblLook w:firstRow="0" w:lastRow="0" w:firstColumn="0" w:lastColumn="0" w:noHBand="0" w:noVBand="0" w:val="0000"/>
      </w:tblPr>
      <w:tblGrid>
        <w:gridCol w:w="7920"/>
      </w:tblGrid>
      <w:tr>
        <w:tc>
          <w:tcPr/>
          <w:bookmarkStart w:id="34" w:name="fig-density-cog"/>
          <w:p>
            <w:pPr>
              <w:pStyle w:val="Compact"/>
              <w:jc w:val="center"/>
            </w:pPr>
            <w:r>
              <w:drawing>
                <wp:inline>
                  <wp:extent cx="5334000" cy="3287447"/>
                  <wp:effectExtent b="0" l="0" r="0" t="0"/>
                  <wp:docPr descr="" title="" id="32" name="Picture"/>
                  <a:graphic>
                    <a:graphicData uri="http://schemas.openxmlformats.org/drawingml/2006/picture">
                      <pic:pic>
                        <pic:nvPicPr>
                          <pic:cNvPr descr="economic-complexity_files/figure-docx/fig-density-cog-1.png" id="33" name="Picture"/>
                          <pic:cNvPicPr>
                            <a:picLocks noChangeArrowheads="1" noChangeAspect="1"/>
                          </pic:cNvPicPr>
                        </pic:nvPicPr>
                        <pic:blipFill>
                          <a:blip r:embed="rId31"/>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Economic benefit</w:t>
            </w:r>
          </w:p>
          <w:bookmarkEnd w:id="34"/>
        </w:tc>
      </w:tr>
    </w:tbl>
    <w:p>
      <w:pPr>
        <w:numPr>
          <w:ilvl w:val="0"/>
          <w:numId w:val="1005"/>
        </w:numPr>
      </w:pPr>
      <w:r>
        <w:t xml:space="preserve">Diversification analysis is the first and most basic method.</w:t>
      </w:r>
    </w:p>
    <w:p>
      <w:pPr>
        <w:numPr>
          <w:ilvl w:val="0"/>
          <w:numId w:val="1005"/>
        </w:numPr>
      </w:pPr>
      <w:r>
        <w:t xml:space="preserve">Given a suite of existing capabilities, what related activities can be prioritised to best make use of the capabilities.</w:t>
      </w:r>
    </w:p>
    <w:p>
      <w:pPr>
        <w:numPr>
          <w:ilvl w:val="0"/>
          <w:numId w:val="1005"/>
        </w:numPr>
      </w:pPr>
      <w:r>
        <w:t xml:space="preserve">Identify where those related activities can be performed.</w:t>
      </w:r>
    </w:p>
    <w:bookmarkEnd w:id="35"/>
    <w:bookmarkStart w:id="36" w:name="opportunity-identification"/>
    <w:p>
      <w:pPr>
        <w:pStyle w:val="Heading3"/>
      </w:pPr>
      <w:r>
        <w:t xml:space="preserve">2.2.2 Opportunity Identification</w:t>
      </w:r>
    </w:p>
    <w:p>
      <w:pPr>
        <w:numPr>
          <w:ilvl w:val="0"/>
          <w:numId w:val="1006"/>
        </w:numPr>
      </w:pPr>
      <w:r>
        <w:t xml:space="preserve">Opportunity identification takes the diversification results and analyses:</w:t>
      </w:r>
    </w:p>
    <w:p>
      <w:pPr>
        <w:numPr>
          <w:ilvl w:val="1"/>
          <w:numId w:val="1007"/>
        </w:numPr>
      </w:pPr>
      <w:r>
        <w:t xml:space="preserve">current and future strengths and weaknesses within the sector</w:t>
      </w:r>
    </w:p>
    <w:p>
      <w:pPr>
        <w:numPr>
          <w:ilvl w:val="1"/>
          <w:numId w:val="1007"/>
        </w:numPr>
      </w:pPr>
      <w:r>
        <w:t xml:space="preserve">competitors and suppliers</w:t>
      </w:r>
    </w:p>
    <w:p>
      <w:pPr>
        <w:numPr>
          <w:ilvl w:val="1"/>
          <w:numId w:val="1007"/>
        </w:numPr>
      </w:pPr>
      <w:r>
        <w:t xml:space="preserve">anticipated international market conditions and industry demand characteristics</w:t>
      </w:r>
    </w:p>
    <w:p>
      <w:pPr>
        <w:numPr>
          <w:ilvl w:val="1"/>
          <w:numId w:val="1007"/>
        </w:numPr>
      </w:pPr>
      <w:r>
        <w:t xml:space="preserve">barriers to entry and minimum efficient scale issues</w:t>
      </w:r>
    </w:p>
    <w:p>
      <w:pPr>
        <w:numPr>
          <w:ilvl w:val="1"/>
          <w:numId w:val="1007"/>
        </w:numPr>
      </w:pPr>
      <w:r>
        <w:t xml:space="preserve">the size and economic significance of the opportunity</w:t>
      </w:r>
    </w:p>
    <w:p>
      <w:pPr>
        <w:numPr>
          <w:ilvl w:val="1"/>
          <w:numId w:val="1007"/>
        </w:numPr>
      </w:pPr>
      <w:r>
        <w:t xml:space="preserve">the most important elements of the value chain to capture</w:t>
      </w:r>
    </w:p>
    <w:p>
      <w:pPr>
        <w:numPr>
          <w:ilvl w:val="1"/>
          <w:numId w:val="1007"/>
        </w:numPr>
      </w:pPr>
      <w:r>
        <w:t xml:space="preserve">the alignment between the opportunities and strategic, regional, or national goals and priorities.</w:t>
      </w:r>
    </w:p>
    <w:bookmarkEnd w:id="36"/>
    <w:bookmarkEnd w:id="37"/>
    <w:bookmarkEnd w:id="38"/>
    <w:bookmarkStart w:id="82" w:name="just-transition"/>
    <w:p>
      <w:pPr>
        <w:pStyle w:val="Heading1"/>
      </w:pPr>
      <w:r>
        <w:t xml:space="preserve">3.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39" w:name="large-scale-job-loss-overview"/>
    <w:p>
      <w:pPr>
        <w:pStyle w:val="Heading2"/>
      </w:pPr>
      <w:r>
        <w:t xml:space="preserve">3.1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39"/>
    <w:bookmarkStart w:id="48" w:name="X7f846bf91d88d33734f7c763570c2d405d2c09c"/>
    <w:p>
      <w:pPr>
        <w:pStyle w:val="Heading2"/>
      </w:pPr>
      <w:r>
        <w:t xml:space="preserve">3.2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43" w:name="individual-impacts"/>
    <w:p>
      <w:pPr>
        <w:pStyle w:val="Heading3"/>
      </w:pPr>
      <w:r>
        <w:t xml:space="preserve">3.2.1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AU011030\AppData\Local\Apps\Quarto\share\formats\docx\tip.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tc>
      </w:tr>
    </w:tbl>
    <w:bookmarkEnd w:id="43"/>
    <w:bookmarkStart w:id="46" w:name="impacts-on-families"/>
    <w:p>
      <w:pPr>
        <w:pStyle w:val="Heading3"/>
      </w:pPr>
      <w:r>
        <w:t xml:space="preserve">3.2.2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AU011030\AppData\Local\Apps\Quarto\share\formats\docx\tip.png" id="45"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tc>
      </w:tr>
    </w:tbl>
    <w:bookmarkEnd w:id="46"/>
    <w:bookmarkStart w:id="47" w:name="impacts-on-community-and-regions"/>
    <w:p>
      <w:pPr>
        <w:pStyle w:val="Heading3"/>
      </w:pPr>
      <w:r>
        <w:t xml:space="preserve">3.2.3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8"/>
        </w:numPr>
      </w:pPr>
      <w:r>
        <w:t xml:space="preserve">Contractors and the immediate supply chain</w:t>
      </w:r>
    </w:p>
    <w:p>
      <w:pPr>
        <w:numPr>
          <w:ilvl w:val="0"/>
          <w:numId w:val="1008"/>
        </w:numPr>
      </w:pPr>
      <w:r>
        <w:t xml:space="preserve">other businesses and industries in the region</w:t>
      </w:r>
    </w:p>
    <w:p>
      <w:pPr>
        <w:numPr>
          <w:ilvl w:val="0"/>
          <w:numId w:val="1008"/>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47"/>
    <w:bookmarkEnd w:id="48"/>
    <w:bookmarkStart w:id="81" w:name="X22b4463a641610255a8c3b5d743d1bc7193d474"/>
    <w:p>
      <w:pPr>
        <w:pStyle w:val="Heading2"/>
      </w:pPr>
      <w:r>
        <w:t xml:space="preserve">3.3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69" w:name="individual-risk-factors"/>
    <w:p>
      <w:pPr>
        <w:pStyle w:val="Heading3"/>
      </w:pPr>
      <w:r>
        <w:t xml:space="preserve">3.3.1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51" w:name="employment-type"/>
    <w:p>
      <w:pPr>
        <w:pStyle w:val="Heading4"/>
      </w:pPr>
      <w:r>
        <w:t xml:space="preserve">3.3.1.1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AU011030\AppData\Local\Apps\Quarto\share\formats\docx\tip.png" id="50"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tc>
      </w:tr>
    </w:tbl>
    <w:bookmarkEnd w:id="51"/>
    <w:bookmarkStart w:id="54" w:name="age"/>
    <w:p>
      <w:pPr>
        <w:pStyle w:val="Heading4"/>
      </w:pPr>
      <w:r>
        <w:t xml:space="preserve">3.3.1.2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Users\AU011030\AppData\Local\Apps\Quarto\share\formats\docx\tip.png" id="53"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tc>
      </w:tr>
    </w:tbl>
    <w:bookmarkEnd w:id="54"/>
    <w:bookmarkStart w:id="57" w:name="gender"/>
    <w:p>
      <w:pPr>
        <w:pStyle w:val="Heading4"/>
      </w:pPr>
      <w:r>
        <w:t xml:space="preserve">3.3.1.3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Users\AU011030\AppData\Local\Apps\Quarto\share\formats\docx\tip.png" id="56"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tc>
      </w:tr>
    </w:tbl>
    <w:bookmarkEnd w:id="57"/>
    <w:bookmarkStart w:id="60" w:name="migrant-workers"/>
    <w:p>
      <w:pPr>
        <w:pStyle w:val="Heading4"/>
      </w:pPr>
      <w:r>
        <w:t xml:space="preserve">3.3.1.4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AU011030\AppData\Local\Apps\Quarto\share\formats\docx\tip.png" id="59"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tc>
      </w:tr>
    </w:tbl>
    <w:bookmarkEnd w:id="60"/>
    <w:bookmarkStart w:id="63" w:name="X6f06c964ae685ecbd15681296642782b0a35e8f"/>
    <w:p>
      <w:pPr>
        <w:pStyle w:val="Heading4"/>
      </w:pPr>
      <w:r>
        <w:t xml:space="preserve">3.3.1.5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U011030\AppData\Local\Apps\Quarto\share\formats\docx\tip.png" id="6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tc>
      </w:tr>
    </w:tbl>
    <w:bookmarkEnd w:id="63"/>
    <w:bookmarkStart w:id="68" w:name="transition-funding-and-support-programs"/>
    <w:p>
      <w:pPr>
        <w:pStyle w:val="Heading4"/>
      </w:pPr>
      <w:r>
        <w:t xml:space="preserve">3.3.1.6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Users\AU011030\AppData\Local\Apps\Quarto\share\formats\docx\tip.png" id="65"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Users\AU011030\AppData\Local\Apps\Quarto\share\formats\docx\tip.png" id="67"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tc>
      </w:tr>
    </w:tbl>
    <w:bookmarkEnd w:id="68"/>
    <w:bookmarkEnd w:id="69"/>
    <w:bookmarkStart w:id="80" w:name="structural-risk-factors"/>
    <w:p>
      <w:pPr>
        <w:pStyle w:val="Heading3"/>
      </w:pPr>
      <w:r>
        <w:t xml:space="preserve">3.3.2 Structural Risk Factors</w:t>
      </w:r>
    </w:p>
    <w:bookmarkStart w:id="72" w:name="quality-of-work"/>
    <w:p>
      <w:pPr>
        <w:pStyle w:val="Heading4"/>
      </w:pPr>
      <w:r>
        <w:t xml:space="preserve">3.3.2.1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Users\AU011030\AppData\Local\Apps\Quarto\share\formats\docx\tip.png" id="71"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tc>
      </w:tr>
    </w:tbl>
    <w:bookmarkEnd w:id="72"/>
    <w:bookmarkStart w:id="75" w:name="X39c74ec4e0e16baa5a642afb787f8ed93626a9e"/>
    <w:p>
      <w:pPr>
        <w:pStyle w:val="Heading4"/>
      </w:pPr>
      <w:r>
        <w:t xml:space="preserve">3.3.2.2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Users\AU011030\AppData\Local\Apps\Quarto\share\formats\docx\tip.png" id="7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tc>
      </w:tr>
    </w:tbl>
    <w:bookmarkEnd w:id="75"/>
    <w:bookmarkStart w:id="78" w:name="exploitative-training-providers"/>
    <w:p>
      <w:pPr>
        <w:pStyle w:val="Heading4"/>
      </w:pPr>
      <w:r>
        <w:t xml:space="preserve">3.3.2.3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Users\AU011030\AppData\Local\Apps\Quarto\share\formats\docx\tip.png" id="77"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tc>
      </w:tr>
    </w:tbl>
    <w:bookmarkEnd w:id="78"/>
    <w:bookmarkStart w:id="79" w:name="single-industry-towns-population-outflow"/>
    <w:p>
      <w:pPr>
        <w:pStyle w:val="Heading4"/>
      </w:pPr>
      <w:r>
        <w:t xml:space="preserve">3.3.2.4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79"/>
    <w:bookmarkEnd w:id="80"/>
    <w:bookmarkEnd w:id="81"/>
    <w:bookmarkEnd w:id="82"/>
    <w:bookmarkStart w:id="83" w:name="summary"/>
    <w:p>
      <w:pPr>
        <w:pStyle w:val="Heading1"/>
      </w:pPr>
      <w:r>
        <w:t xml:space="preserve">4. Summary</w:t>
      </w:r>
    </w:p>
    <w:p>
      <w:pPr>
        <w:pStyle w:val="FirstParagraph"/>
      </w:pPr>
      <w:r>
        <w:t xml:space="preserve">In summary, …</w:t>
      </w:r>
    </w:p>
    <w:bookmarkEnd w:id="83"/>
    <w:bookmarkStart w:id="91" w:name="references"/>
    <w:p>
      <w:pPr>
        <w:pStyle w:val="Heading1"/>
      </w:pPr>
      <w:r>
        <w:t xml:space="preserve">References</w:t>
      </w:r>
    </w:p>
    <w:bookmarkStart w:id="90" w:name="refs"/>
    <w:bookmarkStart w:id="84"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84"/>
    <w:bookmarkStart w:id="85"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85"/>
    <w:bookmarkStart w:id="87"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86">
        <w:r>
          <w:rPr>
            <w:rStyle w:val="Hyperlink"/>
          </w:rPr>
          <w:t xml:space="preserve">https://doi.org/10.1038/s42254-020-00275-1</w:t>
        </w:r>
      </w:hyperlink>
      <w:r>
        <w:t xml:space="preserve">.</w:t>
      </w:r>
    </w:p>
    <w:bookmarkEnd w:id="87"/>
    <w:bookmarkStart w:id="89"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88">
        <w:r>
          <w:rPr>
            <w:rStyle w:val="Hyperlink"/>
          </w:rPr>
          <w:t xml:space="preserve">https://doi.org/10.1111/j.1944-8287.1997.tb00089.x</w:t>
        </w:r>
      </w:hyperlink>
      <w:r>
        <w:t xml:space="preserve">.</w:t>
      </w:r>
    </w:p>
    <w:bookmarkEnd w:id="89"/>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86" Target="https://doi.org/10.1038/s42254-020-00275-1" TargetMode="External" /><Relationship Type="http://schemas.openxmlformats.org/officeDocument/2006/relationships/hyperlink" Id="rId88"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38/s42254-020-00275-1" TargetMode="External" /><Relationship Type="http://schemas.openxmlformats.org/officeDocument/2006/relationships/hyperlink" Id="rId88"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2025-06-25T01:49:02Z</dcterms:created>
  <dcterms:modified xsi:type="dcterms:W3CDTF">2025-06-25T01:49:02Z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