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24.png" ContentType="image/png"/>
  <Override PartName="/word/media/rId67.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sectPr>
          <w:footnotePr>
            <w:numRestart w:val="eachSect"/>
          </w:footnotePr>
        </w:sectPr>
      </w:pPr>
    </w:p>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2" w:name="introduction"/>
    <w:p>
      <w:pPr>
        <w:sectPr>
          <w:footnotePr>
            <w:numRestart w:val="eachSect"/>
          </w:footnotePr>
        </w:sectPr>
      </w:pPr>
    </w:p>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Start w:id="21" w:name="planning"/>
    <w:p>
      <w:pPr>
        <w:sectPr>
          <w:footnotePr>
            <w:numRestart w:val="eachSect"/>
          </w:footnotePr>
        </w:sectPr>
      </w:pPr>
    </w:p>
    <w:p>
      <w:pPr>
        <w:pStyle w:val="Heading2"/>
      </w:pPr>
      <w:r>
        <w:t xml:space="preserve">1.1 Planning</w:t>
      </w:r>
    </w:p>
    <w:bookmarkEnd w:id="21"/>
    <w:bookmarkEnd w:id="22"/>
    <w:bookmarkStart w:id="66" w:name="just-transition"/>
    <w:p>
      <w:pPr>
        <w:sectPr>
          <w:footnotePr>
            <w:numRestart w:val="eachSect"/>
          </w:footnotePr>
        </w:sectPr>
      </w:pPr>
    </w:p>
    <w:p>
      <w:pPr>
        <w:pStyle w:val="Heading1"/>
      </w:pPr>
      <w:r>
        <w:t xml:space="preserve">2.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23" w:name="large-scale-job-loss-overview"/>
    <w:p>
      <w:pPr>
        <w:sectPr>
          <w:footnotePr>
            <w:numRestart w:val="eachSect"/>
          </w:footnotePr>
        </w:sectPr>
      </w:pPr>
    </w:p>
    <w:p>
      <w:pPr>
        <w:pStyle w:val="Heading2"/>
      </w:pPr>
      <w:r>
        <w:t xml:space="preserve">2.1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23"/>
    <w:bookmarkStart w:id="32" w:name="X7f846bf91d88d33734f7c763570c2d405d2c09c"/>
    <w:p>
      <w:pPr>
        <w:sectPr>
          <w:footnotePr>
            <w:numRestart w:val="eachSect"/>
          </w:footnotePr>
        </w:sectPr>
      </w:pPr>
    </w:p>
    <w:p>
      <w:pPr>
        <w:pStyle w:val="Heading2"/>
      </w:pPr>
      <w:r>
        <w:t xml:space="preserve">2.2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27" w:name="individual-impacts"/>
    <w:p>
      <w:pPr>
        <w:pStyle w:val="Heading3"/>
      </w:pPr>
      <w:r>
        <w:t xml:space="preserve">2.2.1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p/>
        </w:tc>
      </w:tr>
    </w:tbl>
    <w:bookmarkEnd w:id="27"/>
    <w:bookmarkStart w:id="30" w:name="impacts-on-families"/>
    <w:p>
      <w:pPr>
        <w:pStyle w:val="Heading3"/>
      </w:pPr>
      <w:r>
        <w:t xml:space="preserve">2.2.2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p/>
        </w:tc>
      </w:tr>
    </w:tbl>
    <w:bookmarkEnd w:id="30"/>
    <w:bookmarkStart w:id="31" w:name="impacts-on-community-and-regions"/>
    <w:p>
      <w:pPr>
        <w:pStyle w:val="Heading3"/>
      </w:pPr>
      <w:r>
        <w:t xml:space="preserve">2.2.3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3"/>
        </w:numPr>
      </w:pPr>
      <w:r>
        <w:t xml:space="preserve">Contractors and the immediate supply chain</w:t>
      </w:r>
    </w:p>
    <w:p>
      <w:pPr>
        <w:numPr>
          <w:ilvl w:val="0"/>
          <w:numId w:val="1003"/>
        </w:numPr>
      </w:pPr>
      <w:r>
        <w:t xml:space="preserve">other businesses and industries in the region</w:t>
      </w:r>
    </w:p>
    <w:p>
      <w:pPr>
        <w:numPr>
          <w:ilvl w:val="0"/>
          <w:numId w:val="1003"/>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31"/>
    <w:bookmarkEnd w:id="32"/>
    <w:bookmarkStart w:id="65" w:name="X22b4463a641610255a8c3b5d743d1bc7193d474"/>
    <w:p>
      <w:pPr>
        <w:sectPr>
          <w:footnotePr>
            <w:numRestart w:val="eachSect"/>
          </w:footnotePr>
        </w:sectPr>
      </w:pPr>
    </w:p>
    <w:p>
      <w:pPr>
        <w:pStyle w:val="Heading2"/>
      </w:pPr>
      <w:r>
        <w:t xml:space="preserve">2.3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53" w:name="individual-risk-factors"/>
    <w:p>
      <w:pPr>
        <w:pStyle w:val="Heading3"/>
      </w:pPr>
      <w:r>
        <w:t xml:space="preserve">2.3.1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35" w:name="employment-type"/>
    <w:p>
      <w:pPr>
        <w:pStyle w:val="Heading4"/>
      </w:pPr>
      <w:r>
        <w:t xml:space="preserve">2.3.1.1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p/>
        </w:tc>
      </w:tr>
    </w:tbl>
    <w:bookmarkEnd w:id="35"/>
    <w:bookmarkStart w:id="38" w:name="age"/>
    <w:p>
      <w:pPr>
        <w:pStyle w:val="Heading4"/>
      </w:pPr>
      <w:r>
        <w:t xml:space="preserve">2.3.1.2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p/>
        </w:tc>
      </w:tr>
    </w:tbl>
    <w:bookmarkEnd w:id="38"/>
    <w:bookmarkStart w:id="41" w:name="gender"/>
    <w:p>
      <w:pPr>
        <w:pStyle w:val="Heading4"/>
      </w:pPr>
      <w:r>
        <w:t xml:space="preserve">2.3.1.3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p/>
        </w:tc>
      </w:tr>
    </w:tbl>
    <w:bookmarkEnd w:id="41"/>
    <w:bookmarkStart w:id="44" w:name="migrant-workers"/>
    <w:p>
      <w:pPr>
        <w:pStyle w:val="Heading4"/>
      </w:pPr>
      <w:r>
        <w:t xml:space="preserve">2.3.1.4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p/>
        </w:tc>
      </w:tr>
    </w:tbl>
    <w:bookmarkEnd w:id="44"/>
    <w:bookmarkStart w:id="47" w:name="X6f06c964ae685ecbd15681296642782b0a35e8f"/>
    <w:p>
      <w:pPr>
        <w:pStyle w:val="Heading4"/>
      </w:pPr>
      <w:r>
        <w:t xml:space="preserve">2.3.1.5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tip.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p/>
        </w:tc>
      </w:tr>
    </w:tbl>
    <w:bookmarkEnd w:id="47"/>
    <w:bookmarkStart w:id="52" w:name="transition-funding-and-support-programs"/>
    <w:p>
      <w:pPr>
        <w:pStyle w:val="Heading4"/>
      </w:pPr>
      <w:r>
        <w:t xml:space="preserve">2.3.1.6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tip.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p/>
        </w:tc>
      </w:tr>
    </w:tbl>
    <w:bookmarkEnd w:id="52"/>
    <w:bookmarkEnd w:id="53"/>
    <w:bookmarkStart w:id="64" w:name="structural-risk-factors"/>
    <w:p>
      <w:pPr>
        <w:pStyle w:val="Heading3"/>
      </w:pPr>
      <w:r>
        <w:t xml:space="preserve">2.3.2 Structural Risk Factors</w:t>
      </w:r>
    </w:p>
    <w:bookmarkStart w:id="56" w:name="quality-of-work"/>
    <w:p>
      <w:pPr>
        <w:pStyle w:val="Heading4"/>
      </w:pPr>
      <w:r>
        <w:t xml:space="preserve">2.3.2.1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p/>
        </w:tc>
      </w:tr>
    </w:tbl>
    <w:bookmarkEnd w:id="56"/>
    <w:bookmarkStart w:id="59" w:name="X39c74ec4e0e16baa5a642afb787f8ed93626a9e"/>
    <w:p>
      <w:pPr>
        <w:pStyle w:val="Heading4"/>
      </w:pPr>
      <w:r>
        <w:t xml:space="preserve">2.3.2.2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p/>
        </w:tc>
      </w:tr>
    </w:tbl>
    <w:bookmarkEnd w:id="59"/>
    <w:bookmarkStart w:id="62" w:name="exploitative-training-providers"/>
    <w:p>
      <w:pPr>
        <w:pStyle w:val="Heading4"/>
      </w:pPr>
      <w:r>
        <w:t xml:space="preserve">2.3.2.3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opt/quarto/share/formats/docx/tip.png" id="6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p/>
        </w:tc>
      </w:tr>
    </w:tbl>
    <w:bookmarkEnd w:id="62"/>
    <w:bookmarkStart w:id="63" w:name="single-industry-towns-population-outflow"/>
    <w:p>
      <w:pPr>
        <w:pStyle w:val="Heading4"/>
      </w:pPr>
      <w:r>
        <w:t xml:space="preserve">2.3.2.4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63"/>
    <w:bookmarkEnd w:id="64"/>
    <w:bookmarkEnd w:id="65"/>
    <w:bookmarkEnd w:id="66"/>
    <w:bookmarkStart w:id="86" w:name="economic-complexity"/>
    <w:p>
      <w:pPr>
        <w:sectPr>
          <w:footnotePr>
            <w:numRestart w:val="eachSect"/>
          </w:footnotePr>
        </w:sectPr>
      </w:pPr>
    </w:p>
    <w:p>
      <w:pPr>
        <w:pStyle w:val="Heading1"/>
      </w:pPr>
      <w:r>
        <w:t xml:space="preserve">3.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4"/>
        </w:numPr>
      </w:pPr>
      <w:r>
        <w:t xml:space="preserve">a country that exports t-shirts is more likely to also export pants because of the similarity of skills and equipment required</w:t>
      </w:r>
    </w:p>
    <w:p>
      <w:pPr>
        <w:numPr>
          <w:ilvl w:val="0"/>
          <w:numId w:val="1004"/>
        </w:numPr>
      </w:pPr>
      <w:r>
        <w:t xml:space="preserve">a region that specialises in copper mining is more likely to also specialise in other kinds of mining because of the similarity of skills, equipment, and co-location of minerals</w:t>
      </w:r>
    </w:p>
    <w:p>
      <w:pPr>
        <w:numPr>
          <w:ilvl w:val="0"/>
          <w:numId w:val="1004"/>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71" w:name="economic-complexity-in-australia"/>
    <w:p>
      <w:pPr>
        <w:sectPr>
          <w:footnotePr>
            <w:numRestart w:val="eachSect"/>
          </w:footnotePr>
        </w:sectPr>
      </w:pPr>
    </w:p>
    <w:p>
      <w:pPr>
        <w:pStyle w:val="Heading2"/>
      </w:pPr>
      <w:r>
        <w:t xml:space="preserve">3.1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3.1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70" w:name="fig-complexity-index"/>
          <w:p>
            <w:pPr>
              <w:pStyle w:val="Compact"/>
              <w:jc w:val="center"/>
            </w:pPr>
            <w:r>
              <w:drawing>
                <wp:inline>
                  <wp:extent cx="3733800" cy="2301213"/>
                  <wp:effectExtent b="0" l="0" r="0" t="0"/>
                  <wp:docPr descr="" title="" id="68" name="Picture"/>
                  <a:graphic>
                    <a:graphicData uri="http://schemas.openxmlformats.org/drawingml/2006/picture">
                      <pic:pic>
                        <pic:nvPicPr>
                          <pic:cNvPr descr="economic-complexity_files/figure-docx/fig-complexity-index-1.png" id="69" name="Picture"/>
                          <pic:cNvPicPr>
                            <a:picLocks noChangeArrowheads="1" noChangeAspect="1"/>
                          </pic:cNvPicPr>
                        </pic:nvPicPr>
                        <pic:blipFill>
                          <a:blip r:embed="rId67"/>
                          <a:stretch>
                            <a:fillRect/>
                          </a:stretch>
                        </pic:blipFill>
                        <pic:spPr bwMode="auto">
                          <a:xfrm>
                            <a:off x="0" y="0"/>
                            <a:ext cx="3733800" cy="2301213"/>
                          </a:xfrm>
                          <a:prstGeom prst="rect">
                            <a:avLst/>
                          </a:prstGeom>
                          <a:noFill/>
                          <a:ln w="9525">
                            <a:noFill/>
                            <a:headEnd/>
                            <a:tailEnd/>
                          </a:ln>
                        </pic:spPr>
                      </pic:pic>
                    </a:graphicData>
                  </a:graphic>
                </wp:inline>
              </w:drawing>
            </w:r>
          </w:p>
          <w:p>
            <w:pPr>
              <w:jc w:val="center"/>
            </w:pPr>
            <w:pPr>
              <w:jc w:val="left"/>
              <w:spacing w:before="200"/>
              <w:pStyle w:val="ImageCaption"/>
            </w:pPr>
            <w:r>
              <w:t xml:space="preserve">Figure 3.1: Economic Complexity Index, Australia, Canada, Germany</w:t>
            </w:r>
          </w:p>
          <w:bookmarkEnd w:id="70"/>
        </w:tc>
      </w:tr>
    </w:tbl>
    <w:bookmarkEnd w:id="71"/>
    <w:bookmarkStart w:id="82" w:name="X002c81b237d0e7ea4aa6242ee98c3a084447a12"/>
    <w:p>
      <w:pPr>
        <w:sectPr>
          <w:footnotePr>
            <w:numRestart w:val="eachSect"/>
          </w:footnotePr>
        </w:sectPr>
      </w:pPr>
    </w:p>
    <w:p>
      <w:pPr>
        <w:pStyle w:val="Heading2"/>
      </w:pPr>
      <w:r>
        <w:t xml:space="preserve">3.2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5"/>
        </w:numPr>
      </w:pPr>
      <w:r>
        <w:t xml:space="preserve">embody greater knowledge intensity and have high positive spill-overs (for example, local/domestic processing and value-adding of minerals compared to dig and ship)</w:t>
      </w:r>
    </w:p>
    <w:p>
      <w:pPr>
        <w:numPr>
          <w:ilvl w:val="0"/>
          <w:numId w:val="1005"/>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5"/>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note.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p/>
        </w:tc>
      </w:tr>
    </w:tbl>
    <w:bookmarkStart w:id="81" w:name="X52a14f844cdd7e5d28d1b0254b4df4fde123a09"/>
    <w:p>
      <w:pPr>
        <w:pStyle w:val="Heading3"/>
      </w:pPr>
      <w:r>
        <w:t xml:space="preserve">3.2.1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3.1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75" w:name="tbl-capabilities"/>
          <w:p>
            <w:pPr>
              <w:jc w:val="center"/>
            </w:pPr>
            <w:pPr>
              <w:jc w:val="left"/>
              <w:spacing w:before="200"/>
              <w:pStyle w:val="ImageCaption"/>
            </w:pPr>
            <w:r>
              <w:t xml:space="preserve">Table 3.1: Employment capabilities,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lga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product_complexity_index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complexity_outlook_index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 Rubber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0.2585916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Sheet Metal Product Manufacturing (except Metal Structural and Container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7.017106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Freight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6.644485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0.1343535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0.2459930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Waste Treatment, Disposal and Remediation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5.136537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Metal Container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4.759914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-0.7594765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0.2897282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-0.3211793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 and Gas Extraction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4.329445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-1.0734396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0.3049602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Mining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4.276621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0.3354935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-0.4172939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0.2633208</w:t>
                  </w:r>
                </w:p>
              </w:tc>
            </w:tr>
          </w:tbl>
          <w:bookmarkEnd w:id="75"/>
        </w:tc>
      </w:tr>
    </w:tbl>
    <w:p>
      <w:pPr>
        <w:pStyle w:val="BodyText"/>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r>
        <w:t xml:space="preserve"> </w:t>
      </w:r>
      <w:hyperlink w:anchor="fig-density-cog">
        <w:r>
          <w:rPr>
            <w:rStyle w:val="Hyperlink"/>
          </w:rPr>
          <w:t xml:space="preserve">Figure 3.2</w:t>
        </w:r>
      </w:hyperlink>
      <w:r>
        <w:t xml:space="preserve"> </w:t>
      </w:r>
      <w:r>
        <w:t xml:space="preserve">shows the relationship between proximity to unexplored manufacturing activities, and the benefit to Whyalla’s complexity from pursuing them.</w:t>
      </w:r>
    </w:p>
    <w:tbl>
      <w:tblPr>
        <w:tblStyle w:val="Table"/>
        <w:tblW w:type="pct" w:w="5000"/>
        <w:tblLayout w:type="fixed"/>
        <w:tblLook w:firstRow="0" w:lastRow="0" w:firstColumn="0" w:lastColumn="0" w:noHBand="0" w:noVBand="0" w:val="0000"/>
      </w:tblPr>
      <w:tblGrid>
        <w:gridCol w:w="7920"/>
      </w:tblGrid>
      <w:tr>
        <w:tc>
          <w:tcPr/>
          <w:bookmarkStart w:id="79" w:name="fig-density-cog"/>
          <w:p>
            <w:pPr>
              <w:pStyle w:val="Compact"/>
              <w:jc w:val="center"/>
            </w:pPr>
            <w:r>
              <w:drawing>
                <wp:inline>
                  <wp:extent cx="5334000" cy="3287447"/>
                  <wp:effectExtent b="0" l="0" r="0" t="0"/>
                  <wp:docPr descr="" title="" id="77" name="Picture"/>
                  <a:graphic>
                    <a:graphicData uri="http://schemas.openxmlformats.org/drawingml/2006/picture">
                      <pic:pic>
                        <pic:nvPicPr>
                          <pic:cNvPr descr="economic-complexity_files/figure-docx/fig-density-cog-1.png" id="78" name="Picture"/>
                          <pic:cNvPicPr>
                            <a:picLocks noChangeArrowheads="1" noChangeAspect="1"/>
                          </pic:cNvPicPr>
                        </pic:nvPicPr>
                        <pic:blipFill>
                          <a:blip r:embed="rId76"/>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left"/>
              <w:spacing w:before="200"/>
              <w:pStyle w:val="ImageCaption"/>
            </w:pPr>
            <w:r>
              <w:t xml:space="preserve">Figure 3.2: Economic benefit</w:t>
            </w:r>
          </w:p>
          <w:bookmarkEnd w:id="79"/>
        </w:tc>
      </w:tr>
    </w:tbl>
    <w:p>
      <w:pPr>
        <w:pStyle w:val="BodyText"/>
      </w:pPr>
      <w:r>
        <w:t xml:space="preserve">The relationship between benefit and feasibility is negative - activities which are more beneficial will be more difficult to pursue. All diversification opportunities are shown below in</w:t>
      </w:r>
      <w:r>
        <w:t xml:space="preserve"> </w:t>
      </w:r>
      <w:hyperlink w:anchor="tbl-opportunities">
        <w:r>
          <w:rPr>
            <w:rStyle w:val="Hyperlink"/>
          </w:rPr>
          <w:t xml:space="preserve">Table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0" w:name="tbl-opportunities"/>
          <w:p>
            <w:pPr>
              <w:jc w:val="center"/>
            </w:pPr>
            <w:pPr>
              <w:jc w:val="left"/>
              <w:spacing w:before="200"/>
              <w:pStyle w:val="ImageCaption"/>
            </w:pPr>
            <w:r>
              <w:t xml:space="preserve">Table 3.2: Diversification Opportunities for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Bakery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-0.24713749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0.3213518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0.4191929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-0.12531792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0.2568743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0.03418554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Wood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-0.11136617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Cement, Lime, Plaster and Concrete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-0.18163767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Fabricated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0.8314774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-0.01447842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0.2635959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and Scientific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0.59366671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Specialised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0.6127312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-0.22163289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0.3103376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-0.17877799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0.2910883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-0.03719024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0.2642558</w:t>
                  </w:r>
                </w:p>
              </w:tc>
            </w:tr>
          </w:tbl>
          <w:bookmarkEnd w:id="80"/>
        </w:tc>
      </w:tr>
    </w:tbl>
    <w:p>
      <w:pPr>
        <w:pStyle w:val="BodyText"/>
      </w:pPr>
      <w:r>
        <w:t xml:space="preserve">Turning the activities identified above into opportunities requires an in depth qualitative and qualitative analysis of their suitability, including:</w:t>
      </w:r>
    </w:p>
    <w:p>
      <w:pPr>
        <w:pStyle w:val="Compact"/>
        <w:numPr>
          <w:ilvl w:val="0"/>
          <w:numId w:val="1006"/>
        </w:numPr>
      </w:pPr>
      <w:r>
        <w:t xml:space="preserve">current and future strengths and weaknesses within the sector</w:t>
      </w:r>
    </w:p>
    <w:p>
      <w:pPr>
        <w:numPr>
          <w:ilvl w:val="0"/>
          <w:numId w:val="1007"/>
        </w:numPr>
      </w:pPr>
      <w:r>
        <w:t xml:space="preserve">competitors and suppliers</w:t>
      </w:r>
    </w:p>
    <w:p>
      <w:pPr>
        <w:numPr>
          <w:ilvl w:val="0"/>
          <w:numId w:val="1007"/>
        </w:numPr>
      </w:pPr>
      <w:r>
        <w:t xml:space="preserve">anticipated international market conditions and industry demand characteristics</w:t>
      </w:r>
    </w:p>
    <w:p>
      <w:pPr>
        <w:numPr>
          <w:ilvl w:val="0"/>
          <w:numId w:val="1007"/>
        </w:numPr>
      </w:pPr>
      <w:r>
        <w:t xml:space="preserve">barriers to entry and minimum efficient scale issues</w:t>
      </w:r>
    </w:p>
    <w:p>
      <w:pPr>
        <w:numPr>
          <w:ilvl w:val="0"/>
          <w:numId w:val="1007"/>
        </w:numPr>
      </w:pPr>
      <w:r>
        <w:t xml:space="preserve">the size and economic significance of the opportunity</w:t>
      </w:r>
    </w:p>
    <w:p>
      <w:pPr>
        <w:numPr>
          <w:ilvl w:val="0"/>
          <w:numId w:val="1007"/>
        </w:numPr>
      </w:pPr>
      <w:r>
        <w:t xml:space="preserve">the most important elements of the value chain to capture</w:t>
      </w:r>
    </w:p>
    <w:p>
      <w:pPr>
        <w:numPr>
          <w:ilvl w:val="0"/>
          <w:numId w:val="1007"/>
        </w:numPr>
      </w:pPr>
      <w:r>
        <w:t xml:space="preserve">the alignment between the opportunities and strategic, regional, or national goals and priorities.</w:t>
      </w:r>
    </w:p>
    <w:bookmarkEnd w:id="81"/>
    <w:bookmarkEnd w:id="82"/>
    <w:bookmarkStart w:id="85" w:name="link-to-just-transitions"/>
    <w:p>
      <w:pPr>
        <w:sectPr>
          <w:footnotePr>
            <w:numRestart w:val="eachSect"/>
          </w:footnotePr>
        </w:sectPr>
      </w:pPr>
    </w:p>
    <w:p>
      <w:pPr>
        <w:pStyle w:val="Heading2"/>
      </w:pPr>
      <w:r>
        <w:t xml:space="preserve">3.3 Link to Just Transitions</w:t>
      </w:r>
    </w:p>
    <w:p>
      <w:pPr>
        <w:pStyle w:val="FirstParagraph"/>
      </w:pPr>
      <w:r>
        <w:t xml:space="preserve">The Just Transitions agenda is about creating jobs for workers in a region which is facing industry decline or industry closure. It is important to create jobs which are commensurate to existing jobs - in skills required, in remuneration, in security and quality.</w:t>
      </w:r>
    </w:p>
    <w:p>
      <w:pPr>
        <w:pStyle w:val="BodyText"/>
      </w:pPr>
      <w:r>
        <w:t xml:space="preserve">Industry transition plans should be tailored to the industry that is closing, and the region that it currently operates. This requires an understanding of the current workforce, and the similarity (or otherwise) of opportunities available for displaced workers.</w:t>
      </w:r>
    </w:p>
    <w:p>
      <w:pPr>
        <w:pStyle w:val="BodyText"/>
      </w:pPr>
      <w:r>
        <w:t xml:space="preserve">Economic complexity analysis provides a quantitative base for understanding existing capabilities, and the similarities between these capabilities and potential opportunities.</w:t>
      </w:r>
    </w:p>
    <w:p>
      <w:pPr>
        <w:pStyle w:val="BodyText"/>
      </w:pPr>
      <w:r>
        <w:t xml:space="preserve">With proper planning, industry closure can be an opportunity for regional development, industrial development, and can further national strategic goals such as decarbonisation.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note.png" id="8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need to understand the relationship the relationship between different jobs in the region, and how best to apply the skills available in these jobs into new areas of strategic, regional, or national importance.</w:t>
            </w:r>
          </w:p>
          <w:p/>
        </w:tc>
      </w:tr>
    </w:tbl>
    <w:bookmarkEnd w:id="85"/>
    <w:bookmarkEnd w:id="86"/>
    <w:bookmarkStart w:id="87" w:name="procurement"/>
    <w:p>
      <w:pPr>
        <w:sectPr>
          <w:footnotePr>
            <w:numRestart w:val="eachSect"/>
          </w:footnotePr>
        </w:sectPr>
      </w:pPr>
    </w:p>
    <w:p>
      <w:pPr>
        <w:pStyle w:val="Heading1"/>
      </w:pPr>
      <w:r>
        <w:t xml:space="preserve">4. Procurement</w:t>
      </w:r>
    </w:p>
    <w:bookmarkEnd w:id="87"/>
    <w:bookmarkStart w:id="91" w:name="future-of-work"/>
    <w:p>
      <w:pPr>
        <w:sectPr>
          <w:footnotePr>
            <w:numRestart w:val="eachSect"/>
          </w:footnotePr>
        </w:sectPr>
      </w:pPr>
    </w:p>
    <w:p>
      <w:pPr>
        <w:pStyle w:val="Heading1"/>
      </w:pPr>
      <w:r>
        <w:t xml:space="preserve">5. Future of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note.png" id="89"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Emerging industries will replace, or supplement existing industries. The net-zero transition necessitates the closure of some industries (coal and gas fired energy generation), and production changes for others (direct reduction of steel).</w:t>
            </w:r>
          </w:p>
          <w:p/>
        </w:tc>
      </w:tr>
    </w:tbl>
    <w:p>
      <w:pPr>
        <w:pStyle w:val="BodyText"/>
      </w:pPr>
      <w:r>
        <w:t xml:space="preserve">The way in which we work is changing. The manufacturing industry in particular faces disruption from two directions:</w:t>
      </w:r>
    </w:p>
    <w:p>
      <w:pPr>
        <w:numPr>
          <w:ilvl w:val="0"/>
          <w:numId w:val="1008"/>
        </w:numPr>
      </w:pPr>
      <w:r>
        <w:t xml:space="preserve">decarbonisation and net zero requires energy and carbon intensive manufacturing processes to transition into using renewable generated electricity, such as in the aluminium industry, or a change in process to no longer require carbon as an input, such as in the iron and steel industry.</w:t>
      </w:r>
    </w:p>
    <w:p>
      <w:pPr>
        <w:numPr>
          <w:ilvl w:val="0"/>
          <w:numId w:val="1008"/>
        </w:numPr>
      </w:pPr>
      <w:r>
        <w:t xml:space="preserve">the development, adoption, and diffusion of advanced manufacturing technologies, such as digitisation, robotics, automation into manufacturing processes changes the kind of work being done on the shop floor.</w:t>
      </w:r>
    </w:p>
    <w:p>
      <w:pPr>
        <w:pStyle w:val="FirstParagraph"/>
      </w:pPr>
      <w:r>
        <w:t xml:space="preserve">Understanding the impact that these disruptions have on occupations, skill requirements, and employment is important to:</w:t>
      </w:r>
    </w:p>
    <w:p>
      <w:pPr>
        <w:numPr>
          <w:ilvl w:val="0"/>
          <w:numId w:val="1009"/>
        </w:numPr>
      </w:pPr>
      <w:r>
        <w:t xml:space="preserve">build organising capacity and capability in emerging sectors and;</w:t>
      </w:r>
    </w:p>
    <w:p>
      <w:pPr>
        <w:numPr>
          <w:ilvl w:val="0"/>
          <w:numId w:val="1009"/>
        </w:numPr>
      </w:pPr>
      <w:r>
        <w:t xml:space="preserve">know whether our existing rules will be suitable to get coverage in emerging sectors, or if not, to get a head start in what rule changes are needed.</w:t>
      </w:r>
    </w:p>
    <w:bookmarkStart w:id="90" w:name="emerging-sectors"/>
    <w:p>
      <w:pPr>
        <w:sectPr>
          <w:footnotePr>
            <w:numRestart w:val="eachSect"/>
          </w:footnotePr>
        </w:sectPr>
      </w:pPr>
    </w:p>
    <w:p>
      <w:pPr>
        <w:pStyle w:val="Heading2"/>
      </w:pPr>
      <w:r>
        <w:t xml:space="preserve">5.1 Emerging Sectors</w:t>
      </w:r>
    </w:p>
    <w:p>
      <w:pPr>
        <w:pStyle w:val="FirstParagraph"/>
      </w:pPr>
      <w:r>
        <w:t xml:space="preserve">The following sectors have been identified as target industries for further investigation</w:t>
      </w:r>
    </w:p>
    <w:bookmarkEnd w:id="90"/>
    <w:bookmarkEnd w:id="91"/>
    <w:bookmarkStart w:id="92" w:name="apprentices"/>
    <w:p>
      <w:pPr>
        <w:sectPr>
          <w:footnotePr>
            <w:numRestart w:val="eachSect"/>
          </w:footnotePr>
        </w:sectPr>
      </w:pPr>
    </w:p>
    <w:p>
      <w:pPr>
        <w:pStyle w:val="Heading1"/>
      </w:pPr>
      <w:r>
        <w:t xml:space="preserve">6. Apprentices</w:t>
      </w:r>
    </w:p>
    <w:p>
      <w:pPr>
        <w:pStyle w:val="FirstParagraph"/>
      </w:pPr>
      <w:r>
        <w:t xml:space="preserve">Australia is experiencing a skills shortage. The factors which are driving this shortage include:</w:t>
      </w:r>
    </w:p>
    <w:p>
      <w:pPr>
        <w:pStyle w:val="BodyText"/>
      </w:pPr>
      <w:r>
        <w:rPr>
          <w:b/>
          <w:bCs/>
        </w:rPr>
        <w:t xml:space="preserve">a lack of opportunities for apprenticeships</w:t>
      </w:r>
    </w:p>
    <w:p>
      <w:pPr>
        <w:pStyle w:val="BodyText"/>
      </w:pPr>
      <w:r>
        <w:t xml:space="preserve">Current economic and policy settings do not incentivise firms to invest in developing the skilled workforce they rely on. Skills development and training has become the responsibility of the worker - not the firm. It is difficult for individual workers to manage the required time off, and the cost for training. This means the government is forced to step in and attempt to address the issue through subsidies to employers and the skilled migration system. This incentive structure is wrong - the less industry invest in skills, the more support they receive. Creating a priority list with higher subsidies for employers will not break the pattern. Government must introduce measures to adjust the incentive structure - such as a skills levy - that make it unprofitable for firms to neglect workforce development.</w:t>
      </w:r>
    </w:p>
    <w:p>
      <w:pPr>
        <w:pStyle w:val="BodyText"/>
      </w:pPr>
      <w:r>
        <w:rPr>
          <w:b/>
          <w:bCs/>
        </w:rPr>
        <w:t xml:space="preserve">poverty-level wages for apprentices</w:t>
      </w:r>
    </w:p>
    <w:p>
      <w:pPr>
        <w:numPr>
          <w:ilvl w:val="0"/>
          <w:numId w:val="1010"/>
        </w:numPr>
      </w:pPr>
      <w:r>
        <w:t xml:space="preserve">Low wages are a major barrier to apprenticeship completion. A 2018 AMWU survey found over 70% of apprentices cited pay as a key reason for dropping out, and national completion rates remain below 50%. Apprentices typically earn between $27,762 and $44,432 per year - less than the $33,800 median cost of renting a one-bedroom apartment in Sydney. The maths does not work. Subsidies should go directly to apprentices to offset poverty wages and make skills acquisition financially viable, while still encouraging firms to take on apprentices.</w:t>
      </w:r>
    </w:p>
    <w:p>
      <w:pPr>
        <w:numPr>
          <w:ilvl w:val="0"/>
          <w:numId w:val="1010"/>
        </w:numPr>
      </w:pPr>
      <w:r>
        <w:t xml:space="preserve">The AMWU views award wages and the national minimum wage rate, which provides starting apprentices with sub-minimal wages, as an unjust and unsustainable wage outcome for apprentices. The systemic underpayment of apprentices feeds the exploitative model of cheap labour for unscrupulous employers lawfully paying less than minimum wage for labour.</w:t>
      </w:r>
    </w:p>
    <w:p>
      <w:pPr>
        <w:pStyle w:val="FirstParagraph"/>
      </w:pPr>
      <w:r>
        <w:rPr>
          <w:b/>
          <w:bCs/>
        </w:rPr>
        <w:t xml:space="preserve">a monopsonotistic labour market which suppresses the wages of skilled workers.</w:t>
      </w:r>
    </w:p>
    <w:p>
      <w:pPr>
        <w:pStyle w:val="BodyText"/>
      </w:pPr>
      <w:r>
        <w:t xml:space="preserve">·       Human capital theory assumes workers will develop skills to earn higher wages aligned with their productivity. But in Australia’s concentrated labour markets, workers are underpaid relative to their skills, which weakens incentives to invest in training. Research confirms this problem. The solution is to lift minimum pay rates closer to market productivity levels, ensuring skilled workers are properly rewarded and that training delivers fair returns. </w:t>
      </w:r>
    </w:p>
    <w:p>
      <w:pPr>
        <w:pStyle w:val="BodyText"/>
      </w:pPr>
      <w:r>
        <w:t xml:space="preserve">The current incentive scheme subsidises firms that fail to invest in training, creating perverse outcomes. It has generated a profitable industry for some registered training organisations, while delivering poor value to taxpayers and apprentices. To avoid repeating policy failure, subsidies must be redirected to apprentices - to cover the costs of tools, or working away from home - and not employers. </w:t>
      </w:r>
    </w:p>
    <w:bookmarkEnd w:id="92"/>
    <w:bookmarkStart w:id="100" w:name="iron-and-steel"/>
    <w:p>
      <w:pPr>
        <w:sectPr>
          <w:footnotePr>
            <w:numRestart w:val="eachSect"/>
          </w:footnotePr>
        </w:sectPr>
      </w:pPr>
    </w:p>
    <w:p>
      <w:pPr>
        <w:pStyle w:val="Heading1"/>
      </w:pPr>
      <w:r>
        <w:t xml:space="preserve">7. Iron and Steel</w:t>
      </w:r>
    </w:p>
    <w:bookmarkStart w:id="93" w:name="industry-overview"/>
    <w:p>
      <w:pPr>
        <w:sectPr>
          <w:footnotePr>
            <w:numRestart w:val="eachSect"/>
          </w:footnotePr>
        </w:sectPr>
      </w:pPr>
    </w:p>
    <w:p>
      <w:pPr>
        <w:pStyle w:val="Heading2"/>
      </w:pPr>
      <w:r>
        <w:t xml:space="preserve">7.1 Industry Overview</w:t>
      </w:r>
    </w:p>
    <w:p>
      <w:pPr>
        <w:pStyle w:val="FirstParagraph"/>
      </w:pPr>
      <w:r>
        <w:t xml:space="preserve">Steel manufacturing in Australia is captured primarily by the ANZSIC groups:</w:t>
      </w:r>
    </w:p>
    <w:p>
      <w:pPr>
        <w:numPr>
          <w:ilvl w:val="0"/>
          <w:numId w:val="1011"/>
        </w:numPr>
      </w:pPr>
      <w:r>
        <w:t xml:space="preserve">Iron and Steel Forging</w:t>
      </w:r>
    </w:p>
    <w:p>
      <w:pPr>
        <w:numPr>
          <w:ilvl w:val="0"/>
          <w:numId w:val="1011"/>
        </w:numPr>
      </w:pPr>
      <w:r>
        <w:t xml:space="preserve">Basic Ferrous Metal Manufacturing</w:t>
      </w:r>
    </w:p>
    <w:p>
      <w:pPr>
        <w:numPr>
          <w:ilvl w:val="0"/>
          <w:numId w:val="1011"/>
        </w:numPr>
      </w:pPr>
      <w:r>
        <w:t xml:space="preserve">Basic Ferrous Metal Product Manufacturing</w:t>
      </w:r>
    </w:p>
    <w:p>
      <w:pPr>
        <w:numPr>
          <w:ilvl w:val="0"/>
          <w:numId w:val="1011"/>
        </w:numPr>
      </w:pPr>
      <w:r>
        <w:t xml:space="preserve">Iron Smelting and Steel production is dominated by BlueScope Steel, who had almost 50% of the market share in 2025.</w:t>
      </w:r>
    </w:p>
    <w:p>
      <w:pPr>
        <w:pStyle w:val="FirstParagraph"/>
      </w:pPr>
      <w:r>
        <w:t xml:space="preserve">Overall, the iron and steel industries rely on demand in the residential construction, mining, vehicles, and infrastructure sectors to maintain revenue stability. All aspects of the industry are facing increasing pressures from low-cost imports, especially in the face of rising input costs in Australia. Additional uncertainty surrounding international trade policy clouds future investment decisions. Within the steel manufacturing and structural steel fabricating industries, pressures from automation and AI adoption have reduced wage costs and impacted the labour market. Future revenue growth in these sectors may rely on increased demand for green steel – indicating the importance for local manufacturers to invest in these production technologies now.</w:t>
      </w:r>
    </w:p>
    <w:p>
      <w:pPr>
        <w:pStyle w:val="BodyText"/>
      </w:pPr>
      <w:r>
        <w:t xml:space="preserve">Both the iron and steel casting and forging industries have faced declining revenue over the last five years. Revenue has reduced at an annualized rate of 7.7%, primarily due to the continued impacts of the decline of the Australian motor vehicle manufacturing industry and increased import competition. In iron and steel forging, deteriorating conditions in mining output and railway equipment manufacturing has resulted in an annualised revenue decline of 2.4% through to 2024-25.</w:t>
      </w:r>
    </w:p>
    <w:p>
      <w:pPr>
        <w:pStyle w:val="BodyText"/>
      </w:pPr>
      <w:r>
        <w:t xml:space="preserve">However, future growth is predicted as population growth increases pressure on existing infrastructure – increasing demand for multi-unit apartments, townhouses, and railway equipment. The completion of existing large infrastructure projects will dampen future sales without a strong pipeline of additional work. Finally, there is an opportunity through increased demand for wind farm construction to support the iron and steel forging industry.</w:t>
      </w:r>
    </w:p>
    <w:bookmarkEnd w:id="93"/>
    <w:bookmarkStart w:id="98" w:name="opportunities"/>
    <w:p>
      <w:pPr>
        <w:sectPr>
          <w:footnotePr>
            <w:numRestart w:val="eachSect"/>
          </w:footnotePr>
        </w:sectPr>
      </w:pPr>
    </w:p>
    <w:p>
      <w:pPr>
        <w:pStyle w:val="Heading2"/>
      </w:pPr>
      <w:r>
        <w:t xml:space="preserve">7.2 Opportunities</w:t>
      </w:r>
    </w:p>
    <w:p>
      <w:pPr>
        <w:pStyle w:val="FirstParagraph"/>
      </w:pPr>
      <w:r>
        <w:rPr>
          <w:b/>
          <w:bCs/>
        </w:rPr>
        <w:t xml:space="preserve">what and where are the opportunities for growth?</w:t>
      </w:r>
    </w:p>
    <w:p>
      <w:pPr>
        <w:pStyle w:val="BodyText"/>
      </w:pPr>
      <w:r>
        <w:t xml:space="preserve">Most steel production in Australia occurs at Port Kembla in New South Wales, operated by BlueScope and Whyalla in South Australia, operated by GFG Alliance Liberty Steel. The Whyalla steelworks was placed under administration by the South Australian government in February 2025. Both of these operations use blast furnaces to produce steel using iron ore and coal. This process produces significant amounts of carbon dioxide.</w:t>
      </w:r>
    </w:p>
    <w:p>
      <w:pPr>
        <w:pStyle w:val="BodyText"/>
      </w:pPr>
      <w:r>
        <w:rPr>
          <w:b/>
          <w:bCs/>
        </w:rPr>
        <w:t xml:space="preserve">electric arc furnaces</w:t>
      </w:r>
    </w:p>
    <w:p>
      <w:pPr>
        <w:pStyle w:val="BodyText"/>
      </w:pPr>
      <w:r>
        <w:t xml:space="preserve">Modern steel making techniques utilise electric arc furnaces as replacements for blast furnaces. These use significant amounts of electricity, but are more modern and more efficient. An electric arc furnace enables the production of low-carbon steel, including green steel. Electric arc furnaces can produce steel from any combination of recycled scrap steel and direct reduced iron.</w:t>
      </w:r>
    </w:p>
    <w:p>
      <w:pPr>
        <w:pStyle w:val="BodyText"/>
      </w:pPr>
      <w:r>
        <w:t xml:space="preserve">The electric arc furnace in Collie WA is able to produce steel rebar with 80% fewer emissions - from recycled steel.</w:t>
      </w:r>
    </w:p>
    <w:p>
      <w:pPr>
        <w:pStyle w:val="BodyText"/>
      </w:pPr>
      <w:r>
        <w:t xml:space="preserve">In-place upgrading of blast furnaces to electric arc furnaces probably requires closure of plants. In Wales at Tata Steel, the transition shut down production for about 2 years, resulting in about 2000 people losing their job.</w:t>
      </w:r>
    </w:p>
    <w:p>
      <w:pPr>
        <w:pStyle w:val="BodyText"/>
      </w:pPr>
      <w:r>
        <w:t xml:space="preserve">In the UK, a plan to replace two blast furnaces at British Steel Scunthorpe is estimated to impact up to 2,000 steel workers.</w:t>
      </w:r>
    </w:p>
    <w:p>
      <w:pPr>
        <w:pStyle w:val="BodyText"/>
      </w:pPr>
      <w:r>
        <w:t xml:space="preserve">These investments have cost over 1.25bn pounds each.</w:t>
      </w:r>
    </w:p>
    <w:p>
      <w:pPr>
        <w:pStyle w:val="BodyText"/>
      </w:pPr>
      <w:r>
        <w:rPr>
          <w:b/>
          <w:bCs/>
        </w:rPr>
        <w:t xml:space="preserve">direct reduced / green iron</w:t>
      </w:r>
    </w:p>
    <w:p>
      <w:pPr>
        <w:pStyle w:val="BodyText"/>
      </w:pPr>
      <w:r>
        <w:t xml:space="preserve">Making virgin steel using an electric arc furnace requires direct reduced iron. Direct reduced iron can be produced using natural gas/coal, or with hydrogen.</w:t>
      </w:r>
    </w:p>
    <w:p>
      <w:pPr>
        <w:pStyle w:val="BodyText"/>
      </w:pPr>
      <w:r>
        <w:t xml:space="preserve">proximity of whyalla steel works and port kembla steel works to iron ore mines provides an opportunity to integrate direct reduced iron production into the process.</w:t>
      </w:r>
    </w:p>
    <w:p>
      <w:pPr>
        <w:pStyle w:val="BodyText"/>
      </w:pPr>
      <w:r>
        <w:t xml:space="preserve">green iron production at geraldton???</w:t>
      </w:r>
    </w:p>
    <w:p>
      <w:pPr>
        <w:pStyle w:val="BodyText"/>
      </w:pPr>
      <w:r>
        <w:rPr>
          <w:b/>
          <w:bCs/>
        </w:rPr>
        <w:t xml:space="preserve">process upgrade</w:t>
      </w:r>
    </w:p>
    <w:p>
      <w:pPr>
        <w:pStyle w:val="BodyText"/>
      </w:pPr>
      <w:r>
        <w:t xml:space="preserve">this would require upgrading blast furnaces to electric arc furnaces, or new brownfield developments meaning significant capital investment would be required.</w:t>
      </w:r>
    </w:p>
    <w:p>
      <w:pPr>
        <w:pStyle w:val="BodyText"/>
      </w:pPr>
      <w:r>
        <w:t xml:space="preserve">virgin steel production should be seen as a strategic national capability to maintain.</w:t>
      </w:r>
    </w:p>
    <w:bookmarkStart w:id="94" w:name="legislation"/>
    <w:p>
      <w:pPr>
        <w:pStyle w:val="Heading3"/>
      </w:pPr>
      <w:r>
        <w:t xml:space="preserve">7.2.1 Legislation</w:t>
      </w:r>
    </w:p>
    <w:p>
      <w:pPr>
        <w:pStyle w:val="FirstParagraph"/>
      </w:pPr>
      <w:r>
        <w:t xml:space="preserve">There are more than 3,000 businesses operating in the iron and steel industries across Australia.</w:t>
      </w:r>
    </w:p>
    <w:p>
      <w:pPr>
        <w:pStyle w:val="Compact"/>
        <w:numPr>
          <w:ilvl w:val="0"/>
          <w:numId w:val="1012"/>
        </w:numPr>
      </w:pPr>
      <w:r>
        <w:t xml:space="preserve">Multi-employer bargaining</w:t>
      </w:r>
    </w:p>
    <w:p>
      <w:pPr>
        <w:pStyle w:val="Compact"/>
        <w:numPr>
          <w:ilvl w:val="0"/>
          <w:numId w:val="1012"/>
        </w:numPr>
      </w:pPr>
      <w:r>
        <w:t xml:space="preserve">Same Job Same Pay</w:t>
      </w:r>
    </w:p>
    <w:bookmarkEnd w:id="94"/>
    <w:bookmarkStart w:id="97" w:name="government-funding"/>
    <w:p>
      <w:pPr>
        <w:pStyle w:val="Heading3"/>
      </w:pPr>
      <w:r>
        <w:t xml:space="preserve">7.2.2 Government Funding</w:t>
      </w:r>
    </w:p>
    <w:p>
      <w:pPr>
        <w:pStyle w:val="FirstParagraph"/>
      </w:pPr>
      <w:r>
        <w:t xml:space="preserve">The Future Made in Australia Innovation Fund, and the National Reconstruction Fund are the primary sources for government funding for the iron and steel industry.</w:t>
      </w:r>
    </w:p>
    <w:p>
      <w:pPr>
        <w:pStyle w:val="BodyText"/>
      </w:pPr>
      <w:r>
        <w:t xml:space="preserve">support for domestic produced steel (green or grey) can be provided through government purchase contracts and procurement. Demand side interventions are possibly the only way to get this kind of production from the speculation stage to actually happening. Because capital investment won’t come without a guaranteed buyer. A demand side policy might look like a significant infrastructure build/development using australian produced steel.</w:t>
      </w:r>
    </w:p>
    <w:bookmarkStart w:id="95" w:name="future-made-in-australia"/>
    <w:p>
      <w:pPr>
        <w:pStyle w:val="Heading4"/>
      </w:pPr>
      <w:r>
        <w:t xml:space="preserve">7.2.2.1 Future Made in Australia</w:t>
      </w:r>
    </w:p>
    <w:p>
      <w:pPr>
        <w:pStyle w:val="Compact"/>
        <w:numPr>
          <w:ilvl w:val="0"/>
          <w:numId w:val="1013"/>
        </w:numPr>
      </w:pPr>
      <w:r>
        <w:t xml:space="preserve">$750 million to Green Metals including iron, steel, alumina and aluminium.</w:t>
      </w:r>
    </w:p>
    <w:bookmarkEnd w:id="95"/>
    <w:bookmarkStart w:id="96" w:name="national-reconstruction-fund"/>
    <w:p>
      <w:pPr>
        <w:pStyle w:val="Heading4"/>
      </w:pPr>
      <w:r>
        <w:t xml:space="preserve">7.2.2.2 National Reconstruction Fund</w:t>
      </w:r>
    </w:p>
    <w:p>
      <w:pPr>
        <w:numPr>
          <w:ilvl w:val="0"/>
          <w:numId w:val="1014"/>
        </w:numPr>
      </w:pPr>
      <w:r>
        <w:t xml:space="preserve">investment in commercial opportunities for manufacturing products related to components of wind turbines, batteries, solar panels, and hydrogen electrolysers</w:t>
      </w:r>
    </w:p>
    <w:p>
      <w:pPr>
        <w:numPr>
          <w:ilvl w:val="0"/>
          <w:numId w:val="1014"/>
        </w:numPr>
      </w:pPr>
      <w:r>
        <w:t xml:space="preserve">investment in value-adding activities including refining materials for the use in the above.</w:t>
      </w:r>
    </w:p>
    <w:bookmarkEnd w:id="96"/>
    <w:bookmarkEnd w:id="97"/>
    <w:bookmarkEnd w:id="98"/>
    <w:bookmarkStart w:id="99" w:name="conclusion"/>
    <w:p>
      <w:pPr>
        <w:sectPr>
          <w:footnotePr>
            <w:numRestart w:val="eachSect"/>
          </w:footnotePr>
        </w:sectPr>
      </w:pPr>
    </w:p>
    <w:p>
      <w:pPr>
        <w:pStyle w:val="Heading2"/>
      </w:pPr>
      <w:r>
        <w:t xml:space="preserve">7.3 Conclusion</w:t>
      </w:r>
    </w:p>
    <w:p>
      <w:pPr>
        <w:pStyle w:val="Compact"/>
        <w:numPr>
          <w:ilvl w:val="0"/>
          <w:numId w:val="1015"/>
        </w:numPr>
      </w:pPr>
      <w:r>
        <w:t xml:space="preserve">summary</w:t>
      </w:r>
    </w:p>
    <w:bookmarkEnd w:id="99"/>
    <w:bookmarkEnd w:id="100"/>
    <w:bookmarkStart w:id="105" w:name="aluminium"/>
    <w:p>
      <w:pPr>
        <w:sectPr>
          <w:footnotePr>
            <w:numRestart w:val="eachSect"/>
          </w:footnotePr>
        </w:sectPr>
      </w:pPr>
    </w:p>
    <w:p>
      <w:pPr>
        <w:pStyle w:val="Heading1"/>
      </w:pPr>
      <w:r>
        <w:t xml:space="preserve">8. Aluminium</w:t>
      </w:r>
    </w:p>
    <w:bookmarkStart w:id="101" w:name="industry-overview-1"/>
    <w:p>
      <w:pPr>
        <w:pStyle w:val="Heading3"/>
      </w:pPr>
      <w:r>
        <w:t xml:space="preserve">8.0.1 Industry Overview</w:t>
      </w:r>
    </w:p>
    <w:p>
      <w:pPr>
        <w:pStyle w:val="FirstParagraph"/>
      </w:pPr>
      <w:r>
        <w:t xml:space="preserve">The aluminium industry in Australia comprises the entire supply chain from Aluminium ore through to manufactured aluminium products. This report specifically focuses on the production of alumina, and the smelting of alumina into aluminium. These two industries employ 6,853 and 3,245 employees respectively.1 Additional research into industries which further process aluminium, such as aluminium rolling, drawing and extruding, and architectural aluminium product manufacturing can be conducted on request.  </w:t>
      </w:r>
    </w:p>
    <w:p>
      <w:pPr>
        <w:pStyle w:val="BodyText"/>
      </w:pPr>
      <w:r>
        <w:t xml:space="preserve">This report is intended to provide guidance about current alumina production and aluminium smelting in Australia, including industry trends, and an overview of our current membership in this sector.  </w:t>
      </w:r>
    </w:p>
    <w:p>
      <w:pPr>
        <w:numPr>
          <w:ilvl w:val="0"/>
          <w:numId w:val="1016"/>
        </w:numPr>
      </w:pPr>
      <w:r>
        <w:t xml:space="preserve">The aluminium industry is nominally comprised of:</w:t>
      </w:r>
    </w:p>
    <w:p>
      <w:pPr>
        <w:numPr>
          <w:ilvl w:val="1"/>
          <w:numId w:val="1017"/>
        </w:numPr>
      </w:pPr>
      <w:r>
        <w:t xml:space="preserve">Aluminium Smelting</w:t>
      </w:r>
    </w:p>
    <w:p>
      <w:pPr>
        <w:numPr>
          <w:ilvl w:val="1"/>
          <w:numId w:val="1017"/>
        </w:numPr>
      </w:pPr>
      <w:r>
        <w:t xml:space="preserve">Alumina Production</w:t>
      </w:r>
    </w:p>
    <w:p>
      <w:pPr>
        <w:numPr>
          <w:ilvl w:val="1"/>
          <w:numId w:val="1017"/>
        </w:numPr>
      </w:pPr>
      <w:r>
        <w:t xml:space="preserve">Aluminium Rolling, Drawing and Extruding</w:t>
      </w:r>
    </w:p>
    <w:p>
      <w:pPr>
        <w:pStyle w:val="FirstParagraph"/>
      </w:pPr>
      <w:r>
        <w:t xml:space="preserve">The aluminium industry in Australia comprises the entire supply chain from Aluminium ore through to manufactured aluminium. These two industries employ 6,853 and 3,245 people respectively. products.</w:t>
      </w:r>
    </w:p>
    <w:p>
      <w:pPr>
        <w:pStyle w:val="BodyText"/>
      </w:pPr>
      <w:r>
        <w:t xml:space="preserve">Financial analysis from IBISWorld indicates that the Alumina Production industry in Australia is worth $6.7 billion, employing more than 6,800 employees, across only three businesses.  Aluminium smelting is a less concentrated industry, worth $6.8 billion, employing 3,245 employees across 57 businesses.</w:t>
      </w:r>
    </w:p>
    <w:p>
      <w:pPr>
        <w:pStyle w:val="BodyText"/>
      </w:pPr>
      <w:r>
        <w:t xml:space="preserve">Financial analysis from IBISWorld indicates that the Alumina Production industry in Australia is worth $6.7 billion, employing more than 6,800 employees, across only three businesses as shown in Figure 1.  Aluminium smelting is a less concentrated industry, worth $6.8 billion, employing 3,245 employees across 57 businesses.  </w:t>
      </w:r>
    </w:p>
    <w:p>
      <w:pPr>
        <w:pStyle w:val="BodyText"/>
      </w:pPr>
      <w:r>
        <w:t xml:space="preserve">Figure 1: Alumina Production in Australia 2 </w:t>
      </w:r>
    </w:p>
    <w:p>
      <w:pPr>
        <w:pStyle w:val="BodyText"/>
      </w:pPr>
      <w:r>
        <w:t xml:space="preserve">Figure : Aluminium Smelting in Australia 3 </w:t>
      </w:r>
    </w:p>
    <w:p>
      <w:pPr>
        <w:pStyle w:val="BodyText"/>
      </w:pPr>
      <w:r>
        <w:t xml:space="preserve">Major players </w:t>
      </w:r>
    </w:p>
    <w:p>
      <w:pPr>
        <w:pStyle w:val="BodyText"/>
      </w:pPr>
      <w:r>
        <w:t xml:space="preserve">According to IBISWorld, there are only three companies which make up the alumina production industry in Australia, dominated by Alcoa and Rio Tinto, which comprise over 75% of the market as shown in Table 1. Rio Tinto is also a significant player in the aluminium smelting industry, taking over 40% of the market in 2024 as shown in Table 2. </w:t>
      </w:r>
    </w:p>
    <w:p>
      <w:pPr>
        <w:pStyle w:val="BodyText"/>
      </w:pPr>
      <w:r>
        <w:t xml:space="preserve">Table 1: Alumina Production in Australia </w:t>
      </w:r>
    </w:p>
    <w:tbl>
      <w:tblPr>
        <w:tblStyle w:val="Table"/>
        <w:tblW w:type="pct" w:w="4028"/>
        <w:tblLayout w:type="fixed"/>
        <w:tblLook w:firstRow="0" w:lastRow="0" w:firstColumn="0" w:lastColumn="0" w:noHBand="0" w:noVBand="0" w:val="0000"/>
      </w:tblPr>
      <w:tblGrid>
        <w:gridCol w:w="2310"/>
        <w:gridCol w:w="2090"/>
        <w:gridCol w:w="1980"/>
      </w:tblGrid>
      <w:tr>
        <w:tc>
          <w:tcPr/>
          <w:p>
            <w:pPr>
              <w:pStyle w:val="Compact"/>
            </w:pPr>
            <w:r>
              <w:rPr>
                <w:b/>
                <w:bCs/>
              </w:rPr>
              <w:t xml:space="preserve">Company</w:t>
            </w:r>
          </w:p>
        </w:tc>
        <w:tc>
          <w:tcPr/>
          <w:p>
            <w:pPr>
              <w:pStyle w:val="BodyText"/>
            </w:pPr>
            <w:r>
              <w:rPr>
                <w:b/>
                <w:bCs/>
              </w:rPr>
              <w:t xml:space="preserve">Market Share</w:t>
            </w:r>
          </w:p>
          <w:p>
            <w:pPr>
              <w:pStyle w:val="BodyText"/>
            </w:pPr>
            <w:r>
              <w:rPr>
                <w:b/>
                <w:bCs/>
              </w:rPr>
              <w:t xml:space="preserve">(%, 2024)</w:t>
            </w:r>
          </w:p>
        </w:tc>
        <w:tc>
          <w:tcPr/>
          <w:p>
            <w:pPr>
              <w:pStyle w:val="BodyText"/>
            </w:pPr>
            <w:r>
              <w:rPr>
                <w:b/>
                <w:bCs/>
              </w:rPr>
              <w:t xml:space="preserve">Revenue</w:t>
            </w:r>
          </w:p>
          <w:p>
            <w:pPr>
              <w:pStyle w:val="BodyText"/>
            </w:pPr>
            <w:r>
              <w:rPr>
                <w:b/>
                <w:bCs/>
              </w:rPr>
              <w:t xml:space="preserve">($m, 2024)</w:t>
            </w:r>
          </w:p>
        </w:tc>
      </w:tr>
      <w:tr>
        <w:tc>
          <w:tcPr/>
          <w:p>
            <w:pPr>
              <w:pStyle w:val="Compact"/>
            </w:pPr>
            <w:r>
              <w:t xml:space="preserve">Alcoa of Australia</w:t>
            </w:r>
          </w:p>
        </w:tc>
        <w:tc>
          <w:tcPr/>
          <w:p>
            <w:pPr>
              <w:pStyle w:val="Compact"/>
            </w:pPr>
            <w:r>
              <w:t xml:space="preserve">46.1</w:t>
            </w:r>
          </w:p>
        </w:tc>
        <w:tc>
          <w:tcPr/>
          <w:p>
            <w:pPr>
              <w:pStyle w:val="Compact"/>
            </w:pPr>
            <w:r>
              <w:t xml:space="preserve">3,100</w:t>
            </w:r>
          </w:p>
        </w:tc>
      </w:tr>
      <w:tr>
        <w:tc>
          <w:tcPr/>
          <w:p>
            <w:pPr>
              <w:pStyle w:val="Compact"/>
            </w:pPr>
            <w:r>
              <w:t xml:space="preserve">Rio Tinto</w:t>
            </w:r>
          </w:p>
        </w:tc>
        <w:tc>
          <w:tcPr/>
          <w:p>
            <w:pPr>
              <w:pStyle w:val="Compact"/>
            </w:pPr>
            <w:r>
              <w:t xml:space="preserve">31.5</w:t>
            </w:r>
          </w:p>
        </w:tc>
        <w:tc>
          <w:tcPr/>
          <w:p>
            <w:pPr>
              <w:pStyle w:val="Compact"/>
            </w:pPr>
            <w:r>
              <w:t xml:space="preserve">2,120</w:t>
            </w:r>
          </w:p>
        </w:tc>
      </w:tr>
      <w:tr>
        <w:tc>
          <w:tcPr/>
          <w:p>
            <w:pPr>
              <w:pStyle w:val="Compact"/>
            </w:pPr>
            <w:r>
              <w:t xml:space="preserve">South32</w:t>
            </w:r>
          </w:p>
        </w:tc>
        <w:tc>
          <w:tcPr/>
          <w:p>
            <w:pPr>
              <w:pStyle w:val="Compact"/>
            </w:pPr>
            <w:r>
              <w:t xml:space="preserve">22.4</w:t>
            </w:r>
          </w:p>
        </w:tc>
        <w:tc>
          <w:tcPr/>
          <w:p>
            <w:pPr>
              <w:pStyle w:val="Compact"/>
            </w:pPr>
            <w:r>
              <w:t xml:space="preserve">1,510</w:t>
            </w:r>
          </w:p>
        </w:tc>
      </w:tr>
    </w:tbl>
    <w:p>
      <w:pPr>
        <w:pStyle w:val="BodyText"/>
      </w:pPr>
      <w:r>
        <w:t xml:space="preserve">Table 2: Aluminium Smelting in Australia </w:t>
      </w:r>
    </w:p>
    <w:tbl>
      <w:tblPr>
        <w:tblStyle w:val="Table"/>
        <w:tblW w:type="pct" w:w="4028"/>
        <w:tblLayout w:type="fixed"/>
        <w:tblLook w:firstRow="0" w:lastRow="0" w:firstColumn="0" w:lastColumn="0" w:noHBand="0" w:noVBand="0" w:val="0000"/>
      </w:tblPr>
      <w:tblGrid>
        <w:gridCol w:w="2310"/>
        <w:gridCol w:w="2090"/>
        <w:gridCol w:w="1980"/>
      </w:tblGrid>
      <w:tr>
        <w:tc>
          <w:tcPr/>
          <w:p>
            <w:pPr>
              <w:pStyle w:val="Compact"/>
            </w:pPr>
            <w:r>
              <w:rPr>
                <w:b/>
                <w:bCs/>
              </w:rPr>
              <w:t xml:space="preserve">Company</w:t>
            </w:r>
          </w:p>
        </w:tc>
        <w:tc>
          <w:tcPr/>
          <w:p>
            <w:pPr>
              <w:pStyle w:val="BodyText"/>
            </w:pPr>
            <w:r>
              <w:rPr>
                <w:b/>
                <w:bCs/>
              </w:rPr>
              <w:t xml:space="preserve">Market Share</w:t>
            </w:r>
          </w:p>
          <w:p>
            <w:pPr>
              <w:pStyle w:val="BodyText"/>
            </w:pPr>
            <w:r>
              <w:rPr>
                <w:b/>
                <w:bCs/>
              </w:rPr>
              <w:t xml:space="preserve">(%, 2024)</w:t>
            </w:r>
          </w:p>
        </w:tc>
        <w:tc>
          <w:tcPr/>
          <w:p>
            <w:pPr>
              <w:pStyle w:val="BodyText"/>
            </w:pPr>
            <w:r>
              <w:rPr>
                <w:b/>
                <w:bCs/>
              </w:rPr>
              <w:t xml:space="preserve">Revenue</w:t>
            </w:r>
          </w:p>
          <w:p>
            <w:pPr>
              <w:pStyle w:val="BodyText"/>
            </w:pPr>
            <w:r>
              <w:rPr>
                <w:b/>
                <w:bCs/>
              </w:rPr>
              <w:t xml:space="preserve">($m, 2024)</w:t>
            </w:r>
          </w:p>
        </w:tc>
      </w:tr>
      <w:tr>
        <w:tc>
          <w:tcPr/>
          <w:p>
            <w:pPr>
              <w:pStyle w:val="Compact"/>
            </w:pPr>
            <w:r>
              <w:t xml:space="preserve">Rio Tinto</w:t>
            </w:r>
          </w:p>
        </w:tc>
        <w:tc>
          <w:tcPr/>
          <w:p>
            <w:pPr>
              <w:pStyle w:val="Compact"/>
            </w:pPr>
            <w:r>
              <w:t xml:space="preserve">40.6</w:t>
            </w:r>
          </w:p>
        </w:tc>
        <w:tc>
          <w:tcPr/>
          <w:p>
            <w:pPr>
              <w:pStyle w:val="Compact"/>
            </w:pPr>
            <w:r>
              <w:t xml:space="preserve">2,756.7</w:t>
            </w:r>
          </w:p>
        </w:tc>
      </w:tr>
      <w:tr>
        <w:tc>
          <w:tcPr/>
          <w:p>
            <w:pPr>
              <w:pStyle w:val="Compact"/>
            </w:pPr>
            <w:r>
              <w:t xml:space="preserve">Alcoa of Australia</w:t>
            </w:r>
          </w:p>
        </w:tc>
        <w:tc>
          <w:tcPr/>
          <w:p>
            <w:pPr>
              <w:pStyle w:val="Compact"/>
            </w:pPr>
            <w:r>
              <w:t xml:space="preserve">8.4</w:t>
            </w:r>
          </w:p>
        </w:tc>
        <w:tc>
          <w:tcPr/>
          <w:p>
            <w:pPr>
              <w:pStyle w:val="Compact"/>
            </w:pPr>
            <w:r>
              <w:t xml:space="preserve">566.9</w:t>
            </w:r>
          </w:p>
        </w:tc>
      </w:tr>
      <w:tr>
        <w:tc>
          <w:tcPr/>
          <w:p>
            <w:pPr>
              <w:pStyle w:val="Compact"/>
            </w:pPr>
            <w:r>
              <w:t xml:space="preserve">Marubeni Aluminium</w:t>
            </w:r>
          </w:p>
        </w:tc>
        <w:tc>
          <w:tcPr/>
          <w:p>
            <w:pPr>
              <w:pStyle w:val="Compact"/>
            </w:pPr>
            <w:r>
              <w:t xml:space="preserve">5.0</w:t>
            </w:r>
          </w:p>
        </w:tc>
        <w:tc>
          <w:tcPr/>
          <w:p>
            <w:pPr>
              <w:pStyle w:val="Compact"/>
            </w:pPr>
            <w:r>
              <w:t xml:space="preserve">339.4</w:t>
            </w:r>
          </w:p>
        </w:tc>
      </w:tr>
    </w:tbl>
    <w:p>
      <w:pPr>
        <w:pStyle w:val="BodyText"/>
      </w:pPr>
      <w:r>
        <w:t xml:space="preserve">Industry Trends  </w:t>
      </w:r>
    </w:p>
    <w:p>
      <w:pPr>
        <w:pStyle w:val="BodyText"/>
      </w:pPr>
      <w:r>
        <w:t xml:space="preserve">Australia is the world’s largest producer of bauxite, and exporter of Alumina.4 Significant volatility in global prices due to Covid-19 and increasing cost pressures have impacted the output of the Alumina Production sector. Revenue declined by an annualised 8.5% through the end of 2023-24.5  Falling demand in aluminium smelting in Australia is attributable to 2.4% of this decline.  </w:t>
      </w:r>
    </w:p>
    <w:p>
      <w:pPr>
        <w:pStyle w:val="BodyText"/>
      </w:pPr>
      <w:r>
        <w:t xml:space="preserve">In contrast, production of aluminium is anticipated to increase over the next few years as global efforts are made to decarbonise the economy. In order to remain competitive, low carbon alumina production initiatives must be prioritised.   </w:t>
      </w:r>
    </w:p>
    <w:p>
      <w:pPr>
        <w:pStyle w:val="BodyText"/>
      </w:pPr>
      <w:r>
        <w:t xml:space="preserve">Aluminium smelting is the downstream process to Alumina production. Aluminium smelting is an energy intensive process which consumes upwards of 10% of the National Electricity Market. Increases in the production of green energy, leading to more competitive prices, has the potential to decarbonise the aluminium smelting industry. Despite Australia’s dominance in alumina production, it is behind China in the production of aluminium.  Inflated energy costs in Europe due to the Russia-Ukraine conflict, and uncertainty regarding carbon pricing policy in Australia contribute to volatility in global prices, and uncertainty in local production.  </w:t>
      </w:r>
    </w:p>
    <w:p>
      <w:pPr>
        <w:pStyle w:val="BodyText"/>
      </w:pPr>
      <w:r>
        <w:t xml:space="preserve">Table 3: Alumina Production and Aluminium Smelting Financial Trends 6 </w:t>
      </w:r>
    </w:p>
    <w:tbl>
      <w:tblPr>
        <w:tblStyle w:val="Table"/>
        <w:tblW w:type="pct" w:w="4890"/>
        <w:tblLayout w:type="fixed"/>
        <w:tblLook w:firstRow="0" w:lastRow="0" w:firstColumn="0" w:lastColumn="0" w:noHBand="0" w:noVBand="0" w:val="0000"/>
      </w:tblPr>
      <w:tblGrid>
        <w:gridCol w:w="1980"/>
        <w:gridCol w:w="1222"/>
        <w:gridCol w:w="1630"/>
        <w:gridCol w:w="1747"/>
        <w:gridCol w:w="1164"/>
      </w:tblGrid>
      <w:tr>
        <w:tc>
          <w:tcPr/>
          <w:p>
            <w:pPr>
              <w:pStyle w:val="Compact"/>
            </w:pPr>
            <w:r>
              <w:rPr>
                <w:b/>
                <w:bCs/>
              </w:rPr>
              <w:t xml:space="preserve">Sector</w:t>
            </w:r>
          </w:p>
        </w:tc>
        <w:tc>
          <w:tcPr/>
          <w:p>
            <w:pPr>
              <w:pStyle w:val="BodyText"/>
            </w:pPr>
            <w:r>
              <w:rPr>
                <w:b/>
                <w:bCs/>
              </w:rPr>
              <w:t xml:space="preserve">Revenue</w:t>
            </w:r>
          </w:p>
          <w:p>
            <w:pPr>
              <w:pStyle w:val="BodyText"/>
            </w:pPr>
            <w:r>
              <w:rPr>
                <w:b/>
                <w:bCs/>
              </w:rPr>
              <w:t xml:space="preserve">($m, 2023/24)</w:t>
            </w:r>
          </w:p>
        </w:tc>
        <w:tc>
          <w:tcPr/>
          <w:p>
            <w:pPr>
              <w:pStyle w:val="BodyText"/>
            </w:pPr>
            <w:r>
              <w:rPr>
                <w:b/>
                <w:bCs/>
              </w:rPr>
              <w:t xml:space="preserve">5-year Revenue Growth</w:t>
            </w:r>
          </w:p>
          <w:p>
            <w:pPr>
              <w:pStyle w:val="BodyText"/>
            </w:pPr>
            <w:r>
              <w:rPr>
                <w:b/>
                <w:bCs/>
              </w:rPr>
              <w:t xml:space="preserve">(%)</w:t>
            </w:r>
          </w:p>
        </w:tc>
        <w:tc>
          <w:tcPr/>
          <w:p>
            <w:pPr>
              <w:pStyle w:val="BodyText"/>
            </w:pPr>
            <w:r>
              <w:rPr>
                <w:b/>
                <w:bCs/>
              </w:rPr>
              <w:t xml:space="preserve">Forecast Revenue Growth</w:t>
            </w:r>
          </w:p>
          <w:p>
            <w:pPr>
              <w:pStyle w:val="BodyText"/>
            </w:pPr>
            <w:r>
              <w:rPr>
                <w:b/>
                <w:bCs/>
              </w:rPr>
              <w:t xml:space="preserve">(%)</w:t>
            </w:r>
          </w:p>
        </w:tc>
        <w:tc>
          <w:tcPr/>
          <w:p>
            <w:pPr>
              <w:pStyle w:val="BodyText"/>
            </w:pPr>
            <w:r>
              <w:rPr>
                <w:b/>
                <w:bCs/>
              </w:rPr>
              <w:t xml:space="preserve">Profit Margin</w:t>
            </w:r>
          </w:p>
          <w:p>
            <w:pPr>
              <w:pStyle w:val="BodyText"/>
            </w:pPr>
            <w:r>
              <w:rPr>
                <w:b/>
                <w:bCs/>
              </w:rPr>
              <w:t xml:space="preserve">($m, 2024)</w:t>
            </w:r>
          </w:p>
        </w:tc>
      </w:tr>
      <w:tr>
        <w:tc>
          <w:tcPr/>
          <w:p>
            <w:pPr>
              <w:pStyle w:val="Compact"/>
            </w:pPr>
            <w:r>
              <w:t xml:space="preserve">Alumina Production in Australia</w:t>
            </w:r>
          </w:p>
        </w:tc>
        <w:tc>
          <w:tcPr/>
          <w:p>
            <w:pPr>
              <w:pStyle w:val="Compact"/>
            </w:pPr>
            <w:r>
              <w:t xml:space="preserve">6726.4</w:t>
            </w:r>
          </w:p>
        </w:tc>
        <w:tc>
          <w:tcPr/>
          <w:p>
            <w:pPr>
              <w:pStyle w:val="Compact"/>
            </w:pPr>
            <w:r>
              <w:t xml:space="preserve">-5.62</w:t>
            </w:r>
          </w:p>
        </w:tc>
        <w:tc>
          <w:tcPr/>
          <w:p>
            <w:pPr>
              <w:pStyle w:val="Compact"/>
            </w:pPr>
            <w:r>
              <w:t xml:space="preserve">0.18</w:t>
            </w:r>
          </w:p>
        </w:tc>
        <w:tc>
          <w:tcPr/>
          <w:p>
            <w:pPr>
              <w:pStyle w:val="Compact"/>
            </w:pPr>
            <w:r>
              <w:t xml:space="preserve">7.0</w:t>
            </w:r>
          </w:p>
        </w:tc>
      </w:tr>
      <w:tr>
        <w:tc>
          <w:tcPr/>
          <w:p>
            <w:pPr>
              <w:pStyle w:val="Compact"/>
            </w:pPr>
            <w:r>
              <w:t xml:space="preserve">Aluminium Smelting in Australia</w:t>
            </w:r>
          </w:p>
        </w:tc>
        <w:tc>
          <w:tcPr/>
          <w:p>
            <w:pPr>
              <w:pStyle w:val="Compact"/>
            </w:pPr>
            <w:r>
              <w:t xml:space="preserve">6787.4</w:t>
            </w:r>
          </w:p>
        </w:tc>
        <w:tc>
          <w:tcPr/>
          <w:p>
            <w:pPr>
              <w:pStyle w:val="Compact"/>
            </w:pPr>
            <w:r>
              <w:t xml:space="preserve">3.20</w:t>
            </w:r>
          </w:p>
        </w:tc>
        <w:tc>
          <w:tcPr/>
          <w:p>
            <w:pPr>
              <w:pStyle w:val="Compact"/>
            </w:pPr>
            <w:r>
              <w:t xml:space="preserve">0.16</w:t>
            </w:r>
          </w:p>
        </w:tc>
        <w:tc>
          <w:tcPr/>
          <w:p>
            <w:pPr>
              <w:pStyle w:val="Compact"/>
            </w:pPr>
            <w:r>
              <w:t xml:space="preserve">4.1</w:t>
            </w:r>
          </w:p>
        </w:tc>
      </w:tr>
    </w:tbl>
    <w:p>
      <w:pPr>
        <w:pStyle w:val="BodyText"/>
      </w:pPr>
      <w:r>
        <w:t xml:space="preserve">According to the Australian Aluminium Council7 the sector, in total (including all downstream processing): </w:t>
      </w:r>
    </w:p>
    <w:p>
      <w:pPr>
        <w:pStyle w:val="Compact"/>
        <w:numPr>
          <w:ilvl w:val="0"/>
          <w:numId w:val="1018"/>
        </w:numPr>
      </w:pPr>
      <w:r>
        <w:t xml:space="preserve">Directly employs 21,000 workers </w:t>
      </w:r>
    </w:p>
    <w:p>
      <w:pPr>
        <w:pStyle w:val="Compact"/>
        <w:numPr>
          <w:ilvl w:val="0"/>
          <w:numId w:val="1019"/>
        </w:numPr>
      </w:pPr>
      <w:r>
        <w:t xml:space="preserve">Indirectly supports over 60,000 families, mostly in regional communities </w:t>
      </w:r>
    </w:p>
    <w:p>
      <w:pPr>
        <w:pStyle w:val="Compact"/>
        <w:numPr>
          <w:ilvl w:val="0"/>
          <w:numId w:val="1020"/>
        </w:numPr>
      </w:pPr>
      <w:r>
        <w:t xml:space="preserve">Contributes $18 billion annually to Australia’s GDP, with $14+ billion from alumina and aluminium </w:t>
      </w:r>
    </w:p>
    <w:bookmarkEnd w:id="101"/>
    <w:bookmarkStart w:id="103" w:name="opportunities-1"/>
    <w:p>
      <w:pPr>
        <w:sectPr>
          <w:footnotePr>
            <w:numRestart w:val="eachSect"/>
          </w:footnotePr>
        </w:sectPr>
      </w:pPr>
    </w:p>
    <w:p>
      <w:pPr>
        <w:pStyle w:val="Heading2"/>
      </w:pPr>
      <w:r>
        <w:t xml:space="preserve">8.1 Opportunities</w:t>
      </w:r>
    </w:p>
    <w:p>
      <w:pPr>
        <w:pStyle w:val="FirstParagraph"/>
      </w:pPr>
      <w:r>
        <w:rPr>
          <w:b/>
          <w:bCs/>
        </w:rPr>
        <w:t xml:space="preserve">tomago, special finance vehicles</w:t>
      </w:r>
    </w:p>
    <w:bookmarkStart w:id="102" w:name="government-support"/>
    <w:p>
      <w:pPr>
        <w:pStyle w:val="Heading4"/>
      </w:pPr>
      <w:r>
        <w:t xml:space="preserve">8.1.0.1 Government support </w:t>
      </w:r>
    </w:p>
    <w:p>
      <w:pPr>
        <w:pStyle w:val="FirstParagraph"/>
      </w:pPr>
      <w:r>
        <w:t xml:space="preserve">Green metals are a priority under the Future Made in Australia plan. The Government has announced a $2 billion Green Aluminium Production Credit, available from 2028–29, to support Australia’s aluminium smelters to transition to renewable electricity.  </w:t>
      </w:r>
    </w:p>
    <w:p>
      <w:pPr>
        <w:pStyle w:val="Compact"/>
        <w:numPr>
          <w:ilvl w:val="0"/>
          <w:numId w:val="1021"/>
        </w:numPr>
      </w:pPr>
      <w:r>
        <w:t xml:space="preserve">Smelters that can show new significant decarbonisation before 2036 can negotiate an emissions-linked credit contract payable per tonne of green aluminium produced for up to 10 years. </w:t>
      </w:r>
    </w:p>
    <w:p>
      <w:pPr>
        <w:pStyle w:val="FirstParagraph"/>
      </w:pPr>
      <w:r>
        <w:t xml:space="preserve">The Government has also committed $1.5 million over 3 years to influence standards for green aluminium internationally, and to provide technical expertise and definitions for other green metals. </w:t>
      </w:r>
    </w:p>
    <w:p>
      <w:pPr>
        <w:pStyle w:val="BodyText"/>
      </w:pPr>
      <w:r>
        <w:rPr>
          <w:b/>
          <w:bCs/>
        </w:rPr>
        <w:t xml:space="preserve">Multi-employer bargaining</w:t>
      </w:r>
    </w:p>
    <w:p>
      <w:pPr>
        <w:pStyle w:val="BodyText"/>
      </w:pPr>
      <w:r>
        <w:t xml:space="preserve">The question of multi-employer bargaining and same job same pay are best answered by delegates and organisers. It may be difficult to undertake an approach with smaller businesses as consent is required if a workplace has fewer than 20 employees.</w:t>
      </w:r>
    </w:p>
    <w:p>
      <w:pPr>
        <w:pStyle w:val="BodyText"/>
      </w:pPr>
      <w:r>
        <w:rPr>
          <w:b/>
          <w:bCs/>
        </w:rPr>
        <w:t xml:space="preserve">same job same pay</w:t>
      </w:r>
    </w:p>
    <w:p>
      <w:pPr>
        <w:pStyle w:val="BodyText"/>
      </w:pPr>
      <w:r>
        <w:t xml:space="preserve">Same Job Same Pay applies only to labour hire - rather than two companies that are co-located. Some labour hire companies appear to offer employment in aluminium production. We would need to check our existing density and coverage of aluminium supply chain businesses.</w:t>
      </w:r>
    </w:p>
    <w:bookmarkEnd w:id="102"/>
    <w:bookmarkEnd w:id="103"/>
    <w:bookmarkStart w:id="104" w:name="conclusion-1"/>
    <w:p>
      <w:pPr>
        <w:sectPr>
          <w:footnotePr>
            <w:numRestart w:val="eachSect"/>
          </w:footnotePr>
        </w:sectPr>
      </w:pPr>
    </w:p>
    <w:p>
      <w:pPr>
        <w:pStyle w:val="Heading2"/>
      </w:pPr>
      <w:r>
        <w:t xml:space="preserve">8.2 Conclusion</w:t>
      </w:r>
    </w:p>
    <w:p>
      <w:pPr>
        <w:pStyle w:val="FirstParagraph"/>
      </w:pPr>
      <w:r>
        <w:t xml:space="preserve">Aluminium represents a significant opportunity for us to organize and build density. As a priority area under the FMIA and NRF, the government is likely to support industrial development in this sector. However, issues around rules coverage must be considered, especially if processes are being modernised to the point where our rules no longer cover the kinds of work being undertaken.</w:t>
      </w:r>
    </w:p>
    <w:p>
      <w:pPr>
        <w:pStyle w:val="BodyText"/>
      </w:pPr>
      <w:r>
        <w:rPr>
          <w:b/>
          <w:bCs/>
        </w:rPr>
        <w:t xml:space="preserve">role for delegates and organisers</w:t>
      </w:r>
    </w:p>
    <w:p>
      <w:pPr>
        <w:numPr>
          <w:ilvl w:val="0"/>
          <w:numId w:val="1022"/>
        </w:numPr>
      </w:pPr>
      <w:r>
        <w:t xml:space="preserve">summary</w:t>
      </w:r>
    </w:p>
    <w:p>
      <w:pPr>
        <w:numPr>
          <w:ilvl w:val="0"/>
          <w:numId w:val="1022"/>
        </w:numPr>
      </w:pPr>
      <w:r>
        <w:t xml:space="preserve">any other issues</w:t>
      </w:r>
    </w:p>
    <w:bookmarkEnd w:id="104"/>
    <w:bookmarkEnd w:id="105"/>
    <w:bookmarkStart w:id="111" w:name="wind-tower-construction"/>
    <w:p>
      <w:pPr>
        <w:sectPr>
          <w:footnotePr>
            <w:numRestart w:val="eachSect"/>
          </w:footnotePr>
        </w:sectPr>
      </w:pPr>
    </w:p>
    <w:p>
      <w:pPr>
        <w:pStyle w:val="Heading1"/>
      </w:pPr>
      <w:r>
        <w:t xml:space="preserve">9. Wind Tower Construction</w:t>
      </w:r>
    </w:p>
    <w:bookmarkStart w:id="106" w:name="industry-overview-2"/>
    <w:p>
      <w:pPr>
        <w:sectPr>
          <w:footnotePr>
            <w:numRestart w:val="eachSect"/>
          </w:footnotePr>
        </w:sectPr>
      </w:pPr>
    </w:p>
    <w:p>
      <w:pPr>
        <w:pStyle w:val="Heading2"/>
      </w:pPr>
      <w:r>
        <w:t xml:space="preserve">9.1 Industry Overview</w:t>
      </w:r>
    </w:p>
    <w:p>
      <w:pPr>
        <w:pStyle w:val="FirstParagraph"/>
      </w:pPr>
      <w:r>
        <w:t xml:space="preserve">Wind tower installation and maintenance is a cyclical but ongoing industry in Australia, with workers moving between construction, refurbishment, and servicing roles.   </w:t>
      </w:r>
    </w:p>
    <w:p>
      <w:pPr>
        <w:pStyle w:val="BodyText"/>
      </w:pPr>
      <w:r>
        <w:t xml:space="preserve">In late 2024 The Australia Institute published an extensive report looking at an industrial strategy for manufacturing wind towers in Australia, it estimated a national workforce in wind tower assembly and maintenance of 3,000 to 4,000 workers.</w:t>
      </w:r>
    </w:p>
    <w:p>
      <w:pPr>
        <w:pStyle w:val="BodyText"/>
      </w:pPr>
      <w:r>
        <w:t xml:space="preserve">Of this workforce, a portion (estimated 1,500–2,000 according to our rules) perform trades within AMWU’s coverage—mechanical fitters, riggers, welders, and general maintenance technicians.    </w:t>
      </w:r>
    </w:p>
    <w:p>
      <w:pPr>
        <w:pStyle w:val="BodyText"/>
      </w:pPr>
      <w:r>
        <w:t xml:space="preserve">Wind energy manufacturing represents a prime opportunity to apply the new policy tools of the federal government’s Future Made in Australia manufacturing strategy.  </w:t>
      </w:r>
    </w:p>
    <w:p>
      <w:pPr>
        <w:pStyle w:val="BodyText"/>
      </w:pPr>
      <w:r>
        <w:t xml:space="preserve">This is a difficult industry to map because the data available does not clearly distinguish between wind farms, and tower manufacturing and broader heavy manufacturing. Further research and consultation with organisers and delegates will improve our understanding of opportunities and risks.</w:t>
      </w:r>
    </w:p>
    <w:p>
      <w:pPr>
        <w:pStyle w:val="BodyText"/>
      </w:pPr>
      <w:r>
        <w:t xml:space="preserve">Wind turbine component manufacturing is heavily concentrated geographically. China accounts for well over half of all tower manufacturing capacity, with the remainder spread reasonably evenly between Europe, North America and the Asia Pacific.</w:t>
      </w:r>
      <w:r>
        <w:rPr>
          <w:b/>
          <w:bCs/>
        </w:rPr>
        <w:t xml:space="preserve">4</w:t>
      </w:r>
      <w:r>
        <w:t xml:space="preserve"> </w:t>
      </w:r>
      <w:r>
        <w:t xml:space="preserve">Table 2 is produced by Phil Toner for The Australia Institute.</w:t>
      </w:r>
    </w:p>
    <w:p>
      <w:pPr>
        <w:pStyle w:val="BodyText"/>
      </w:pPr>
      <w:r>
        <w:t xml:space="preserve">A strong pipeline of wind farm projects points to growth in industry revenue and employment.</w:t>
      </w:r>
    </w:p>
    <w:bookmarkEnd w:id="106"/>
    <w:bookmarkStart w:id="109" w:name="opportunities-2"/>
    <w:p>
      <w:pPr>
        <w:sectPr>
          <w:footnotePr>
            <w:numRestart w:val="eachSect"/>
          </w:footnotePr>
        </w:sectPr>
      </w:pPr>
    </w:p>
    <w:p>
      <w:pPr>
        <w:pStyle w:val="Heading2"/>
      </w:pPr>
      <w:r>
        <w:t xml:space="preserve">9.2 Opportunities</w:t>
      </w:r>
    </w:p>
    <w:p>
      <w:pPr>
        <w:pStyle w:val="FirstParagraph"/>
      </w:pPr>
      <w:r>
        <w:t xml:space="preserve">The government is the central driver of wind farms investment in Australia – and so demand for towers is directly dependent on continuous and consistent government-led renewable energy targets. As such, local content requirements should be mandated, as they provide the greatest opportunity for industry and supply chain development, and thus membership growth.</w:t>
      </w:r>
    </w:p>
    <w:p>
      <w:pPr>
        <w:pStyle w:val="BodyText"/>
      </w:pPr>
      <w:r>
        <w:t xml:space="preserve">Growth expected in unscheduled maintenance, which has the highest cost burden – a driver of long-term staffing.   </w:t>
      </w:r>
    </w:p>
    <w:p>
      <w:pPr>
        <w:pStyle w:val="BodyText"/>
      </w:pPr>
      <w:r>
        <w:t xml:space="preserve">The workforce includes mechanical fitters, welders, riggers, electricians (some under ETU), rope access technicians – strong overlap with AMWU eligibility.   </w:t>
      </w:r>
    </w:p>
    <w:p>
      <w:pPr>
        <w:pStyle w:val="BodyText"/>
      </w:pPr>
      <w:r>
        <w:t xml:space="preserve">Technology shift toward AI/drones will change the skill mix but not eliminate hands-on maintenance.   </w:t>
      </w:r>
    </w:p>
    <w:p>
      <w:pPr>
        <w:pStyle w:val="BodyText"/>
      </w:pPr>
      <w:r>
        <w:t xml:space="preserve">Significant workforce turnover across projects provides openings for outreach.   </w:t>
      </w:r>
    </w:p>
    <w:bookmarkStart w:id="107" w:name="multi-employer-bargaining"/>
    <w:p>
      <w:pPr>
        <w:pStyle w:val="Heading3"/>
      </w:pPr>
      <w:r>
        <w:t xml:space="preserve">Multi-employer Bargaining</w:t>
      </w:r>
    </w:p>
    <w:bookmarkEnd w:id="107"/>
    <w:bookmarkStart w:id="108" w:name="same-job-same-pay"/>
    <w:p>
      <w:pPr>
        <w:pStyle w:val="Heading3"/>
      </w:pPr>
      <w:r>
        <w:t xml:space="preserve">9.2.1 Same Job Same Pay</w:t>
      </w:r>
    </w:p>
    <w:p>
      <w:pPr>
        <w:pStyle w:val="FirstParagraph"/>
      </w:pPr>
      <w:r>
        <w:rPr>
          <w:b/>
          <w:bCs/>
        </w:rPr>
        <w:t xml:space="preserve">multi-employer bargaining</w:t>
      </w:r>
    </w:p>
    <w:p>
      <w:pPr>
        <w:pStyle w:val="BodyText"/>
      </w:pPr>
      <w:r>
        <w:rPr>
          <w:b/>
          <w:bCs/>
        </w:rPr>
        <w:t xml:space="preserve">same job same pay</w:t>
      </w:r>
    </w:p>
    <w:p>
      <w:pPr>
        <w:pStyle w:val="BodyText"/>
      </w:pPr>
      <w:r>
        <w:rPr>
          <w:b/>
          <w:bCs/>
        </w:rPr>
        <w:t xml:space="preserve">government support</w:t>
      </w:r>
    </w:p>
    <w:p>
      <w:pPr>
        <w:pStyle w:val="BodyText"/>
      </w:pPr>
      <w:r>
        <w:t xml:space="preserve">The Future Made in Australia Innovation Fund administered by ARENA will provide up to $1.5 billion in grant funding to support pre-commercial innovation, demonstration and deployment of renewable energy and low emission technologies, to support Australia’s transition to a net zero economy. </w:t>
      </w:r>
    </w:p>
    <w:p>
      <w:pPr>
        <w:pStyle w:val="BodyText"/>
      </w:pPr>
      <w:r>
        <w:t xml:space="preserve">The fund will split grant funding across three priority areas: </w:t>
      </w:r>
    </w:p>
    <w:p>
      <w:pPr>
        <w:pStyle w:val="Compact"/>
        <w:numPr>
          <w:ilvl w:val="0"/>
          <w:numId w:val="1023"/>
        </w:numPr>
      </w:pPr>
      <w:r>
        <w:t xml:space="preserve">$750 million to Green Metals including iron, steel, alumina and aluminium. </w:t>
      </w:r>
    </w:p>
    <w:p>
      <w:pPr>
        <w:pStyle w:val="Compact"/>
        <w:numPr>
          <w:ilvl w:val="0"/>
          <w:numId w:val="1024"/>
        </w:numPr>
      </w:pPr>
      <w:r>
        <w:t xml:space="preserve">$500 million to Clean Energy Technology Manufacturing to enable development of technologies seeking to alleviate critical supply chain challenges facing the clean energy transition. </w:t>
      </w:r>
    </w:p>
    <w:p>
      <w:pPr>
        <w:pStyle w:val="Compact"/>
        <w:numPr>
          <w:ilvl w:val="0"/>
          <w:numId w:val="1025"/>
        </w:numPr>
      </w:pPr>
      <w:r>
        <w:t xml:space="preserve">$250 million to Low Carbon Liquid Fuels (LCLF) including sustainable aviation fuels and renewable diesel. </w:t>
      </w:r>
    </w:p>
    <w:p>
      <w:pPr>
        <w:pStyle w:val="FirstParagraph"/>
      </w:pPr>
      <w:r>
        <w:t xml:space="preserve">In April 2025 the Victorian government released</w:t>
      </w:r>
      <w:r>
        <w:t xml:space="preserve"> </w:t>
      </w:r>
      <w:r>
        <w:t xml:space="preserve">‘Offshore Wind Energy Implementation Statement 4’</w:t>
      </w:r>
      <w:r>
        <w:t xml:space="preserve">.</w:t>
      </w:r>
      <w:r>
        <w:rPr>
          <w:b/>
          <w:bCs/>
        </w:rPr>
        <w:t xml:space="preserve">7</w:t>
      </w:r>
      <w:r>
        <w:t xml:space="preserve"> </w:t>
      </w:r>
      <w:r>
        <w:t xml:space="preserve">After a delay it has begun it’s ROI process for license holders. The following locations have been identified as possible locations for offshore wind in Victoria.  </w:t>
      </w:r>
    </w:p>
    <w:bookmarkEnd w:id="108"/>
    <w:bookmarkEnd w:id="109"/>
    <w:bookmarkStart w:id="110" w:name="conclusion-2"/>
    <w:p>
      <w:pPr>
        <w:sectPr>
          <w:footnotePr>
            <w:numRestart w:val="eachSect"/>
          </w:footnotePr>
        </w:sectPr>
      </w:pPr>
    </w:p>
    <w:p>
      <w:pPr>
        <w:pStyle w:val="Heading2"/>
      </w:pPr>
      <w:r>
        <w:t xml:space="preserve">9.3 Conclusion</w:t>
      </w:r>
    </w:p>
    <w:p>
      <w:pPr>
        <w:pStyle w:val="FirstParagraph"/>
      </w:pPr>
      <w:r>
        <w:t xml:space="preserve">There is a risk of non-union firms growing and undercutting firms with EBAs – need EBAs with new entrants and sub-contractors. </w:t>
      </w:r>
    </w:p>
    <w:p>
      <w:pPr>
        <w:numPr>
          <w:ilvl w:val="0"/>
          <w:numId w:val="1026"/>
        </w:numPr>
      </w:pPr>
      <w:r>
        <w:t xml:space="preserve">summary</w:t>
      </w:r>
    </w:p>
    <w:p>
      <w:pPr>
        <w:numPr>
          <w:ilvl w:val="0"/>
          <w:numId w:val="1026"/>
        </w:numPr>
      </w:pPr>
      <w:r>
        <w:t xml:space="preserve">any other issues</w:t>
      </w:r>
    </w:p>
    <w:bookmarkEnd w:id="110"/>
    <w:bookmarkEnd w:id="111"/>
    <w:bookmarkStart w:id="115" w:name="laboratories"/>
    <w:p>
      <w:pPr>
        <w:sectPr>
          <w:footnotePr>
            <w:numRestart w:val="eachSect"/>
          </w:footnotePr>
        </w:sectPr>
      </w:pPr>
    </w:p>
    <w:p>
      <w:pPr>
        <w:pStyle w:val="Heading1"/>
      </w:pPr>
      <w:r>
        <w:t xml:space="preserve">10. Laboratories</w:t>
      </w:r>
    </w:p>
    <w:bookmarkStart w:id="112" w:name="industry-overview-3"/>
    <w:p>
      <w:pPr>
        <w:sectPr>
          <w:footnotePr>
            <w:numRestart w:val="eachSect"/>
          </w:footnotePr>
        </w:sectPr>
      </w:pPr>
    </w:p>
    <w:p>
      <w:pPr>
        <w:pStyle w:val="Heading2"/>
      </w:pPr>
      <w:r>
        <w:t xml:space="preserve">10.1 Industry Overview</w:t>
      </w:r>
    </w:p>
    <w:p>
      <w:pPr>
        <w:numPr>
          <w:ilvl w:val="0"/>
          <w:numId w:val="1027"/>
        </w:numPr>
      </w:pPr>
      <w:r>
        <w:t xml:space="preserve">is the industry in growth or decline?</w:t>
      </w:r>
    </w:p>
    <w:p>
      <w:pPr>
        <w:numPr>
          <w:ilvl w:val="1"/>
          <w:numId w:val="1028"/>
        </w:numPr>
      </w:pPr>
      <w:r>
        <w:t xml:space="preserve">employment</w:t>
      </w:r>
    </w:p>
    <w:p>
      <w:pPr>
        <w:numPr>
          <w:ilvl w:val="1"/>
          <w:numId w:val="1028"/>
        </w:numPr>
      </w:pPr>
      <w:r>
        <w:t xml:space="preserve">output</w:t>
      </w:r>
    </w:p>
    <w:p>
      <w:pPr>
        <w:numPr>
          <w:ilvl w:val="1"/>
          <w:numId w:val="1028"/>
        </w:numPr>
      </w:pPr>
      <w:r>
        <w:t xml:space="preserve">revenue</w:t>
      </w:r>
    </w:p>
    <w:bookmarkEnd w:id="112"/>
    <w:bookmarkStart w:id="113" w:name="opportunities-3"/>
    <w:p>
      <w:pPr>
        <w:sectPr>
          <w:footnotePr>
            <w:numRestart w:val="eachSect"/>
          </w:footnotePr>
        </w:sectPr>
      </w:pPr>
    </w:p>
    <w:p>
      <w:pPr>
        <w:pStyle w:val="Heading2"/>
      </w:pPr>
      <w:r>
        <w:t xml:space="preserve">10.2 Opportunities</w:t>
      </w:r>
    </w:p>
    <w:p>
      <w:pPr>
        <w:numPr>
          <w:ilvl w:val="0"/>
          <w:numId w:val="1029"/>
        </w:numPr>
      </w:pPr>
      <w:r>
        <w:t xml:space="preserve">what and where are the opportunities for growth?</w:t>
      </w:r>
    </w:p>
    <w:p>
      <w:pPr>
        <w:numPr>
          <w:ilvl w:val="0"/>
          <w:numId w:val="1029"/>
        </w:numPr>
      </w:pPr>
      <w:r>
        <w:t xml:space="preserve">is there an opportunity to use multi-employer bargaining, same job same pay, or other tools?</w:t>
      </w:r>
    </w:p>
    <w:p>
      <w:pPr>
        <w:numPr>
          <w:ilvl w:val="0"/>
          <w:numId w:val="1029"/>
        </w:numPr>
      </w:pPr>
      <w:r>
        <w:t xml:space="preserve">is there an opportunity to use FMIA</w:t>
      </w:r>
    </w:p>
    <w:bookmarkEnd w:id="113"/>
    <w:bookmarkStart w:id="114" w:name="conclusion-3"/>
    <w:p>
      <w:pPr>
        <w:sectPr>
          <w:footnotePr>
            <w:numRestart w:val="eachSect"/>
          </w:footnotePr>
        </w:sectPr>
      </w:pPr>
    </w:p>
    <w:p>
      <w:pPr>
        <w:pStyle w:val="Heading2"/>
      </w:pPr>
      <w:r>
        <w:t xml:space="preserve">10.3 Conclusion</w:t>
      </w:r>
    </w:p>
    <w:p>
      <w:pPr>
        <w:numPr>
          <w:ilvl w:val="0"/>
          <w:numId w:val="1030"/>
        </w:numPr>
      </w:pPr>
      <w:r>
        <w:t xml:space="preserve">summary</w:t>
      </w:r>
    </w:p>
    <w:p>
      <w:pPr>
        <w:numPr>
          <w:ilvl w:val="0"/>
          <w:numId w:val="1030"/>
        </w:numPr>
      </w:pPr>
      <w:r>
        <w:t xml:space="preserve">any other issues</w:t>
      </w:r>
    </w:p>
    <w:bookmarkEnd w:id="114"/>
    <w:bookmarkEnd w:id="115"/>
    <w:bookmarkStart w:id="119" w:name="aviation"/>
    <w:p>
      <w:pPr>
        <w:sectPr>
          <w:footnotePr>
            <w:numRestart w:val="eachSect"/>
          </w:footnotePr>
        </w:sectPr>
      </w:pPr>
    </w:p>
    <w:p>
      <w:pPr>
        <w:pStyle w:val="Heading1"/>
      </w:pPr>
      <w:r>
        <w:t xml:space="preserve">11. Aviation</w:t>
      </w:r>
    </w:p>
    <w:bookmarkStart w:id="116" w:name="industry-overview-4"/>
    <w:p>
      <w:pPr>
        <w:sectPr>
          <w:footnotePr>
            <w:numRestart w:val="eachSect"/>
          </w:footnotePr>
        </w:sectPr>
      </w:pPr>
    </w:p>
    <w:p>
      <w:pPr>
        <w:pStyle w:val="Heading2"/>
      </w:pPr>
      <w:r>
        <w:t xml:space="preserve">11.1 Industry Overview</w:t>
      </w:r>
    </w:p>
    <w:p>
      <w:pPr>
        <w:pStyle w:val="FirstParagraph"/>
      </w:pPr>
      <w:r>
        <w:t xml:space="preserve">The commercial airline industry employs approximately</w:t>
      </w:r>
      <w:r>
        <w:t xml:space="preserve"> </w:t>
      </w:r>
      <w:r>
        <w:rPr>
          <w:b/>
          <w:bCs/>
        </w:rPr>
        <w:t xml:space="preserve">33,500 workers</w:t>
      </w:r>
      <w:r>
        <w:t xml:space="preserve"> </w:t>
      </w:r>
      <w:r>
        <w:t xml:space="preserve">across domestic and international carriers in Australia, including charter services, pilot training, corporate jets, and regional aircraft operators.  </w:t>
      </w:r>
    </w:p>
    <w:p>
      <w:pPr>
        <w:pStyle w:val="BodyText"/>
      </w:pPr>
      <w:r>
        <w:t xml:space="preserve">However, this industry mapping report focuses exclusively on those who work in Aircraft Manufacturing and Repair Services, which employs between</w:t>
      </w:r>
      <w:r>
        <w:t xml:space="preserve"> </w:t>
      </w:r>
      <w:r>
        <w:rPr>
          <w:b/>
          <w:bCs/>
        </w:rPr>
        <w:t xml:space="preserve">7,3001</w:t>
      </w:r>
      <w:r>
        <w:t xml:space="preserve"> </w:t>
      </w:r>
      <w:r>
        <w:t xml:space="preserve">by the ABS/Census count and</w:t>
      </w:r>
      <w:r>
        <w:t xml:space="preserve"> </w:t>
      </w:r>
      <w:r>
        <w:rPr>
          <w:b/>
          <w:bCs/>
        </w:rPr>
        <w:t xml:space="preserve">12,5002</w:t>
      </w:r>
      <w:r>
        <w:t xml:space="preserve"> </w:t>
      </w:r>
      <w:r>
        <w:t xml:space="preserve">workers by the IBISWorld count. Given the impact on the commercial aviation industry from the Covid-19 pandemic, the 2021 Census is likely to represent a significant undercount of employment.  </w:t>
      </w:r>
    </w:p>
    <w:p>
      <w:pPr>
        <w:pStyle w:val="BodyText"/>
      </w:pPr>
      <w:r>
        <w:t xml:space="preserve">The commercial airline industry faced significant challenges during the Covid-19 pandemic, with reduced flights. The industry has since recovered, with revenue now reaching close to pre-pandemic levels.  This recovery, combined with Defence spending, has increased the demand for aircraft maintenance and repair workers.  </w:t>
      </w:r>
    </w:p>
    <w:p>
      <w:pPr>
        <w:pStyle w:val="BodyText"/>
      </w:pPr>
      <w:r>
        <w:t xml:space="preserve">This report is intended to provide guidance about current aircraft manufacturing in Australia, including industry trends, and an overview of our current membership in this sector.  </w:t>
      </w:r>
    </w:p>
    <w:p>
      <w:pPr>
        <w:pStyle w:val="BodyText"/>
      </w:pPr>
      <w:r>
        <w:t xml:space="preserve">Domestic airline operation in Australia also contributes to the local workforce for Aircraft Manufacturing and Repair Services – with Qantas employing about 3,300 personnel in their engineering and maintenance branch.  </w:t>
      </w:r>
    </w:p>
    <w:p>
      <w:pPr>
        <w:pStyle w:val="BodyText"/>
      </w:pPr>
      <w:r>
        <w:rPr>
          <w:b/>
          <w:bCs/>
        </w:rPr>
        <w:t xml:space="preserve">Additional Maintenance and Ground Support Employers (AMWU-relevant):</w:t>
      </w:r>
      <w:r>
        <w:t xml:space="preserve">  </w:t>
      </w:r>
    </w:p>
    <w:p>
      <w:pPr>
        <w:pStyle w:val="Compact"/>
        <w:numPr>
          <w:ilvl w:val="0"/>
          <w:numId w:val="1031"/>
        </w:numPr>
      </w:pPr>
      <w:r>
        <w:rPr>
          <w:b/>
          <w:bCs/>
        </w:rPr>
        <w:t xml:space="preserve">Aviat Global</w:t>
      </w:r>
      <w:r>
        <w:t xml:space="preserve"> </w:t>
      </w:r>
      <w:r>
        <w:t xml:space="preserve">– MRO and logistics based at Melbourne Jet Base.  </w:t>
      </w:r>
    </w:p>
    <w:p>
      <w:pPr>
        <w:pStyle w:val="Compact"/>
        <w:numPr>
          <w:ilvl w:val="0"/>
          <w:numId w:val="1032"/>
        </w:numPr>
      </w:pPr>
      <w:r>
        <w:rPr>
          <w:b/>
          <w:bCs/>
        </w:rPr>
        <w:t xml:space="preserve">Airflite</w:t>
      </w:r>
      <w:r>
        <w:t xml:space="preserve"> </w:t>
      </w:r>
      <w:r>
        <w:t xml:space="preserve">– MRO and structural services; active in Perth, Melbourne, and Gold Coast.  </w:t>
      </w:r>
    </w:p>
    <w:p>
      <w:pPr>
        <w:pStyle w:val="Compact"/>
        <w:numPr>
          <w:ilvl w:val="0"/>
          <w:numId w:val="1033"/>
        </w:numPr>
      </w:pPr>
      <w:r>
        <w:rPr>
          <w:b/>
          <w:bCs/>
        </w:rPr>
        <w:t xml:space="preserve">Sigma Aerospace</w:t>
      </w:r>
      <w:r>
        <w:t xml:space="preserve"> </w:t>
      </w:r>
      <w:r>
        <w:t xml:space="preserve">– Line maintenance for regional aviation; based in NSW and QLD.  </w:t>
      </w:r>
    </w:p>
    <w:p>
      <w:pPr>
        <w:pStyle w:val="Compact"/>
        <w:numPr>
          <w:ilvl w:val="0"/>
          <w:numId w:val="1034"/>
        </w:numPr>
      </w:pPr>
      <w:r>
        <w:rPr>
          <w:b/>
          <w:bCs/>
        </w:rPr>
        <w:t xml:space="preserve">Flight Maintenance Australia</w:t>
      </w:r>
      <w:r>
        <w:t xml:space="preserve"> </w:t>
      </w:r>
      <w:r>
        <w:t xml:space="preserve">– MRO services across various aircraft.  </w:t>
      </w:r>
    </w:p>
    <w:p>
      <w:pPr>
        <w:pStyle w:val="Compact"/>
        <w:numPr>
          <w:ilvl w:val="0"/>
          <w:numId w:val="1035"/>
        </w:numPr>
      </w:pPr>
      <w:r>
        <w:rPr>
          <w:b/>
          <w:bCs/>
        </w:rPr>
        <w:t xml:space="preserve">Aircraft Maintenance Services Australia (AMSA)</w:t>
      </w:r>
      <w:r>
        <w:t xml:space="preserve"> </w:t>
      </w:r>
      <w:r>
        <w:t xml:space="preserve">– Labour hire for aircraft engineering projects.  </w:t>
      </w:r>
    </w:p>
    <w:p>
      <w:pPr>
        <w:pStyle w:val="Compact"/>
        <w:numPr>
          <w:ilvl w:val="0"/>
          <w:numId w:val="1036"/>
        </w:numPr>
      </w:pPr>
      <w:r>
        <w:rPr>
          <w:b/>
          <w:bCs/>
        </w:rPr>
        <w:t xml:space="preserve">Hopkins Aviation Services</w:t>
      </w:r>
      <w:r>
        <w:t xml:space="preserve"> </w:t>
      </w:r>
      <w:r>
        <w:t xml:space="preserve">– Maintenance for general aviation and corporate aircraft.  </w:t>
      </w:r>
    </w:p>
    <w:p>
      <w:pPr>
        <w:pStyle w:val="Compact"/>
        <w:numPr>
          <w:ilvl w:val="0"/>
          <w:numId w:val="1037"/>
        </w:numPr>
      </w:pPr>
      <w:r>
        <w:rPr>
          <w:b/>
          <w:bCs/>
        </w:rPr>
        <w:t xml:space="preserve">Aircraft Maintenance Australia</w:t>
      </w:r>
      <w:r>
        <w:t xml:space="preserve"> </w:t>
      </w:r>
      <w:r>
        <w:t xml:space="preserve">– Based in North Queensland (Mareeba, Cairns).  </w:t>
      </w:r>
    </w:p>
    <w:p>
      <w:pPr>
        <w:pStyle w:val="Compact"/>
        <w:numPr>
          <w:ilvl w:val="0"/>
          <w:numId w:val="1038"/>
        </w:numPr>
      </w:pPr>
      <w:r>
        <w:rPr>
          <w:b/>
          <w:bCs/>
        </w:rPr>
        <w:t xml:space="preserve">Wind Turbine Services Australia</w:t>
      </w:r>
      <w:r>
        <w:t xml:space="preserve"> </w:t>
      </w:r>
      <w:r>
        <w:t xml:space="preserve">– Though primarily in renewables, also offers aviation rope access support.  </w:t>
      </w:r>
    </w:p>
    <w:p>
      <w:pPr>
        <w:pStyle w:val="FirstParagraph"/>
      </w:pPr>
      <w:r>
        <w:t xml:space="preserve"> </w:t>
      </w:r>
      <w:r>
        <w:rPr>
          <w:b/>
          <w:bCs/>
        </w:rPr>
        <w:t xml:space="preserve">Specialised Aviation Support:</w:t>
      </w:r>
      <w:r>
        <w:t xml:space="preserve">  </w:t>
      </w:r>
    </w:p>
    <w:p>
      <w:pPr>
        <w:pStyle w:val="Compact"/>
        <w:numPr>
          <w:ilvl w:val="0"/>
          <w:numId w:val="1039"/>
        </w:numPr>
      </w:pPr>
      <w:r>
        <w:rPr>
          <w:b/>
          <w:bCs/>
        </w:rPr>
        <w:t xml:space="preserve">Aeronautical Engineers Australia (AEA)</w:t>
      </w:r>
      <w:r>
        <w:t xml:space="preserve"> </w:t>
      </w:r>
      <w:r>
        <w:t xml:space="preserve">– Engineering and modification consultancy with offices in five states.  </w:t>
      </w:r>
    </w:p>
    <w:p>
      <w:pPr>
        <w:pStyle w:val="Compact"/>
        <w:numPr>
          <w:ilvl w:val="0"/>
          <w:numId w:val="1040"/>
        </w:numPr>
      </w:pPr>
      <w:r>
        <w:rPr>
          <w:b/>
          <w:bCs/>
        </w:rPr>
        <w:t xml:space="preserve">Pearl Aviation</w:t>
      </w:r>
      <w:r>
        <w:t xml:space="preserve"> </w:t>
      </w:r>
      <w:r>
        <w:t xml:space="preserve">– Charter and ground support services, based in Darwin.  </w:t>
      </w:r>
    </w:p>
    <w:p>
      <w:pPr>
        <w:pStyle w:val="Compact"/>
        <w:numPr>
          <w:ilvl w:val="0"/>
          <w:numId w:val="1041"/>
        </w:numPr>
      </w:pPr>
      <w:r>
        <w:rPr>
          <w:b/>
          <w:bCs/>
        </w:rPr>
        <w:t xml:space="preserve">Textron Aviation Service Centers</w:t>
      </w:r>
      <w:r>
        <w:t xml:space="preserve"> </w:t>
      </w:r>
      <w:r>
        <w:t xml:space="preserve">– Maintenance for Cessna and Beechcraft aircraft; sites in Melbourne, Perth, and Gold Coast.   </w:t>
      </w:r>
    </w:p>
    <w:p>
      <w:pPr>
        <w:pStyle w:val="FirstParagraph"/>
      </w:pPr>
      <w:r>
        <w:rPr>
          <w:b/>
          <w:bCs/>
        </w:rPr>
        <w:t xml:space="preserve">Top Commercial Airlines:</w:t>
      </w:r>
      <w:r>
        <w:t xml:space="preserve">  </w:t>
      </w:r>
    </w:p>
    <w:p>
      <w:pPr>
        <w:pStyle w:val="Compact"/>
        <w:numPr>
          <w:ilvl w:val="0"/>
          <w:numId w:val="1042"/>
        </w:numPr>
      </w:pPr>
      <w:r>
        <w:rPr>
          <w:b/>
          <w:bCs/>
        </w:rPr>
        <w:t xml:space="preserve">Qantas Group</w:t>
      </w:r>
      <w:r>
        <w:t xml:space="preserve"> </w:t>
      </w:r>
      <w:r>
        <w:t xml:space="preserve">(Qantas + Jetstar): Over 20,000 employees; hubs in Sydney, Melbourne, Brisbane.  </w:t>
      </w:r>
    </w:p>
    <w:p>
      <w:pPr>
        <w:pStyle w:val="Compact"/>
        <w:numPr>
          <w:ilvl w:val="0"/>
          <w:numId w:val="1043"/>
        </w:numPr>
      </w:pPr>
      <w:r>
        <w:rPr>
          <w:b/>
          <w:bCs/>
        </w:rPr>
        <w:t xml:space="preserve">Virgin Australia</w:t>
      </w:r>
      <w:r>
        <w:t xml:space="preserve">: HQ in Brisbane; strong presence in east coast cities.  </w:t>
      </w:r>
    </w:p>
    <w:p>
      <w:pPr>
        <w:pStyle w:val="Compact"/>
        <w:numPr>
          <w:ilvl w:val="0"/>
          <w:numId w:val="1044"/>
        </w:numPr>
      </w:pPr>
      <w:r>
        <w:rPr>
          <w:b/>
          <w:bCs/>
        </w:rPr>
        <w:t xml:space="preserve">Alliance Airlines</w:t>
      </w:r>
      <w:r>
        <w:t xml:space="preserve">: Maintenance base in Townsville; expanding FIFO contracts.  </w:t>
      </w:r>
    </w:p>
    <w:p>
      <w:pPr>
        <w:pStyle w:val="Compact"/>
        <w:numPr>
          <w:ilvl w:val="0"/>
          <w:numId w:val="1045"/>
        </w:numPr>
      </w:pPr>
      <w:r>
        <w:rPr>
          <w:b/>
          <w:bCs/>
        </w:rPr>
        <w:t xml:space="preserve">Regional Express (Rex)</w:t>
      </w:r>
      <w:r>
        <w:t xml:space="preserve">: Active in NSW, SA, and regional QLD.  </w:t>
      </w:r>
    </w:p>
    <w:p>
      <w:pPr>
        <w:pStyle w:val="FirstParagraph"/>
      </w:pPr>
      <w:r>
        <w:rPr>
          <w:b/>
          <w:bCs/>
        </w:rPr>
        <w:t xml:space="preserve">General Aviation Examples:</w:t>
      </w:r>
      <w:r>
        <w:t xml:space="preserve">  </w:t>
      </w:r>
    </w:p>
    <w:p>
      <w:pPr>
        <w:pStyle w:val="Compact"/>
        <w:numPr>
          <w:ilvl w:val="0"/>
          <w:numId w:val="1046"/>
        </w:numPr>
      </w:pPr>
      <w:r>
        <w:rPr>
          <w:b/>
          <w:bCs/>
        </w:rPr>
        <w:t xml:space="preserve">Corporate Jet Services</w:t>
      </w:r>
      <w:r>
        <w:t xml:space="preserve"> </w:t>
      </w:r>
      <w:r>
        <w:t xml:space="preserve">(Sydney)  </w:t>
      </w:r>
    </w:p>
    <w:p>
      <w:pPr>
        <w:pStyle w:val="Compact"/>
        <w:numPr>
          <w:ilvl w:val="0"/>
          <w:numId w:val="1047"/>
        </w:numPr>
      </w:pPr>
      <w:r>
        <w:rPr>
          <w:b/>
          <w:bCs/>
        </w:rPr>
        <w:t xml:space="preserve">Bristow Helicopters Australia</w:t>
      </w:r>
      <w:r>
        <w:t xml:space="preserve"> </w:t>
      </w:r>
      <w:r>
        <w:t xml:space="preserve">(WA offshore services)  </w:t>
      </w:r>
    </w:p>
    <w:p>
      <w:pPr>
        <w:pStyle w:val="Compact"/>
        <w:numPr>
          <w:ilvl w:val="0"/>
          <w:numId w:val="1048"/>
        </w:numPr>
      </w:pPr>
      <w:r>
        <w:rPr>
          <w:b/>
          <w:bCs/>
        </w:rPr>
        <w:t xml:space="preserve">Basair Aviation College, Flight Training Adelaide</w:t>
      </w:r>
      <w:r>
        <w:t xml:space="preserve"> </w:t>
      </w:r>
      <w:r>
        <w:t xml:space="preserve">– training-focused employers with maintenance teams.  </w:t>
      </w:r>
    </w:p>
    <w:bookmarkEnd w:id="116"/>
    <w:bookmarkStart w:id="117" w:name="opportunities-4"/>
    <w:p>
      <w:pPr>
        <w:sectPr>
          <w:footnotePr>
            <w:numRestart w:val="eachSect"/>
          </w:footnotePr>
        </w:sectPr>
      </w:pPr>
    </w:p>
    <w:p>
      <w:pPr>
        <w:pStyle w:val="Heading2"/>
      </w:pPr>
      <w:r>
        <w:t xml:space="preserve">11.2 Opportunities</w:t>
      </w:r>
    </w:p>
    <w:p>
      <w:pPr>
        <w:pStyle w:val="FirstParagraph"/>
      </w:pPr>
      <w:r>
        <w:t xml:space="preserve">Increased demand for domestic and international travel leads to growth through increased requirements for maintenance and repair services.</w:t>
      </w:r>
    </w:p>
    <w:p>
      <w:pPr>
        <w:pStyle w:val="BodyText"/>
      </w:pPr>
      <w:r>
        <w:t xml:space="preserve">The future of Rex - The government has pledged to buy Rex if no buyer is able to be found. The AFR reporting as of 24th September indicates that a US firm Air T may purchase. Rex’s planes are Saabs, which are no longer being made. New planes might need to be purchased.</w:t>
      </w:r>
    </w:p>
    <w:p>
      <w:pPr>
        <w:pStyle w:val="BodyText"/>
      </w:pPr>
      <w:r>
        <w:t xml:space="preserve">Other opportunities include in the manufacturing of sustainable aviation fuel, supported by the low carbon liquid fuels stream of FMIA, and the newly announced Cleaner Fuels Program. The production of LCLF is not expected until 2029. Sustainable aviation fuels are made using non-food crops et al. which are already exported from Australia - including sorghum, canola, sugar, and waste products.</w:t>
      </w:r>
    </w:p>
    <w:p>
      <w:pPr>
        <w:numPr>
          <w:ilvl w:val="0"/>
          <w:numId w:val="1049"/>
        </w:numPr>
      </w:pPr>
      <w:r>
        <w:t xml:space="preserve">what and where are the opportunities for growth?</w:t>
      </w:r>
    </w:p>
    <w:p>
      <w:pPr>
        <w:numPr>
          <w:ilvl w:val="0"/>
          <w:numId w:val="1049"/>
        </w:numPr>
      </w:pPr>
      <w:r>
        <w:t xml:space="preserve">is there an opportunity to use multi-employer bargaining, same job same pay, or other tools?</w:t>
      </w:r>
    </w:p>
    <w:p>
      <w:pPr>
        <w:pStyle w:val="FirstParagraph"/>
      </w:pPr>
      <w:r>
        <w:rPr>
          <w:b/>
          <w:bCs/>
        </w:rPr>
        <w:t xml:space="preserve">government support</w:t>
      </w:r>
    </w:p>
    <w:p>
      <w:pPr>
        <w:pStyle w:val="BodyText"/>
      </w:pPr>
      <w:r>
        <w:t xml:space="preserve">significant government support is available in the production of low-carbon/sustainable aviation fuels, through the $250 million Low Carbon Liquid Fuels stream of FMIA, and the recent announcement of the Cleaner Fuels Program.</w:t>
      </w:r>
    </w:p>
    <w:p>
      <w:pPr>
        <w:numPr>
          <w:ilvl w:val="0"/>
          <w:numId w:val="1050"/>
        </w:numPr>
      </w:pPr>
      <w:r>
        <w:t xml:space="preserve">$250 million to Low Carbon Liquid Fuels (LCLF) including sustainable aviation fuels and renewable diesel.</w:t>
      </w:r>
    </w:p>
    <w:p>
      <w:pPr>
        <w:numPr>
          <w:ilvl w:val="0"/>
          <w:numId w:val="1050"/>
        </w:numPr>
      </w:pPr>
      <w:r>
        <w:t xml:space="preserve">announcement of $1.1 billion over 10 years through the Cleaner Fuels Program to stimulate private investment in onshore production of low carbon liquid fuels, including renewable diesel and sustainable aviation fuel.</w:t>
      </w:r>
    </w:p>
    <w:bookmarkEnd w:id="117"/>
    <w:bookmarkStart w:id="118" w:name="conclusion-4"/>
    <w:p>
      <w:pPr>
        <w:sectPr>
          <w:footnotePr>
            <w:numRestart w:val="eachSect"/>
          </w:footnotePr>
        </w:sectPr>
      </w:pPr>
    </w:p>
    <w:p>
      <w:pPr>
        <w:pStyle w:val="Heading2"/>
      </w:pPr>
      <w:r>
        <w:t xml:space="preserve">11.3 Conclusion</w:t>
      </w:r>
    </w:p>
    <w:p>
      <w:pPr>
        <w:numPr>
          <w:ilvl w:val="0"/>
          <w:numId w:val="1052"/>
        </w:numPr>
      </w:pPr>
      <w:r>
        <w:t xml:space="preserve">the recovery of the commercial aviation sector following the pandemic has increased the demand for aircraft maintenance and repair workers.</w:t>
      </w:r>
    </w:p>
    <w:p>
      <w:pPr>
        <w:numPr>
          <w:ilvl w:val="0"/>
          <w:numId w:val="1052"/>
        </w:numPr>
      </w:pPr>
      <w:r>
        <w:t xml:space="preserve">Qantas are obviously a big player</w:t>
      </w:r>
    </w:p>
    <w:p>
      <w:pPr>
        <w:numPr>
          <w:ilvl w:val="0"/>
          <w:numId w:val="1052"/>
        </w:numPr>
      </w:pPr>
      <w:r>
        <w:t xml:space="preserve">sustainable aviation fuel manufacturing</w:t>
      </w:r>
    </w:p>
    <w:p>
      <w:pPr>
        <w:numPr>
          <w:ilvl w:val="0"/>
          <w:numId w:val="1052"/>
        </w:numPr>
      </w:pPr>
      <w:r>
        <w:t xml:space="preserve">organising opportunities</w:t>
      </w:r>
    </w:p>
    <w:p>
      <w:pPr>
        <w:pStyle w:val="Compact"/>
        <w:numPr>
          <w:ilvl w:val="1"/>
          <w:numId w:val="1053"/>
        </w:numPr>
      </w:pPr>
      <w:r>
        <w:t xml:space="preserve">Brisbane, Townsville, Sydney, Melbourne, Perth – all sites with significant aircraft maintenance activity and mixed employer presence.   </w:t>
      </w:r>
    </w:p>
    <w:bookmarkEnd w:id="118"/>
    <w:bookmarkEnd w:id="119"/>
    <w:bookmarkStart w:id="123" w:name="defence"/>
    <w:p>
      <w:pPr>
        <w:sectPr>
          <w:footnotePr>
            <w:numRestart w:val="eachSect"/>
          </w:footnotePr>
        </w:sectPr>
      </w:pPr>
    </w:p>
    <w:p>
      <w:pPr>
        <w:pStyle w:val="Heading1"/>
      </w:pPr>
      <w:r>
        <w:t xml:space="preserve">12. Defence</w:t>
      </w:r>
    </w:p>
    <w:bookmarkStart w:id="120" w:name="industry-overview-5"/>
    <w:p>
      <w:pPr>
        <w:sectPr>
          <w:footnotePr>
            <w:numRestart w:val="eachSect"/>
          </w:footnotePr>
        </w:sectPr>
      </w:pPr>
    </w:p>
    <w:p>
      <w:pPr>
        <w:pStyle w:val="Heading2"/>
      </w:pPr>
      <w:r>
        <w:t xml:space="preserve">12.1 Industry Overview</w:t>
      </w:r>
    </w:p>
    <w:p>
      <w:pPr>
        <w:pStyle w:val="Compact"/>
        <w:numPr>
          <w:ilvl w:val="0"/>
          <w:numId w:val="1054"/>
        </w:numPr>
      </w:pPr>
      <w:r>
        <w:t xml:space="preserve">defence includes aircraft and other armored vehicle manufacturing as well as repair and maintenance services for these equipment.</w:t>
      </w:r>
    </w:p>
    <w:p>
      <w:pPr>
        <w:numPr>
          <w:ilvl w:val="0"/>
          <w:numId w:val="1055"/>
        </w:numPr>
      </w:pPr>
      <w:r>
        <w:t xml:space="preserve">is the industry in growth or decline?</w:t>
      </w:r>
    </w:p>
    <w:p>
      <w:pPr>
        <w:numPr>
          <w:ilvl w:val="1"/>
          <w:numId w:val="1056"/>
        </w:numPr>
      </w:pPr>
      <w:r>
        <w:t xml:space="preserve">employment</w:t>
      </w:r>
    </w:p>
    <w:p>
      <w:pPr>
        <w:numPr>
          <w:ilvl w:val="1"/>
          <w:numId w:val="1056"/>
        </w:numPr>
      </w:pPr>
      <w:r>
        <w:t xml:space="preserve">output</w:t>
      </w:r>
    </w:p>
    <w:p>
      <w:pPr>
        <w:numPr>
          <w:ilvl w:val="1"/>
          <w:numId w:val="1056"/>
        </w:numPr>
      </w:pPr>
      <w:r>
        <w:t xml:space="preserve">revenue</w:t>
      </w:r>
    </w:p>
    <w:bookmarkEnd w:id="120"/>
    <w:bookmarkStart w:id="121" w:name="opportunities-5"/>
    <w:p>
      <w:pPr>
        <w:sectPr>
          <w:footnotePr>
            <w:numRestart w:val="eachSect"/>
          </w:footnotePr>
        </w:sectPr>
      </w:pPr>
    </w:p>
    <w:p>
      <w:pPr>
        <w:pStyle w:val="Heading2"/>
      </w:pPr>
      <w:r>
        <w:t xml:space="preserve">12.2 Opportunities</w:t>
      </w:r>
    </w:p>
    <w:p>
      <w:pPr>
        <w:pStyle w:val="FirstParagraph"/>
      </w:pPr>
      <w:r>
        <w:rPr>
          <w:b/>
          <w:bCs/>
        </w:rPr>
        <w:t xml:space="preserve">AUKUS</w:t>
      </w:r>
    </w:p>
    <w:p>
      <w:pPr>
        <w:numPr>
          <w:ilvl w:val="0"/>
          <w:numId w:val="1057"/>
        </w:numPr>
      </w:pPr>
      <w:r>
        <w:t xml:space="preserve">the opportunity is probably gone, but prioritising/demanding local content and manufacturing opportunities for the subs rather than purchasing pre-built submarines.</w:t>
      </w:r>
    </w:p>
    <w:p>
      <w:pPr>
        <w:numPr>
          <w:ilvl w:val="0"/>
          <w:numId w:val="1057"/>
        </w:numPr>
      </w:pPr>
      <w:r>
        <w:t xml:space="preserve">3-5 have already been conceded as second hand US-built submarines.</w:t>
      </w:r>
    </w:p>
    <w:p>
      <w:pPr>
        <w:pStyle w:val="FirstParagraph"/>
      </w:pPr>
      <w:r>
        <w:rPr>
          <w:b/>
          <w:bCs/>
        </w:rPr>
        <w:t xml:space="preserve">frigates</w:t>
      </w:r>
    </w:p>
    <w:p>
      <w:pPr>
        <w:pStyle w:val="Compact"/>
        <w:numPr>
          <w:ilvl w:val="0"/>
          <w:numId w:val="1058"/>
        </w:numPr>
      </w:pPr>
      <w:r>
        <w:t xml:space="preserve">BAE in South Australia</w:t>
      </w:r>
    </w:p>
    <w:p>
      <w:pPr>
        <w:pStyle w:val="FirstParagraph"/>
      </w:pPr>
      <w:r>
        <w:rPr>
          <w:b/>
          <w:bCs/>
        </w:rPr>
        <w:t xml:space="preserve">offshore patrol vessels</w:t>
      </w:r>
    </w:p>
    <w:p>
      <w:pPr>
        <w:pStyle w:val="Compact"/>
        <w:numPr>
          <w:ilvl w:val="0"/>
          <w:numId w:val="1059"/>
        </w:numPr>
      </w:pPr>
      <w:r>
        <w:t xml:space="preserve">Austal in Western Australia.</w:t>
      </w:r>
    </w:p>
    <w:p>
      <w:pPr>
        <w:pStyle w:val="FirstParagraph"/>
      </w:pPr>
      <w:r>
        <w:rPr>
          <w:b/>
          <w:bCs/>
        </w:rPr>
        <w:t xml:space="preserve">williamstown</w:t>
      </w:r>
    </w:p>
    <w:p>
      <w:pPr>
        <w:numPr>
          <w:ilvl w:val="0"/>
          <w:numId w:val="1060"/>
        </w:numPr>
      </w:pPr>
      <w:r>
        <w:t xml:space="preserve">reopen the Williamstown dockyard as an advanced manufacturing common user facility.</w:t>
      </w:r>
    </w:p>
    <w:p>
      <w:pPr>
        <w:numPr>
          <w:ilvl w:val="0"/>
          <w:numId w:val="1060"/>
        </w:numPr>
      </w:pPr>
      <w:r>
        <w:t xml:space="preserve">this CUF could provide manufacturing jobs and extend the defence supply chain into Victoria - components for electronics and other systems.</w:t>
      </w:r>
    </w:p>
    <w:p>
      <w:pPr>
        <w:numPr>
          <w:ilvl w:val="0"/>
          <w:numId w:val="1061"/>
        </w:numPr>
      </w:pPr>
      <w:r>
        <w:t xml:space="preserve">this industry is supported through industry policy.</w:t>
      </w:r>
    </w:p>
    <w:p>
      <w:pPr>
        <w:numPr>
          <w:ilvl w:val="0"/>
          <w:numId w:val="1061"/>
        </w:numPr>
      </w:pPr>
      <w:r>
        <w:t xml:space="preserve">AUKUS, shipbuilding, submarines. These are opportunities but face significant risks. One being the political situation in the US. We must strive for value-adding activities on shore. Not just purchasing built equipment.</w:t>
      </w:r>
    </w:p>
    <w:p>
      <w:pPr>
        <w:numPr>
          <w:ilvl w:val="0"/>
          <w:numId w:val="1061"/>
        </w:numPr>
      </w:pPr>
      <w:r>
        <w:t xml:space="preserve">most of the opportunities for growth are probably in naval shipbuilding. but some repair and maintenance of equipment as well.</w:t>
      </w:r>
    </w:p>
    <w:p>
      <w:pPr>
        <w:pStyle w:val="Compact"/>
        <w:numPr>
          <w:ilvl w:val="0"/>
          <w:numId w:val="1062"/>
        </w:numPr>
      </w:pPr>
      <w:r>
        <w:t xml:space="preserve">what and where are the opportunities for growth?</w:t>
      </w:r>
    </w:p>
    <w:p>
      <w:pPr>
        <w:pStyle w:val="FirstParagraph"/>
      </w:pPr>
      <w:r>
        <w:rPr>
          <w:b/>
          <w:bCs/>
        </w:rPr>
        <w:t xml:space="preserve">multi-employer bargaining</w:t>
      </w:r>
    </w:p>
    <w:p>
      <w:pPr>
        <w:pStyle w:val="BodyText"/>
      </w:pPr>
      <w:r>
        <w:t xml:space="preserve">Some industries like defence may be more readily able to enter into a co-operative workplace agreement covering a precinct.  It doesn’t require a special FWC authorisation (so you don’t have to worry about size and demonstrating the common interest)  but the trade-off for us is you can’t take industrial action in furtherance of your bargaining aims.  In any event, it may be useful as a Greenfields Agreement (ie when there are no employees hired yet) so the Union is negotiating with the employers directly.</w:t>
      </w:r>
    </w:p>
    <w:p>
      <w:pPr>
        <w:pStyle w:val="Compact"/>
        <w:numPr>
          <w:ilvl w:val="0"/>
          <w:numId w:val="1063"/>
        </w:numPr>
      </w:pPr>
      <w:r>
        <w:t xml:space="preserve">on one hand - defence contractors are in competition and getting buy-in would be difficult. Excepting the big players like BAE/Thales etc, defence has significant scope for MEB</w:t>
      </w:r>
    </w:p>
    <w:p>
      <w:pPr>
        <w:pStyle w:val="FirstParagraph"/>
      </w:pPr>
      <w:r>
        <w:rPr>
          <w:b/>
          <w:bCs/>
        </w:rPr>
        <w:t xml:space="preserve">same job same pay</w:t>
      </w:r>
    </w:p>
    <w:p>
      <w:pPr>
        <w:pStyle w:val="BodyText"/>
      </w:pPr>
      <w:r>
        <w:t xml:space="preserve">It is imperative that host employers have enterprise agreements in place before SJSP can even be contemplated.  So regardless of which industry we’re looking at, you would need to have some level of industrial maturity in place that there’s been an enterprise agreement. </w:t>
      </w:r>
    </w:p>
    <w:p>
      <w:pPr>
        <w:numPr>
          <w:ilvl w:val="0"/>
          <w:numId w:val="1064"/>
        </w:numPr>
      </w:pPr>
      <w:r>
        <w:t xml:space="preserve">is there an opportunity to use multi-employer bargaining, same job same pay, or other tools?</w:t>
      </w:r>
    </w:p>
    <w:p>
      <w:pPr>
        <w:numPr>
          <w:ilvl w:val="0"/>
          <w:numId w:val="1064"/>
        </w:numPr>
      </w:pPr>
      <w:r>
        <w:t xml:space="preserve">is there an opportunity to use FMIA</w:t>
      </w:r>
    </w:p>
    <w:bookmarkEnd w:id="121"/>
    <w:bookmarkStart w:id="122" w:name="conclusion-5"/>
    <w:p>
      <w:pPr>
        <w:sectPr>
          <w:footnotePr>
            <w:numRestart w:val="eachSect"/>
          </w:footnotePr>
        </w:sectPr>
      </w:pPr>
    </w:p>
    <w:p>
      <w:pPr>
        <w:pStyle w:val="Heading2"/>
      </w:pPr>
      <w:r>
        <w:t xml:space="preserve">12.3 Conclusion</w:t>
      </w:r>
    </w:p>
    <w:p>
      <w:pPr>
        <w:numPr>
          <w:ilvl w:val="0"/>
          <w:numId w:val="1065"/>
        </w:numPr>
      </w:pPr>
      <w:r>
        <w:t xml:space="preserve">summary</w:t>
      </w:r>
    </w:p>
    <w:p>
      <w:pPr>
        <w:numPr>
          <w:ilvl w:val="0"/>
          <w:numId w:val="1065"/>
        </w:numPr>
      </w:pPr>
      <w:r>
        <w:t xml:space="preserve">any other issues</w:t>
      </w:r>
    </w:p>
    <w:bookmarkEnd w:id="122"/>
    <w:bookmarkEnd w:id="123"/>
    <w:bookmarkStart w:id="127" w:name="roadside-assistance"/>
    <w:p>
      <w:pPr>
        <w:sectPr>
          <w:footnotePr>
            <w:numRestart w:val="eachSect"/>
          </w:footnotePr>
        </w:sectPr>
      </w:pPr>
    </w:p>
    <w:p>
      <w:pPr>
        <w:pStyle w:val="Heading1"/>
      </w:pPr>
      <w:r>
        <w:t xml:space="preserve">13. Roadside Assistance</w:t>
      </w:r>
    </w:p>
    <w:bookmarkStart w:id="124" w:name="industry-overview-6"/>
    <w:p>
      <w:pPr>
        <w:sectPr>
          <w:footnotePr>
            <w:numRestart w:val="eachSect"/>
          </w:footnotePr>
        </w:sectPr>
      </w:pPr>
    </w:p>
    <w:p>
      <w:pPr>
        <w:pStyle w:val="Heading2"/>
      </w:pPr>
      <w:r>
        <w:t xml:space="preserve">13.1 Industry Overview</w:t>
      </w:r>
    </w:p>
    <w:p>
      <w:pPr>
        <w:pStyle w:val="FirstParagraph"/>
      </w:pPr>
      <w:r>
        <w:t xml:space="preserve">One of the main challenges in assessing the roadside assistance sector is the lack of clear and consistent data. Much of the publicly available information either examines the broader towing sector—which includes both roadside assistance and post-crash vehicle towing—or comes from firms that operate across multiple segments such as roadside assistance, insurance, and towing. This makes it difficult to separate and identify the true sources of profits. As a result, the analysis here draws primarily on sector-wide towing data and individual company reports. While this data is not perfect, it represents the most reliable information currently available. </w:t>
      </w:r>
    </w:p>
    <w:p>
      <w:pPr>
        <w:pStyle w:val="BodyText"/>
      </w:pPr>
      <w:r>
        <w:t xml:space="preserve">Across the towing segment, revenue has grown steadily at a rate of around 2% since 2012, with some periods of larger fluctuations. It is expected that this trend will continue till the end of the decade. Naturally, the sectors success is largely driven by the number of cars on the road, and whether one breaks down or feels that such a risk exists and thus should purchase a subscription. The other factor affecting the sector is vehicle reliability, as cars improve it is likely that less breakdowns will occur, whilst further, EV adoption, EVs having fewer moving parts, are also likely to disrupt the market. It should also be noted that employment in the sector has grown steadily in recent years, in line with demand for service and revenue, it is expected that this trend will continue. With 3,761 people forecast to be employed within the towing segment by 2030. </w:t>
      </w:r>
    </w:p>
    <w:p>
      <w:pPr>
        <w:pStyle w:val="BodyText"/>
      </w:pPr>
      <w:r>
        <w:t xml:space="preserve">The primary risk to continued employment growth in the sector is the rise of EVs, and the extent to which their less complex construction will reduce demand for services as breakdowns will become less common. Although, EV charging issues could create a new source of demand within the sector</w:t>
      </w:r>
    </w:p>
    <w:bookmarkEnd w:id="124"/>
    <w:bookmarkStart w:id="125" w:name="opportunities-6"/>
    <w:p>
      <w:pPr>
        <w:sectPr>
          <w:footnotePr>
            <w:numRestart w:val="eachSect"/>
          </w:footnotePr>
        </w:sectPr>
      </w:pPr>
    </w:p>
    <w:p>
      <w:pPr>
        <w:pStyle w:val="Heading2"/>
      </w:pPr>
      <w:r>
        <w:t xml:space="preserve">13.2 Opportunities</w:t>
      </w:r>
    </w:p>
    <w:p>
      <w:pPr>
        <w:pStyle w:val="Compact"/>
        <w:numPr>
          <w:ilvl w:val="0"/>
          <w:numId w:val="1066"/>
        </w:numPr>
      </w:pPr>
      <w:r>
        <w:t xml:space="preserve">what and where are the opportunities for growth?</w:t>
      </w:r>
    </w:p>
    <w:p>
      <w:pPr>
        <w:pStyle w:val="FirstParagraph"/>
      </w:pPr>
      <w:r>
        <w:t xml:space="preserve">EV skills </w:t>
      </w:r>
    </w:p>
    <w:p>
      <w:pPr>
        <w:pStyle w:val="BodyText"/>
      </w:pPr>
      <w:r>
        <w:t xml:space="preserve">More cars – thus more jobs  </w:t>
      </w:r>
    </w:p>
    <w:p>
      <w:pPr>
        <w:pStyle w:val="BodyText"/>
      </w:pPr>
      <w:r>
        <w:rPr>
          <w:b/>
          <w:bCs/>
        </w:rPr>
        <w:t xml:space="preserve">multi-employer bargaining</w:t>
      </w:r>
    </w:p>
    <w:p>
      <w:pPr>
        <w:pStyle w:val="BodyText"/>
      </w:pPr>
      <w:r>
        <w:t xml:space="preserve">There is potential for a National Agreement; given that the old school Roadside Assistance networks are largely state based. </w:t>
      </w:r>
    </w:p>
    <w:p>
      <w:pPr>
        <w:pStyle w:val="BodyText"/>
      </w:pPr>
      <w:r>
        <w:rPr>
          <w:b/>
          <w:bCs/>
        </w:rPr>
        <w:t xml:space="preserve">same job same pay</w:t>
      </w:r>
    </w:p>
    <w:p>
      <w:pPr>
        <w:pStyle w:val="BodyText"/>
      </w:pPr>
      <w:r>
        <w:t xml:space="preserve">Mechanics have been prolific in recent LHAs that we’ve been consulted on, noting that there is a skills shortage scrutiny should be applied to ensure, particularly for migrant workers, that they are not being ripped off.</w:t>
      </w:r>
    </w:p>
    <w:p>
      <w:pPr>
        <w:numPr>
          <w:ilvl w:val="0"/>
          <w:numId w:val="1067"/>
        </w:numPr>
      </w:pPr>
      <w:r>
        <w:t xml:space="preserve">is there an opportunity to use multi-employer bargaining, same job same pay, or other tools?</w:t>
      </w:r>
    </w:p>
    <w:p>
      <w:pPr>
        <w:numPr>
          <w:ilvl w:val="0"/>
          <w:numId w:val="1067"/>
        </w:numPr>
      </w:pPr>
      <w:r>
        <w:t xml:space="preserve">is there an opportunity to use FMIA</w:t>
      </w:r>
    </w:p>
    <w:bookmarkEnd w:id="125"/>
    <w:bookmarkStart w:id="126" w:name="conclusion-6"/>
    <w:p>
      <w:pPr>
        <w:sectPr>
          <w:footnotePr>
            <w:numRestart w:val="eachSect"/>
          </w:footnotePr>
        </w:sectPr>
      </w:pPr>
    </w:p>
    <w:p>
      <w:pPr>
        <w:pStyle w:val="Heading2"/>
      </w:pPr>
      <w:r>
        <w:t xml:space="preserve">13.3 Conclusion</w:t>
      </w:r>
    </w:p>
    <w:p>
      <w:pPr>
        <w:numPr>
          <w:ilvl w:val="0"/>
          <w:numId w:val="1068"/>
        </w:numPr>
      </w:pPr>
      <w:r>
        <w:t xml:space="preserve">summary</w:t>
      </w:r>
    </w:p>
    <w:p>
      <w:pPr>
        <w:numPr>
          <w:ilvl w:val="0"/>
          <w:numId w:val="1068"/>
        </w:numPr>
      </w:pPr>
      <w:r>
        <w:t xml:space="preserve">any other issues</w:t>
      </w:r>
    </w:p>
    <w:bookmarkEnd w:id="126"/>
    <w:bookmarkEnd w:id="127"/>
    <w:bookmarkStart w:id="129" w:name="construction-supply-chains"/>
    <w:p>
      <w:pPr>
        <w:sectPr>
          <w:footnotePr>
            <w:numRestart w:val="eachSect"/>
          </w:footnotePr>
        </w:sectPr>
      </w:pPr>
    </w:p>
    <w:p>
      <w:pPr>
        <w:pStyle w:val="Heading1"/>
      </w:pPr>
      <w:r>
        <w:t xml:space="preserve">14. Construction Supply Chains</w:t>
      </w:r>
    </w:p>
    <w:bookmarkStart w:id="128" w:name="industry-overview-7"/>
    <w:p>
      <w:pPr>
        <w:sectPr>
          <w:footnotePr>
            <w:numRestart w:val="eachSect"/>
          </w:footnotePr>
        </w:sectPr>
      </w:pPr>
    </w:p>
    <w:p>
      <w:pPr>
        <w:pStyle w:val="Heading2"/>
      </w:pPr>
      <w:r>
        <w:t xml:space="preserve">14.1 Industry Overview</w:t>
      </w:r>
    </w:p>
    <w:p>
      <w:pPr>
        <w:pStyle w:val="FirstParagraph"/>
      </w:pPr>
      <w:r>
        <w:t xml:space="preserve">The construction industry is a significant consumer of a wide range of manufactured products, including cement and concrete, general building materials like steel, rebar, and glass, as well electrical, plumbing and communication products. As such, the construction industry represents an opportunity to foster local industry development across a wide range of manufacturing businesses.</w:t>
      </w:r>
    </w:p>
    <w:bookmarkEnd w:id="128"/>
    <w:bookmarkEnd w:id="129"/>
    <w:bookmarkStart w:id="133" w:name="mine-servicing"/>
    <w:p>
      <w:pPr>
        <w:sectPr>
          <w:footnotePr>
            <w:numRestart w:val="eachSect"/>
          </w:footnotePr>
        </w:sectPr>
      </w:pPr>
    </w:p>
    <w:p>
      <w:pPr>
        <w:pStyle w:val="Heading1"/>
      </w:pPr>
      <w:r>
        <w:t xml:space="preserve">15. Mine Servicing</w:t>
      </w:r>
    </w:p>
    <w:bookmarkStart w:id="130" w:name="industry-overview-8"/>
    <w:p>
      <w:pPr>
        <w:sectPr>
          <w:footnotePr>
            <w:numRestart w:val="eachSect"/>
          </w:footnotePr>
        </w:sectPr>
      </w:pPr>
    </w:p>
    <w:p>
      <w:pPr>
        <w:pStyle w:val="Heading2"/>
      </w:pPr>
      <w:r>
        <w:t xml:space="preserve">15.1 Industry Overview</w:t>
      </w:r>
    </w:p>
    <w:p>
      <w:pPr>
        <w:numPr>
          <w:ilvl w:val="0"/>
          <w:numId w:val="1069"/>
        </w:numPr>
      </w:pPr>
      <w:r>
        <w:t xml:space="preserve">is the industry in growth or decline?</w:t>
      </w:r>
    </w:p>
    <w:p>
      <w:pPr>
        <w:numPr>
          <w:ilvl w:val="1"/>
          <w:numId w:val="1070"/>
        </w:numPr>
      </w:pPr>
      <w:r>
        <w:t xml:space="preserve">employment</w:t>
      </w:r>
    </w:p>
    <w:p>
      <w:pPr>
        <w:numPr>
          <w:ilvl w:val="1"/>
          <w:numId w:val="1070"/>
        </w:numPr>
      </w:pPr>
      <w:r>
        <w:t xml:space="preserve">output</w:t>
      </w:r>
    </w:p>
    <w:p>
      <w:pPr>
        <w:numPr>
          <w:ilvl w:val="1"/>
          <w:numId w:val="1070"/>
        </w:numPr>
      </w:pPr>
      <w:r>
        <w:t xml:space="preserve">revenue</w:t>
      </w:r>
    </w:p>
    <w:bookmarkEnd w:id="130"/>
    <w:bookmarkStart w:id="131" w:name="opportunities-7"/>
    <w:p>
      <w:pPr>
        <w:sectPr>
          <w:footnotePr>
            <w:numRestart w:val="eachSect"/>
          </w:footnotePr>
        </w:sectPr>
      </w:pPr>
    </w:p>
    <w:p>
      <w:pPr>
        <w:pStyle w:val="Heading2"/>
      </w:pPr>
      <w:r>
        <w:t xml:space="preserve">15.2 Opportunities</w:t>
      </w:r>
    </w:p>
    <w:p>
      <w:pPr>
        <w:numPr>
          <w:ilvl w:val="0"/>
          <w:numId w:val="1071"/>
        </w:numPr>
      </w:pPr>
      <w:r>
        <w:t xml:space="preserve">what and where are the opportunities for growth?</w:t>
      </w:r>
    </w:p>
    <w:p>
      <w:pPr>
        <w:numPr>
          <w:ilvl w:val="0"/>
          <w:numId w:val="1071"/>
        </w:numPr>
      </w:pPr>
      <w:r>
        <w:t xml:space="preserve">is there an opportunity to use multi-employer bargaining, same job same pay, or other tools?</w:t>
      </w:r>
    </w:p>
    <w:p>
      <w:pPr>
        <w:numPr>
          <w:ilvl w:val="0"/>
          <w:numId w:val="1071"/>
        </w:numPr>
      </w:pPr>
      <w:r>
        <w:t xml:space="preserve">is there an opportunity to use FMIA</w:t>
      </w:r>
    </w:p>
    <w:bookmarkEnd w:id="131"/>
    <w:bookmarkStart w:id="132" w:name="conclusion-7"/>
    <w:p>
      <w:pPr>
        <w:sectPr>
          <w:footnotePr>
            <w:numRestart w:val="eachSect"/>
          </w:footnotePr>
        </w:sectPr>
      </w:pPr>
    </w:p>
    <w:p>
      <w:pPr>
        <w:pStyle w:val="Heading2"/>
      </w:pPr>
      <w:r>
        <w:t xml:space="preserve">15.3 Conclusion</w:t>
      </w:r>
    </w:p>
    <w:p>
      <w:pPr>
        <w:numPr>
          <w:ilvl w:val="0"/>
          <w:numId w:val="1072"/>
        </w:numPr>
      </w:pPr>
      <w:r>
        <w:t xml:space="preserve">summary</w:t>
      </w:r>
    </w:p>
    <w:p>
      <w:pPr>
        <w:numPr>
          <w:ilvl w:val="0"/>
          <w:numId w:val="1072"/>
        </w:numPr>
      </w:pPr>
      <w:r>
        <w:t xml:space="preserve">any other issues</w:t>
      </w:r>
    </w:p>
    <w:bookmarkEnd w:id="132"/>
    <w:bookmarkEnd w:id="133"/>
    <w:bookmarkStart w:id="137" w:name="food"/>
    <w:p>
      <w:pPr>
        <w:sectPr>
          <w:footnotePr>
            <w:numRestart w:val="eachSect"/>
          </w:footnotePr>
        </w:sectPr>
      </w:pPr>
    </w:p>
    <w:p>
      <w:pPr>
        <w:pStyle w:val="Heading1"/>
      </w:pPr>
      <w:r>
        <w:t xml:space="preserve">16. Food</w:t>
      </w:r>
    </w:p>
    <w:bookmarkStart w:id="134" w:name="industry-overview-9"/>
    <w:p>
      <w:pPr>
        <w:sectPr>
          <w:footnotePr>
            <w:numRestart w:val="eachSect"/>
          </w:footnotePr>
        </w:sectPr>
      </w:pPr>
    </w:p>
    <w:p>
      <w:pPr>
        <w:pStyle w:val="Heading2"/>
      </w:pPr>
      <w:r>
        <w:t xml:space="preserve">16.1 Industry Overview</w:t>
      </w:r>
    </w:p>
    <w:p>
      <w:pPr>
        <w:numPr>
          <w:ilvl w:val="0"/>
          <w:numId w:val="1073"/>
        </w:numPr>
      </w:pPr>
      <w:r>
        <w:t xml:space="preserve">is the industry in growth or decline?</w:t>
      </w:r>
    </w:p>
    <w:p>
      <w:pPr>
        <w:numPr>
          <w:ilvl w:val="1"/>
          <w:numId w:val="1074"/>
        </w:numPr>
      </w:pPr>
      <w:r>
        <w:t xml:space="preserve">employment</w:t>
      </w:r>
    </w:p>
    <w:p>
      <w:pPr>
        <w:numPr>
          <w:ilvl w:val="1"/>
          <w:numId w:val="1074"/>
        </w:numPr>
      </w:pPr>
      <w:r>
        <w:t xml:space="preserve">output</w:t>
      </w:r>
    </w:p>
    <w:p>
      <w:pPr>
        <w:numPr>
          <w:ilvl w:val="1"/>
          <w:numId w:val="1074"/>
        </w:numPr>
      </w:pPr>
      <w:r>
        <w:t xml:space="preserve">revenue</w:t>
      </w:r>
    </w:p>
    <w:bookmarkEnd w:id="134"/>
    <w:bookmarkStart w:id="135" w:name="opportunities-8"/>
    <w:p>
      <w:pPr>
        <w:sectPr>
          <w:footnotePr>
            <w:numRestart w:val="eachSect"/>
          </w:footnotePr>
        </w:sectPr>
      </w:pPr>
    </w:p>
    <w:p>
      <w:pPr>
        <w:pStyle w:val="Heading2"/>
      </w:pPr>
      <w:r>
        <w:t xml:space="preserve">16.2 Opportunities</w:t>
      </w:r>
    </w:p>
    <w:p>
      <w:pPr>
        <w:numPr>
          <w:ilvl w:val="0"/>
          <w:numId w:val="1075"/>
        </w:numPr>
      </w:pPr>
      <w:r>
        <w:t xml:space="preserve">what and where are the opportunities for growth?</w:t>
      </w:r>
    </w:p>
    <w:p>
      <w:pPr>
        <w:numPr>
          <w:ilvl w:val="0"/>
          <w:numId w:val="1075"/>
        </w:numPr>
      </w:pPr>
      <w:r>
        <w:t xml:space="preserve">is there an opportunity to use multi-employer bargaining, same job same pay, or other tools?</w:t>
      </w:r>
    </w:p>
    <w:p>
      <w:pPr>
        <w:numPr>
          <w:ilvl w:val="0"/>
          <w:numId w:val="1075"/>
        </w:numPr>
      </w:pPr>
      <w:r>
        <w:t xml:space="preserve">is there an opportunity to use FMIA</w:t>
      </w:r>
    </w:p>
    <w:bookmarkEnd w:id="135"/>
    <w:bookmarkStart w:id="136" w:name="conclusion-8"/>
    <w:p>
      <w:pPr>
        <w:sectPr>
          <w:footnotePr>
            <w:numRestart w:val="eachSect"/>
          </w:footnotePr>
        </w:sectPr>
      </w:pPr>
    </w:p>
    <w:p>
      <w:pPr>
        <w:pStyle w:val="Heading2"/>
      </w:pPr>
      <w:r>
        <w:t xml:space="preserve">16.3 Conclusion</w:t>
      </w:r>
    </w:p>
    <w:p>
      <w:pPr>
        <w:numPr>
          <w:ilvl w:val="0"/>
          <w:numId w:val="1076"/>
        </w:numPr>
      </w:pPr>
      <w:r>
        <w:t xml:space="preserve">summary</w:t>
      </w:r>
    </w:p>
    <w:p>
      <w:pPr>
        <w:numPr>
          <w:ilvl w:val="0"/>
          <w:numId w:val="1076"/>
        </w:numPr>
      </w:pPr>
      <w:r>
        <w:t xml:space="preserve">any other issues</w:t>
      </w:r>
    </w:p>
    <w:bookmarkEnd w:id="136"/>
    <w:bookmarkEnd w:id="137"/>
    <w:bookmarkStart w:id="141" w:name="rail"/>
    <w:p>
      <w:pPr>
        <w:sectPr>
          <w:footnotePr>
            <w:numRestart w:val="eachSect"/>
          </w:footnotePr>
        </w:sectPr>
      </w:pPr>
    </w:p>
    <w:p>
      <w:pPr>
        <w:pStyle w:val="Heading1"/>
      </w:pPr>
      <w:r>
        <w:t xml:space="preserve">17. Rail</w:t>
      </w:r>
    </w:p>
    <w:bookmarkStart w:id="138" w:name="industry-overview-10"/>
    <w:p>
      <w:pPr>
        <w:sectPr>
          <w:footnotePr>
            <w:numRestart w:val="eachSect"/>
          </w:footnotePr>
        </w:sectPr>
      </w:pPr>
    </w:p>
    <w:p>
      <w:pPr>
        <w:pStyle w:val="Heading2"/>
      </w:pPr>
      <w:r>
        <w:t xml:space="preserve">17.1 Industry Overview</w:t>
      </w:r>
    </w:p>
    <w:p>
      <w:pPr>
        <w:pStyle w:val="FirstParagraph"/>
      </w:pPr>
      <w:r>
        <w:t xml:space="preserve">The rail industry comprises railway rolling stock manufacturing and repair services, as well as iron smelting and steel manufacturing which can produce the steel required to build tracks. The Australian rail industry contributed around 1.5% to the national economy in 2019, employing over 165,000 full-time equivalent people. This includes around 5,900 people in rolling stock manufacturing.</w:t>
      </w:r>
    </w:p>
    <w:p>
      <w:pPr>
        <w:pStyle w:val="BodyText"/>
      </w:pPr>
      <w:r>
        <w:t xml:space="preserve">According to IBISWorld, railway equipment manufacturing and repair in Australia employs almost 10,000 people, up almost 8% since 2020, and is forecast to continue to grow by about 2% into 2030. Revenue has also grown since 2020 by about 0.5% to $4.8bn, and is also forecast to grow by 1.5% into 2030. This growth has been driven by major rail infrastructure projects like the Melbourne Metro Tunnel and Sydney Metro. The demand induced by government spending has resulted in increasing innovation and opportunities for new business growth. The number of businesses in Australia supporting this sector has grown by almost 2% since 2020. Outstanding commitments of $155bn through to 2030 has boosted demand for new rolling stock (both heavy and light rail), as well as ongoing repair and maintenance services.</w:t>
      </w:r>
    </w:p>
    <w:bookmarkEnd w:id="138"/>
    <w:bookmarkStart w:id="139" w:name="opportunities-9"/>
    <w:p>
      <w:pPr>
        <w:sectPr>
          <w:footnotePr>
            <w:numRestart w:val="eachSect"/>
          </w:footnotePr>
        </w:sectPr>
      </w:pPr>
    </w:p>
    <w:p>
      <w:pPr>
        <w:pStyle w:val="Heading2"/>
      </w:pPr>
      <w:r>
        <w:t xml:space="preserve">17.2 Opportunities</w:t>
      </w:r>
    </w:p>
    <w:p>
      <w:pPr>
        <w:pStyle w:val="FirstParagraph"/>
      </w:pPr>
      <w:r>
        <w:rPr>
          <w:b/>
          <w:bCs/>
        </w:rPr>
        <w:t xml:space="preserve">continued infrastructure investment</w:t>
      </w:r>
    </w:p>
    <w:p>
      <w:pPr>
        <w:numPr>
          <w:ilvl w:val="0"/>
          <w:numId w:val="1077"/>
        </w:numPr>
      </w:pPr>
      <w:r>
        <w:t xml:space="preserve">emphasis on energy-efficient and sustainable transport infrastructure</w:t>
      </w:r>
    </w:p>
    <w:p>
      <w:pPr>
        <w:numPr>
          <w:ilvl w:val="0"/>
          <w:numId w:val="1077"/>
        </w:numPr>
      </w:pPr>
      <w:r>
        <w:t xml:space="preserve">upgrading of existing rolling stock, including electrification (it might only be SA that still has diesel trains?), automation and signalling upgrades.</w:t>
      </w:r>
    </w:p>
    <w:p>
      <w:pPr>
        <w:numPr>
          <w:ilvl w:val="0"/>
          <w:numId w:val="1077"/>
        </w:numPr>
      </w:pPr>
      <w:r>
        <w:t xml:space="preserve">tram / track upgrades of vic light rail.</w:t>
      </w:r>
    </w:p>
    <w:p>
      <w:pPr>
        <w:pStyle w:val="FirstParagraph"/>
      </w:pPr>
      <w:r>
        <w:rPr>
          <w:b/>
          <w:bCs/>
        </w:rPr>
        <w:t xml:space="preserve">Rail interoperability is a priority for National Cabinet</w:t>
      </w:r>
      <w:r>
        <w:t xml:space="preserve"> </w:t>
      </w:r>
      <w:r>
        <w:t xml:space="preserve">and has been a major focus for the Infrastructure and Transport Ministers Meetings (ITMM) over recent years. While the interoperability agenda has a focus on rail safety outcomes, it also has a productivity focus which can be addressed in part through national cooperation on rail procurement and manufacturing.</w:t>
      </w:r>
    </w:p>
    <w:p>
      <w:pPr>
        <w:pStyle w:val="BodyText"/>
      </w:pPr>
      <w:r>
        <w:rPr>
          <w:b/>
          <w:bCs/>
        </w:rPr>
        <w:t xml:space="preserve">State and territory governments are set to make significant investments in rolling stock</w:t>
      </w:r>
      <w:r>
        <w:t xml:space="preserve">. An assessment of publicly available rolling stock procurement pipelines suggests this investment will be around $19 billion between 2023 and 2032. This includes around 500 new passenger train and light rail vehicles across 13 known current procurements in 6 states and 2 territories. Almost two-thirds (65%) of this new rolling stock are expected to be manufactured and assembled in Australia and there is opportunity to improve outcomes through national cooperation.</w:t>
      </w:r>
    </w:p>
    <w:p>
      <w:pPr>
        <w:pStyle w:val="BodyText"/>
      </w:pPr>
      <w:r>
        <w:rPr>
          <w:b/>
          <w:bCs/>
        </w:rPr>
        <w:t xml:space="preserve">Projected population growth</w:t>
      </w:r>
      <w:r>
        <w:t xml:space="preserve"> </w:t>
      </w:r>
      <w:r>
        <w:t xml:space="preserve">in major urban and regional centres will continue to drive demand and subsequent investment in passenger and freight rail. In addition, much of Australia’s current rail infrastructure and</w:t>
      </w:r>
      <w:r>
        <w:t xml:space="preserve"> </w:t>
      </w:r>
      <w:r>
        <w:rPr>
          <w:b/>
          <w:bCs/>
        </w:rPr>
        <w:t xml:space="preserve">rolling stock is ageing and will require asset renewal over time</w:t>
      </w:r>
      <w:r>
        <w:t xml:space="preserve">.</w:t>
      </w:r>
    </w:p>
    <w:p>
      <w:pPr>
        <w:pStyle w:val="BodyText"/>
      </w:pPr>
      <w:r>
        <w:rPr>
          <w:b/>
          <w:bCs/>
        </w:rPr>
        <w:t xml:space="preserve">same job same pay</w:t>
      </w:r>
    </w:p>
    <w:p>
      <w:pPr>
        <w:pStyle w:val="BodyText"/>
      </w:pPr>
      <w:r>
        <w:t xml:space="preserve">One to watch, however, I foresee that contractors may be better paid/taken care of in some instances (RE: UGL v Sydney Trains)</w:t>
      </w:r>
    </w:p>
    <w:p>
      <w:pPr>
        <w:pStyle w:val="BodyText"/>
      </w:pPr>
      <w:r>
        <w:t xml:space="preserve">Very likely to be areas outside our core coverage – rail infrastructure more likely to use labour hire than rail vehicle maintenance.</w:t>
      </w:r>
    </w:p>
    <w:p>
      <w:pPr>
        <w:pStyle w:val="BodyText"/>
      </w:pPr>
      <w:r>
        <w:t xml:space="preserve">That said, manufacturing of rail infrastructure (eg the actual rail, fastenings etc) is just as likely as ordinary manufacturing to use labour hire</w:t>
      </w:r>
    </w:p>
    <w:p>
      <w:pPr>
        <w:pStyle w:val="BodyText"/>
      </w:pPr>
      <w:r>
        <w:rPr>
          <w:b/>
          <w:bCs/>
        </w:rPr>
        <w:t xml:space="preserve">national reconstruction fund</w:t>
      </w:r>
    </w:p>
    <w:p>
      <w:pPr>
        <w:pStyle w:val="BodyText"/>
      </w:pPr>
      <w:r>
        <w:t xml:space="preserve">The National Reconstruction Fund Corporation may invest in the manufacture of vehicles and parts for rail including the parts and components for rail infrastructure such as sleepers.</w:t>
      </w:r>
    </w:p>
    <w:bookmarkEnd w:id="139"/>
    <w:bookmarkStart w:id="140" w:name="conclusion-9"/>
    <w:p>
      <w:pPr>
        <w:sectPr>
          <w:footnotePr>
            <w:numRestart w:val="eachSect"/>
          </w:footnotePr>
        </w:sectPr>
      </w:pPr>
    </w:p>
    <w:p>
      <w:pPr>
        <w:pStyle w:val="Heading2"/>
      </w:pPr>
      <w:r>
        <w:t xml:space="preserve">17.3 Conclusion</w:t>
      </w:r>
    </w:p>
    <w:p>
      <w:pPr>
        <w:numPr>
          <w:ilvl w:val="0"/>
          <w:numId w:val="1079"/>
        </w:numPr>
      </w:pPr>
      <w:r>
        <w:t xml:space="preserve">summary</w:t>
      </w:r>
    </w:p>
    <w:p>
      <w:pPr>
        <w:numPr>
          <w:ilvl w:val="0"/>
          <w:numId w:val="1079"/>
        </w:numPr>
      </w:pPr>
      <w:r>
        <w:t xml:space="preserve">any other issues</w:t>
      </w:r>
    </w:p>
    <w:bookmarkEnd w:id="140"/>
    <w:bookmarkEnd w:id="141"/>
    <w:bookmarkStart w:id="142" w:name="summary"/>
    <w:p>
      <w:pPr>
        <w:sectPr>
          <w:footnotePr>
            <w:numRestart w:val="eachSect"/>
          </w:footnotePr>
        </w:sectPr>
      </w:pPr>
    </w:p>
    <w:p>
      <w:pPr>
        <w:pStyle w:val="Heading1"/>
      </w:pPr>
      <w:r>
        <w:t xml:space="preserve">18. Summary</w:t>
      </w:r>
    </w:p>
    <w:p>
      <w:pPr>
        <w:pStyle w:val="FirstParagraph"/>
      </w:pPr>
      <w:r>
        <w:t xml:space="preserve">In summary, …</w:t>
      </w:r>
    </w:p>
    <w:bookmarkEnd w:id="142"/>
    <w:bookmarkStart w:id="150" w:name="references"/>
    <w:p>
      <w:pPr>
        <w:sectPr>
          <w:footnotePr>
            <w:numRestart w:val="eachSect"/>
          </w:footnotePr>
        </w:sectPr>
      </w:pPr>
    </w:p>
    <w:p>
      <w:pPr>
        <w:pStyle w:val="Heading1"/>
      </w:pPr>
      <w:r>
        <w:t xml:space="preserve">References</w:t>
      </w:r>
    </w:p>
    <w:bookmarkStart w:id="149" w:name="refs"/>
    <w:bookmarkStart w:id="143"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143"/>
    <w:bookmarkStart w:id="144"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144"/>
    <w:bookmarkStart w:id="146"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145">
        <w:r>
          <w:rPr>
            <w:rStyle w:val="Hyperlink"/>
          </w:rPr>
          <w:t xml:space="preserve">https://doi.org/10.1038/s42254-020-00275-1</w:t>
        </w:r>
      </w:hyperlink>
      <w:r>
        <w:t xml:space="preserve">.</w:t>
      </w:r>
    </w:p>
    <w:bookmarkEnd w:id="146"/>
    <w:bookmarkStart w:id="148"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147">
        <w:r>
          <w:rPr>
            <w:rStyle w:val="Hyperlink"/>
          </w:rPr>
          <w:t xml:space="preserve">https://doi.org/10.1111/j.1944-8287.1997.tb00089.x</w:t>
        </w:r>
      </w:hyperlink>
      <w:r>
        <w:t xml:space="preserve">.</w:t>
      </w:r>
    </w:p>
    <w:bookmarkEnd w:id="148"/>
    <w:bookmarkEnd w:id="149"/>
    <w:bookmarkEnd w:id="1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hyperlink" Id="rId145" Target="https://doi.org/10.1038/s42254-020-00275-1" TargetMode="External" /><Relationship Type="http://schemas.openxmlformats.org/officeDocument/2006/relationships/hyperlink" Id="rId147"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145" Target="https://doi.org/10.1038/s42254-020-00275-1" TargetMode="External" /><Relationship Type="http://schemas.openxmlformats.org/officeDocument/2006/relationships/hyperlink" Id="rId147"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2025-09-24T07:11:26Z</dcterms:created>
  <dcterms:modified xsi:type="dcterms:W3CDTF">2025-09-24T07:11:26Z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