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3.png" ContentType="image/png"/>
  <Override PartName="/word/media/rId66.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65" w:name="just-transition"/>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2" w:name="large-scale-job-loss-overview"/>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2"/>
    <w:bookmarkStart w:id="31" w:name="X7f846bf91d88d33734f7c763570c2d405d2c09c"/>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6"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AU011030\AppData\Local\App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26"/>
    <w:bookmarkStart w:id="29"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AU011030\AppData\Local\App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29"/>
    <w:bookmarkStart w:id="30"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0"/>
    <w:bookmarkEnd w:id="31"/>
    <w:bookmarkStart w:id="64" w:name="X22b4463a641610255a8c3b5d743d1bc7193d474"/>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2"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4"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AU011030\AppData\Local\Apps\Quarto\share\formats\docx\tip.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34"/>
    <w:bookmarkStart w:id="37"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AU011030\AppData\Local\Apps\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37"/>
    <w:bookmarkStart w:id="40"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AU011030\AppData\Local\Apps\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40"/>
    <w:bookmarkStart w:id="43"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AU011030\AppData\Local\Apps\Quarto\share\formats\docx\tip.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43"/>
    <w:bookmarkStart w:id="46"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AU011030\AppData\Local\Apps\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46"/>
    <w:bookmarkStart w:id="51"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U011030\AppData\Local\Apps\Quarto\share\formats\docx\tip.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AU011030\AppData\Local\Apps\Quarto\share\formats\docx\tip.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51"/>
    <w:bookmarkEnd w:id="52"/>
    <w:bookmarkStart w:id="63" w:name="structural-risk-factors"/>
    <w:p>
      <w:pPr>
        <w:pStyle w:val="Heading3"/>
      </w:pPr>
      <w:r>
        <w:t xml:space="preserve">2.3.2 Structural Risk Factors</w:t>
      </w:r>
    </w:p>
    <w:bookmarkStart w:id="55"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AU011030\AppData\Local\Apps\Quarto\share\formats\docx\tip.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55"/>
    <w:bookmarkStart w:id="58"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Users\AU011030\AppData\Local\Apps\Quarto\share\formats\docx\tip.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58"/>
    <w:bookmarkStart w:id="61"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AU011030\AppData\Local\Apps\Quarto\share\formats\docx\tip.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61"/>
    <w:bookmarkStart w:id="62"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2"/>
    <w:bookmarkEnd w:id="63"/>
    <w:bookmarkEnd w:id="64"/>
    <w:bookmarkEnd w:id="65"/>
    <w:bookmarkStart w:id="83" w:name="economic-complexity"/>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0" w:name="economic-complexity-in-australia"/>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69" w:name="fig-complexity-index"/>
          <w:p>
            <w:pPr>
              <w:pStyle w:val="Compact"/>
              <w:jc w:val="center"/>
            </w:pPr>
            <w:r>
              <w:drawing>
                <wp:inline>
                  <wp:extent cx="3733800" cy="2301213"/>
                  <wp:effectExtent b="0" l="0" r="0" t="0"/>
                  <wp:docPr descr="" title="" id="67" name="Picture"/>
                  <a:graphic>
                    <a:graphicData uri="http://schemas.openxmlformats.org/drawingml/2006/picture">
                      <pic:pic>
                        <pic:nvPicPr>
                          <pic:cNvPr descr="economic-complexity_files/figure-docx/fig-complexity-index-1.png" id="68" name="Picture"/>
                          <pic:cNvPicPr>
                            <a:picLocks noChangeArrowheads="1" noChangeAspect="1"/>
                          </pic:cNvPicPr>
                        </pic:nvPicPr>
                        <pic:blipFill>
                          <a:blip r:embed="rId66"/>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Economic Complexity Index, Australia, Canada, Germany</w:t>
            </w:r>
          </w:p>
          <w:bookmarkEnd w:id="69"/>
        </w:tc>
      </w:tr>
    </w:tbl>
    <w:bookmarkEnd w:id="70"/>
    <w:bookmarkStart w:id="82" w:name="X002c81b237d0e7ea4aa6242ee98c3a084447a12"/>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AU011030\AppData\Local\Apps\Quarto\share\formats\docx\note.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80"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4" w:name="tbl-capabilities"/>
          <w:p>
            <w:pPr>
              <w:jc w:val="center"/>
            </w:pPr>
            <w:pPr>
              <w:jc w:val="star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4"/>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8" w:name="fig-density-cog"/>
          <w:p>
            <w:pPr>
              <w:pStyle w:val="Compact"/>
              <w:jc w:val="center"/>
            </w:pPr>
            <w:r>
              <w:drawing>
                <wp:inline>
                  <wp:extent cx="5334000" cy="3287447"/>
                  <wp:effectExtent b="0" l="0" r="0" t="0"/>
                  <wp:docPr descr="" title="" id="76" name="Picture"/>
                  <a:graphic>
                    <a:graphicData uri="http://schemas.openxmlformats.org/drawingml/2006/picture">
                      <pic:pic>
                        <pic:nvPicPr>
                          <pic:cNvPr descr="economic-complexity_files/figure-docx/fig-density-cog-1.png" id="77" name="Picture"/>
                          <pic:cNvPicPr>
                            <a:picLocks noChangeArrowheads="1" noChangeAspect="1"/>
                          </pic:cNvPicPr>
                        </pic:nvPicPr>
                        <pic:blipFill>
                          <a:blip r:embed="rId7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Economic benefit</w:t>
            </w:r>
          </w:p>
          <w:bookmarkEnd w:id="78"/>
        </w:tc>
      </w:tr>
    </w:tbl>
    <w:p>
      <w:pPr>
        <w:pStyle w:val="BodyText"/>
      </w:pPr>
      <w:r>
        <w:t xml:space="preserve">The relationship between benefit and feasibility is negative - activities which are more beneficial will be more difficult to pursue. All diversification opportunities are shown below in</w:t>
      </w:r>
    </w:p>
    <w:tbl>
      <w:tblPr>
        <w:tblStyle w:val="Table"/>
        <w:tblW w:type="pct" w:w="5000"/>
        <w:tblLayout w:type="fixed"/>
        <w:tblLook w:firstRow="0" w:lastRow="0" w:firstColumn="0" w:lastColumn="0" w:noHBand="0" w:noVBand="0" w:val="0000"/>
      </w:tblPr>
      <w:tblGrid>
        <w:gridCol w:w="7920"/>
      </w:tblGrid>
      <w:tr>
        <w:tc>
          <w:tcPr/>
          <w:bookmarkStart w:id="79" w:name="tbl-opportunities"/>
          <w:p>
            <w:pPr>
              <w:jc w:val="center"/>
            </w:pPr>
            <w:pPr>
              <w:jc w:val="star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79"/>
        </w:tc>
      </w:tr>
    </w:tbl>
    <w:p>
      <w:pPr>
        <w:numPr>
          <w:ilvl w:val="0"/>
          <w:numId w:val="1006"/>
        </w:numPr>
      </w:pPr>
      <w:r>
        <w:t xml:space="preserve">Diversification analysis is the first and most basic method.</w:t>
      </w:r>
    </w:p>
    <w:p>
      <w:pPr>
        <w:numPr>
          <w:ilvl w:val="0"/>
          <w:numId w:val="1006"/>
        </w:numPr>
      </w:pPr>
      <w:r>
        <w:t xml:space="preserve">Given a suite of existing capabilities, what related activities can be prioritised to best make use of the capabilities.</w:t>
      </w:r>
    </w:p>
    <w:p>
      <w:pPr>
        <w:numPr>
          <w:ilvl w:val="0"/>
          <w:numId w:val="1006"/>
        </w:numPr>
      </w:pPr>
      <w:r>
        <w:t xml:space="preserve">Identify where those related activities can be performed.</w:t>
      </w:r>
    </w:p>
    <w:bookmarkEnd w:id="80"/>
    <w:bookmarkStart w:id="81" w:name="opportunity-identification"/>
    <w:p>
      <w:pPr>
        <w:pStyle w:val="Heading3"/>
      </w:pPr>
      <w:r>
        <w:t xml:space="preserve">3.2.2 Opportunity Identification</w:t>
      </w:r>
    </w:p>
    <w:p>
      <w:pPr>
        <w:numPr>
          <w:ilvl w:val="0"/>
          <w:numId w:val="1007"/>
        </w:numPr>
      </w:pPr>
      <w:r>
        <w:t xml:space="preserve">Opportunity identification takes the diversification results and analyses:</w:t>
      </w:r>
    </w:p>
    <w:p>
      <w:pPr>
        <w:numPr>
          <w:ilvl w:val="1"/>
          <w:numId w:val="1008"/>
        </w:numPr>
      </w:pPr>
      <w:r>
        <w:t xml:space="preserve">current and future strengths and weaknesses within the sector</w:t>
      </w:r>
    </w:p>
    <w:p>
      <w:pPr>
        <w:numPr>
          <w:ilvl w:val="1"/>
          <w:numId w:val="1008"/>
        </w:numPr>
      </w:pPr>
      <w:r>
        <w:t xml:space="preserve">competitors and suppliers</w:t>
      </w:r>
    </w:p>
    <w:p>
      <w:pPr>
        <w:numPr>
          <w:ilvl w:val="1"/>
          <w:numId w:val="1008"/>
        </w:numPr>
      </w:pPr>
      <w:r>
        <w:t xml:space="preserve">anticipated international market conditions and industry demand characteristics</w:t>
      </w:r>
    </w:p>
    <w:p>
      <w:pPr>
        <w:numPr>
          <w:ilvl w:val="1"/>
          <w:numId w:val="1008"/>
        </w:numPr>
      </w:pPr>
      <w:r>
        <w:t xml:space="preserve">barriers to entry and minimum efficient scale issues</w:t>
      </w:r>
    </w:p>
    <w:p>
      <w:pPr>
        <w:numPr>
          <w:ilvl w:val="1"/>
          <w:numId w:val="1008"/>
        </w:numPr>
      </w:pPr>
      <w:r>
        <w:t xml:space="preserve">the size and economic significance of the opportunity</w:t>
      </w:r>
    </w:p>
    <w:p>
      <w:pPr>
        <w:numPr>
          <w:ilvl w:val="1"/>
          <w:numId w:val="1008"/>
        </w:numPr>
      </w:pPr>
      <w:r>
        <w:t xml:space="preserve">the most important elements of the value chain to capture</w:t>
      </w:r>
    </w:p>
    <w:p>
      <w:pPr>
        <w:numPr>
          <w:ilvl w:val="1"/>
          <w:numId w:val="1008"/>
        </w:numPr>
      </w:pPr>
      <w:r>
        <w:t xml:space="preserve">the alignment between the opportunities and strategic, regional, or national goals and priorities.</w:t>
      </w:r>
    </w:p>
    <w:bookmarkEnd w:id="81"/>
    <w:bookmarkEnd w:id="82"/>
    <w:bookmarkEnd w:id="83"/>
    <w:bookmarkStart w:id="84" w:name="procurement"/>
    <w:p>
      <w:pPr>
        <w:pStyle w:val="Heading1"/>
      </w:pPr>
      <w:r>
        <w:t xml:space="preserve">4. Procurement</w:t>
      </w:r>
    </w:p>
    <w:bookmarkEnd w:id="84"/>
    <w:bookmarkStart w:id="85" w:name="future-of-work"/>
    <w:p>
      <w:pPr>
        <w:pStyle w:val="Heading1"/>
      </w:pPr>
      <w:r>
        <w:t xml:space="preserve">5. Future of Work</w:t>
      </w:r>
    </w:p>
    <w:bookmarkEnd w:id="85"/>
    <w:bookmarkStart w:id="86" w:name="summary"/>
    <w:p>
      <w:pPr>
        <w:pStyle w:val="Heading1"/>
      </w:pPr>
      <w:r>
        <w:t xml:space="preserve">6. Summary</w:t>
      </w:r>
    </w:p>
    <w:p>
      <w:pPr>
        <w:pStyle w:val="FirstParagraph"/>
      </w:pPr>
      <w:r>
        <w:t xml:space="preserve">In summary, …</w:t>
      </w:r>
    </w:p>
    <w:bookmarkEnd w:id="86"/>
    <w:bookmarkStart w:id="94" w:name="references"/>
    <w:p>
      <w:pPr>
        <w:pStyle w:val="Heading1"/>
      </w:pPr>
      <w:r>
        <w:t xml:space="preserve">References</w:t>
      </w:r>
    </w:p>
    <w:bookmarkStart w:id="93" w:name="refs"/>
    <w:bookmarkStart w:id="87"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87"/>
    <w:bookmarkStart w:id="88"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88"/>
    <w:bookmarkStart w:id="90"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89">
        <w:r>
          <w:rPr>
            <w:rStyle w:val="Hyperlink"/>
          </w:rPr>
          <w:t xml:space="preserve">https://doi.org/10.1038/s42254-020-00275-1</w:t>
        </w:r>
      </w:hyperlink>
      <w:r>
        <w:t xml:space="preserve">.</w:t>
      </w:r>
    </w:p>
    <w:bookmarkEnd w:id="90"/>
    <w:bookmarkStart w:id="92"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91">
        <w:r>
          <w:rPr>
            <w:rStyle w:val="Hyperlink"/>
          </w:rPr>
          <w:t xml:space="preserve">https://doi.org/10.1111/j.1944-8287.1997.tb00089.x</w:t>
        </w:r>
      </w:hyperlink>
      <w:r>
        <w:t xml:space="preserve">.</w:t>
      </w:r>
    </w:p>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2025-06-25T02:57:53Z</dcterms:created>
  <dcterms:modified xsi:type="dcterms:W3CDTF">2025-06-25T02:57:53Z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