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24.png" ContentType="image/png"/>
  <Override PartName="/word/media/rId67.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sectPr>
          <w:footnotePr>
            <w:numRestart w:val="eachSect"/>
          </w:footnotePr>
        </w:sectPr>
      </w:pPr>
    </w:p>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2" w:name="introduction"/>
    <w:p>
      <w:pPr>
        <w:sectPr>
          <w:footnotePr>
            <w:numRestart w:val="eachSect"/>
          </w:footnotePr>
        </w:sectPr>
      </w:pPr>
    </w:p>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Start w:id="21" w:name="planning"/>
    <w:p>
      <w:pPr>
        <w:sectPr>
          <w:footnotePr>
            <w:numRestart w:val="eachSect"/>
          </w:footnotePr>
        </w:sectPr>
      </w:pPr>
    </w:p>
    <w:p>
      <w:pPr>
        <w:pStyle w:val="Heading2"/>
      </w:pPr>
      <w:r>
        <w:t xml:space="preserve">1.1 Planning</w:t>
      </w:r>
    </w:p>
    <w:bookmarkEnd w:id="21"/>
    <w:bookmarkEnd w:id="22"/>
    <w:bookmarkStart w:id="66" w:name="just-transition"/>
    <w:p>
      <w:pPr>
        <w:sectPr>
          <w:footnotePr>
            <w:numRestart w:val="eachSect"/>
          </w:footnotePr>
        </w:sectPr>
      </w:pPr>
    </w:p>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3" w:name="large-scale-job-loss-overview"/>
    <w:p>
      <w:pPr>
        <w:sectPr>
          <w:footnotePr>
            <w:numRestart w:val="eachSect"/>
          </w:footnotePr>
        </w:sectPr>
      </w:pPr>
    </w:p>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3"/>
    <w:bookmarkStart w:id="32" w:name="X7f846bf91d88d33734f7c763570c2d405d2c09c"/>
    <w:p>
      <w:pPr>
        <w:sectPr>
          <w:footnotePr>
            <w:numRestart w:val="eachSect"/>
          </w:footnotePr>
        </w:sectPr>
      </w:pPr>
    </w:p>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7"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p/>
        </w:tc>
      </w:tr>
    </w:tbl>
    <w:bookmarkEnd w:id="27"/>
    <w:bookmarkStart w:id="30"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p/>
        </w:tc>
      </w:tr>
    </w:tbl>
    <w:bookmarkEnd w:id="30"/>
    <w:bookmarkStart w:id="31"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1"/>
    <w:bookmarkEnd w:id="32"/>
    <w:bookmarkStart w:id="65" w:name="X22b4463a641610255a8c3b5d743d1bc7193d474"/>
    <w:p>
      <w:pPr>
        <w:sectPr>
          <w:footnotePr>
            <w:numRestart w:val="eachSect"/>
          </w:footnotePr>
        </w:sectPr>
      </w:pPr>
    </w:p>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3"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5"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p/>
        </w:tc>
      </w:tr>
    </w:tbl>
    <w:bookmarkEnd w:id="35"/>
    <w:bookmarkStart w:id="38"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p/>
        </w:tc>
      </w:tr>
    </w:tbl>
    <w:bookmarkEnd w:id="38"/>
    <w:bookmarkStart w:id="41"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p/>
        </w:tc>
      </w:tr>
    </w:tbl>
    <w:bookmarkEnd w:id="41"/>
    <w:bookmarkStart w:id="44"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p/>
        </w:tc>
      </w:tr>
    </w:tbl>
    <w:bookmarkEnd w:id="44"/>
    <w:bookmarkStart w:id="47"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tip.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p/>
        </w:tc>
      </w:tr>
    </w:tbl>
    <w:bookmarkEnd w:id="47"/>
    <w:bookmarkStart w:id="52"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tip.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p/>
        </w:tc>
      </w:tr>
    </w:tbl>
    <w:bookmarkEnd w:id="52"/>
    <w:bookmarkEnd w:id="53"/>
    <w:bookmarkStart w:id="64" w:name="structural-risk-factors"/>
    <w:p>
      <w:pPr>
        <w:pStyle w:val="Heading3"/>
      </w:pPr>
      <w:r>
        <w:t xml:space="preserve">2.3.2 Structural Risk Factors</w:t>
      </w:r>
    </w:p>
    <w:bookmarkStart w:id="56"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p/>
        </w:tc>
      </w:tr>
    </w:tbl>
    <w:bookmarkEnd w:id="56"/>
    <w:bookmarkStart w:id="59"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p/>
        </w:tc>
      </w:tr>
    </w:tbl>
    <w:bookmarkEnd w:id="59"/>
    <w:bookmarkStart w:id="62"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tip.png" id="6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p/>
        </w:tc>
      </w:tr>
    </w:tbl>
    <w:bookmarkEnd w:id="62"/>
    <w:bookmarkStart w:id="63"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3"/>
    <w:bookmarkEnd w:id="64"/>
    <w:bookmarkEnd w:id="65"/>
    <w:bookmarkEnd w:id="66"/>
    <w:bookmarkStart w:id="84" w:name="economic-complexity"/>
    <w:p>
      <w:pPr>
        <w:sectPr>
          <w:footnotePr>
            <w:numRestart w:val="eachSect"/>
          </w:footnotePr>
        </w:sectPr>
      </w:pPr>
    </w:p>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1" w:name="economic-complexity-in-australia"/>
    <w:p>
      <w:pPr>
        <w:sectPr>
          <w:footnotePr>
            <w:numRestart w:val="eachSect"/>
          </w:footnotePr>
        </w:sectPr>
      </w:pPr>
    </w:p>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70" w:name="fig-complexity-index"/>
          <w:p>
            <w:pPr>
              <w:pStyle w:val="Compact"/>
              <w:jc w:val="center"/>
            </w:pPr>
            <w:r>
              <w:drawing>
                <wp:inline>
                  <wp:extent cx="3733800" cy="2301213"/>
                  <wp:effectExtent b="0" l="0" r="0" t="0"/>
                  <wp:docPr descr="" title="" id="68" name="Picture"/>
                  <a:graphic>
                    <a:graphicData uri="http://schemas.openxmlformats.org/drawingml/2006/picture">
                      <pic:pic>
                        <pic:nvPicPr>
                          <pic:cNvPr descr="economic-complexity_files/figure-docx/fig-complexity-index-1.png" id="69" name="Picture"/>
                          <pic:cNvPicPr>
                            <a:picLocks noChangeArrowheads="1" noChangeAspect="1"/>
                          </pic:cNvPicPr>
                        </pic:nvPicPr>
                        <pic:blipFill>
                          <a:blip r:embed="rId67"/>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left"/>
              <w:spacing w:before="200"/>
              <w:pStyle w:val="ImageCaption"/>
            </w:pPr>
            <w:r>
              <w:t xml:space="preserve">Figure 3.1: Economic Complexity Index, Australia, Canada, Germany</w:t>
            </w:r>
          </w:p>
          <w:bookmarkEnd w:id="70"/>
        </w:tc>
      </w:tr>
    </w:tbl>
    <w:bookmarkEnd w:id="71"/>
    <w:bookmarkStart w:id="83" w:name="X002c81b237d0e7ea4aa6242ee98c3a084447a12"/>
    <w:p>
      <w:pPr>
        <w:sectPr>
          <w:footnotePr>
            <w:numRestart w:val="eachSect"/>
          </w:footnotePr>
        </w:sectPr>
      </w:pPr>
    </w:p>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note.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p/>
        </w:tc>
      </w:tr>
    </w:tbl>
    <w:bookmarkStart w:id="81"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5" w:name="tbl-capabilities"/>
          <w:p>
            <w:pPr>
              <w:jc w:val="center"/>
            </w:pPr>
            <w:pPr>
              <w:jc w:val="lef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5"/>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9" w:name="fig-density-cog"/>
          <w:p>
            <w:pPr>
              <w:pStyle w:val="Compact"/>
              <w:jc w:val="center"/>
            </w:pPr>
            <w:r>
              <w:drawing>
                <wp:inline>
                  <wp:extent cx="5334000" cy="3287447"/>
                  <wp:effectExtent b="0" l="0" r="0" t="0"/>
                  <wp:docPr descr="" title="" id="77" name="Picture"/>
                  <a:graphic>
                    <a:graphicData uri="http://schemas.openxmlformats.org/drawingml/2006/picture">
                      <pic:pic>
                        <pic:nvPicPr>
                          <pic:cNvPr descr="economic-complexity_files/figure-docx/fig-density-cog-1.png" id="78" name="Picture"/>
                          <pic:cNvPicPr>
                            <a:picLocks noChangeArrowheads="1" noChangeAspect="1"/>
                          </pic:cNvPicPr>
                        </pic:nvPicPr>
                        <pic:blipFill>
                          <a:blip r:embed="rId76"/>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left"/>
              <w:spacing w:before="200"/>
              <w:pStyle w:val="ImageCaption"/>
            </w:pPr>
            <w:r>
              <w:t xml:space="preserve">Figure 3.2: Economic benefit</w:t>
            </w:r>
          </w:p>
          <w:bookmarkEnd w:id="79"/>
        </w:tc>
      </w:tr>
    </w:tbl>
    <w:p>
      <w:pPr>
        <w:pStyle w:val="BodyText"/>
      </w:pPr>
      <w:r>
        <w:t xml:space="preserve">The relationship between benefit and feasibility is negative - activities which are more beneficial will be more difficult to pursue. All diversification opportunities are shown below in</w:t>
      </w:r>
    </w:p>
    <w:tbl>
      <w:tblPr>
        <w:tblStyle w:val="Table"/>
        <w:tblW w:type="pct" w:w="5000"/>
        <w:tblLayout w:type="fixed"/>
        <w:tblLook w:firstRow="0" w:lastRow="0" w:firstColumn="0" w:lastColumn="0" w:noHBand="0" w:noVBand="0" w:val="0000"/>
      </w:tblPr>
      <w:tblGrid>
        <w:gridCol w:w="7920"/>
      </w:tblGrid>
      <w:tr>
        <w:tc>
          <w:tcPr/>
          <w:bookmarkStart w:id="80" w:name="tbl-opportunities"/>
          <w:p>
            <w:pPr>
              <w:jc w:val="center"/>
            </w:pPr>
            <w:pPr>
              <w:jc w:val="lef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80"/>
        </w:tc>
      </w:tr>
    </w:tbl>
    <w:p>
      <w:pPr>
        <w:numPr>
          <w:ilvl w:val="0"/>
          <w:numId w:val="1006"/>
        </w:numPr>
      </w:pPr>
      <w:r>
        <w:t xml:space="preserve">Diversification analysis is the first and most basic method.</w:t>
      </w:r>
    </w:p>
    <w:p>
      <w:pPr>
        <w:numPr>
          <w:ilvl w:val="0"/>
          <w:numId w:val="1006"/>
        </w:numPr>
      </w:pPr>
      <w:r>
        <w:t xml:space="preserve">Given a suite of existing capabilities, what related activities can be prioritised to best make use of the capabilities.</w:t>
      </w:r>
    </w:p>
    <w:p>
      <w:pPr>
        <w:numPr>
          <w:ilvl w:val="0"/>
          <w:numId w:val="1006"/>
        </w:numPr>
      </w:pPr>
      <w:r>
        <w:t xml:space="preserve">Identify where those related activities can be performed.</w:t>
      </w:r>
    </w:p>
    <w:bookmarkEnd w:id="81"/>
    <w:bookmarkStart w:id="82" w:name="opportunity-identification"/>
    <w:p>
      <w:pPr>
        <w:pStyle w:val="Heading3"/>
      </w:pPr>
      <w:r>
        <w:t xml:space="preserve">3.2.2 Opportunity Identification</w:t>
      </w:r>
    </w:p>
    <w:p>
      <w:pPr>
        <w:numPr>
          <w:ilvl w:val="0"/>
          <w:numId w:val="1007"/>
        </w:numPr>
      </w:pPr>
      <w:r>
        <w:t xml:space="preserve">Opportunity identification takes the diversification results and analyses:</w:t>
      </w:r>
    </w:p>
    <w:p>
      <w:pPr>
        <w:numPr>
          <w:ilvl w:val="1"/>
          <w:numId w:val="1008"/>
        </w:numPr>
      </w:pPr>
      <w:r>
        <w:t xml:space="preserve">current and future strengths and weaknesses within the sector</w:t>
      </w:r>
    </w:p>
    <w:p>
      <w:pPr>
        <w:numPr>
          <w:ilvl w:val="1"/>
          <w:numId w:val="1008"/>
        </w:numPr>
      </w:pPr>
      <w:r>
        <w:t xml:space="preserve">competitors and suppliers</w:t>
      </w:r>
    </w:p>
    <w:p>
      <w:pPr>
        <w:numPr>
          <w:ilvl w:val="1"/>
          <w:numId w:val="1008"/>
        </w:numPr>
      </w:pPr>
      <w:r>
        <w:t xml:space="preserve">anticipated international market conditions and industry demand characteristics</w:t>
      </w:r>
    </w:p>
    <w:p>
      <w:pPr>
        <w:numPr>
          <w:ilvl w:val="1"/>
          <w:numId w:val="1008"/>
        </w:numPr>
      </w:pPr>
      <w:r>
        <w:t xml:space="preserve">barriers to entry and minimum efficient scale issues</w:t>
      </w:r>
    </w:p>
    <w:p>
      <w:pPr>
        <w:numPr>
          <w:ilvl w:val="1"/>
          <w:numId w:val="1008"/>
        </w:numPr>
      </w:pPr>
      <w:r>
        <w:t xml:space="preserve">the size and economic significance of the opportunity</w:t>
      </w:r>
    </w:p>
    <w:p>
      <w:pPr>
        <w:numPr>
          <w:ilvl w:val="1"/>
          <w:numId w:val="1008"/>
        </w:numPr>
      </w:pPr>
      <w:r>
        <w:t xml:space="preserve">the most important elements of the value chain to capture</w:t>
      </w:r>
    </w:p>
    <w:p>
      <w:pPr>
        <w:numPr>
          <w:ilvl w:val="1"/>
          <w:numId w:val="1008"/>
        </w:numPr>
      </w:pPr>
      <w:r>
        <w:t xml:space="preserve">the alignment between the opportunities and strategic, regional, or national goals and priorities.</w:t>
      </w:r>
    </w:p>
    <w:bookmarkEnd w:id="82"/>
    <w:bookmarkEnd w:id="83"/>
    <w:bookmarkEnd w:id="84"/>
    <w:bookmarkStart w:id="85" w:name="procurement"/>
    <w:p>
      <w:pPr>
        <w:sectPr>
          <w:footnotePr>
            <w:numRestart w:val="eachSect"/>
          </w:footnotePr>
        </w:sectPr>
      </w:pPr>
    </w:p>
    <w:p>
      <w:pPr>
        <w:pStyle w:val="Heading1"/>
      </w:pPr>
      <w:r>
        <w:t xml:space="preserve">4. Procurement</w:t>
      </w:r>
    </w:p>
    <w:bookmarkEnd w:id="85"/>
    <w:bookmarkStart w:id="89" w:name="future-of-work"/>
    <w:p>
      <w:pPr>
        <w:sectPr>
          <w:footnotePr>
            <w:numRestart w:val="eachSect"/>
          </w:footnotePr>
        </w:sectPr>
      </w:pPr>
    </w:p>
    <w:p>
      <w:pPr>
        <w:pStyle w:val="Heading1"/>
      </w:pPr>
      <w:r>
        <w:t xml:space="preserve">5. Future of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note.png" id="87"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Emerging industries will replace, or supplement existing industries. The net-zero transition necessitates the closure of some industries (coal and gas fired energy generation), and production changes for others (direct reduction of steel).</w:t>
            </w:r>
          </w:p>
          <w:p/>
        </w:tc>
      </w:tr>
    </w:tbl>
    <w:p>
      <w:pPr>
        <w:pStyle w:val="BodyText"/>
      </w:pPr>
      <w:r>
        <w:t xml:space="preserve">The way in which we work is changing. The manufacturing industry in particular faces disruption from two directions:</w:t>
      </w:r>
    </w:p>
    <w:p>
      <w:pPr>
        <w:numPr>
          <w:ilvl w:val="0"/>
          <w:numId w:val="1009"/>
        </w:numPr>
      </w:pPr>
      <w:r>
        <w:t xml:space="preserve">decarbonisation and net zero requires energy and carbon intensive manufacturing processes to transition into using renewable generated electricity, such as in the aluminium industry, or a change in process to no longer require carbon as an input, such as in the iron and steel industry.</w:t>
      </w:r>
    </w:p>
    <w:p>
      <w:pPr>
        <w:numPr>
          <w:ilvl w:val="0"/>
          <w:numId w:val="1009"/>
        </w:numPr>
      </w:pPr>
      <w:r>
        <w:t xml:space="preserve">the development, adoption, and diffusion of advanced manufacturing technologies, such as digitisation, robotics, automation into manufacturing processes changes the kind of work being done on the shop floor.</w:t>
      </w:r>
    </w:p>
    <w:p>
      <w:pPr>
        <w:pStyle w:val="FirstParagraph"/>
      </w:pPr>
      <w:r>
        <w:t xml:space="preserve">Understanding the impact that these disruptions have on occupations, skill requirements, and employment is important to:</w:t>
      </w:r>
    </w:p>
    <w:p>
      <w:pPr>
        <w:numPr>
          <w:ilvl w:val="0"/>
          <w:numId w:val="1010"/>
        </w:numPr>
      </w:pPr>
      <w:r>
        <w:t xml:space="preserve">build organising capacity and capability in emerging sectors and;</w:t>
      </w:r>
    </w:p>
    <w:p>
      <w:pPr>
        <w:numPr>
          <w:ilvl w:val="0"/>
          <w:numId w:val="1010"/>
        </w:numPr>
      </w:pPr>
      <w:r>
        <w:t xml:space="preserve">know whether our existing rules will be suitable to get coverage in emerging sectors, or if not, to get a head start in what rule changes are needed.</w:t>
      </w:r>
    </w:p>
    <w:bookmarkStart w:id="88" w:name="emerging-sectors"/>
    <w:p>
      <w:pPr>
        <w:sectPr>
          <w:footnotePr>
            <w:numRestart w:val="eachSect"/>
          </w:footnotePr>
        </w:sectPr>
      </w:pPr>
    </w:p>
    <w:p>
      <w:pPr>
        <w:pStyle w:val="Heading2"/>
      </w:pPr>
      <w:r>
        <w:t xml:space="preserve">5.1 Emerging Sectors</w:t>
      </w:r>
    </w:p>
    <w:p>
      <w:pPr>
        <w:pStyle w:val="FirstParagraph"/>
      </w:pPr>
      <w:r>
        <w:t xml:space="preserve">The following sectors have been identified as target industries for further investigation</w:t>
      </w:r>
    </w:p>
    <w:bookmarkEnd w:id="88"/>
    <w:bookmarkEnd w:id="89"/>
    <w:bookmarkStart w:id="97" w:name="iron-and-steel"/>
    <w:p>
      <w:pPr>
        <w:sectPr>
          <w:footnotePr>
            <w:numRestart w:val="eachSect"/>
          </w:footnotePr>
        </w:sectPr>
      </w:pPr>
    </w:p>
    <w:p>
      <w:pPr>
        <w:pStyle w:val="Heading1"/>
      </w:pPr>
      <w:r>
        <w:t xml:space="preserve">6. Iron and Steel</w:t>
      </w:r>
    </w:p>
    <w:bookmarkStart w:id="90" w:name="industry-overview"/>
    <w:p>
      <w:pPr>
        <w:sectPr>
          <w:footnotePr>
            <w:numRestart w:val="eachSect"/>
          </w:footnotePr>
        </w:sectPr>
      </w:pPr>
    </w:p>
    <w:p>
      <w:pPr>
        <w:pStyle w:val="Heading2"/>
      </w:pPr>
      <w:r>
        <w:t xml:space="preserve">6.1 Industry Overview</w:t>
      </w:r>
    </w:p>
    <w:p>
      <w:pPr>
        <w:pStyle w:val="FirstParagraph"/>
      </w:pPr>
      <w:r>
        <w:t xml:space="preserve">Steel manufacturing in Australia is captured primarily by the ANZSIC groups:</w:t>
      </w:r>
    </w:p>
    <w:p>
      <w:pPr>
        <w:numPr>
          <w:ilvl w:val="0"/>
          <w:numId w:val="1011"/>
        </w:numPr>
      </w:pPr>
      <w:r>
        <w:t xml:space="preserve">Iron and Steel Forging</w:t>
      </w:r>
    </w:p>
    <w:p>
      <w:pPr>
        <w:numPr>
          <w:ilvl w:val="0"/>
          <w:numId w:val="1011"/>
        </w:numPr>
      </w:pPr>
      <w:r>
        <w:t xml:space="preserve">Basic Ferrous Metal Manufacturing</w:t>
      </w:r>
    </w:p>
    <w:p>
      <w:pPr>
        <w:numPr>
          <w:ilvl w:val="0"/>
          <w:numId w:val="1011"/>
        </w:numPr>
      </w:pPr>
      <w:r>
        <w:t xml:space="preserve">Basic Ferrous Metal Product Manufacturing</w:t>
      </w:r>
    </w:p>
    <w:p>
      <w:pPr>
        <w:numPr>
          <w:ilvl w:val="0"/>
          <w:numId w:val="1011"/>
        </w:numPr>
      </w:pPr>
      <w:r>
        <w:t xml:space="preserve">Iron Smelting and Steel production is dominated by BlueScope Steel, who had almost 50% of the market share in 2025.</w:t>
      </w:r>
    </w:p>
    <w:p>
      <w:pPr>
        <w:pStyle w:val="FirstParagraph"/>
      </w:pPr>
      <w:r>
        <w:t xml:space="preserve">Overall, the iron and steel industries rely on demand in the residential construction, mining, vehicles, and infrastructure sectors to maintain revenue stability. All aspects of the industry are facing increasing pressures from low-cost imports, especially in the face of rising input costs in Australia. Additional uncertainty surrounding international trade policy clouds future investment decisions. Within the steel manufacturing and structural steel fabricating industries, pressures from automation and AI adoption have reduced wage costs and impacted the labour market. Future revenue growth in these sectors may rely on increased demand for green steel – indicating the importance for local manufacturers to invest in these production technologies now.</w:t>
      </w:r>
    </w:p>
    <w:p>
      <w:pPr>
        <w:pStyle w:val="BodyText"/>
      </w:pPr>
      <w:r>
        <w:t xml:space="preserve">Both the iron and steel casting and forging industries have faced declining revenue over the last five years. Revenue has reduced at an annualized rate of 7.7%, primarily due to the continued impacts of the decline of the Australian motor vehicle manufacturing industry and increased import competition. In iron and steel forging, deteriorating conditions in mining output and railway equipment manufacturing has resulted in an annualised revenue decline of 2.4% through to 2024-25.</w:t>
      </w:r>
    </w:p>
    <w:p>
      <w:pPr>
        <w:pStyle w:val="BodyText"/>
      </w:pPr>
      <w:r>
        <w:t xml:space="preserve">However, future growth is predicted as population growth increases pressure on existing infrastructure – increasing demand for multi-unit apartments, townhouses, and railway equipment. The completion of existing large infrastructure projects will dampen future sales without a strong pipeline of additional work. Finally, there is an opportunity through increased demand for wind farm construction to support the iron and steel forging industry.</w:t>
      </w:r>
    </w:p>
    <w:bookmarkEnd w:id="90"/>
    <w:bookmarkStart w:id="95" w:name="opportunities"/>
    <w:p>
      <w:pPr>
        <w:sectPr>
          <w:footnotePr>
            <w:numRestart w:val="eachSect"/>
          </w:footnotePr>
        </w:sectPr>
      </w:pPr>
    </w:p>
    <w:p>
      <w:pPr>
        <w:pStyle w:val="Heading2"/>
      </w:pPr>
      <w:r>
        <w:t xml:space="preserve">6.2 Opportunities</w:t>
      </w:r>
    </w:p>
    <w:p>
      <w:pPr>
        <w:pStyle w:val="FirstParagraph"/>
      </w:pPr>
      <w:r>
        <w:rPr>
          <w:b/>
          <w:bCs/>
        </w:rPr>
        <w:t xml:space="preserve">what and where are the opportunities for growth?</w:t>
      </w:r>
    </w:p>
    <w:p>
      <w:pPr>
        <w:pStyle w:val="BodyText"/>
      </w:pPr>
      <w:r>
        <w:t xml:space="preserve">Most steel production in Australia occurs at Port Kembla in New South Wales, operated by BlueScope and Whyalla in South Australia, operated by GFG Alliance Liberty Steel. The Whyalla steelworks was placed under administration by the South Australian government in February 2025. Both of these operations use blast furnaces to produce steel using iron ore and coal. This process produces significant amounts of carbon dioxide.</w:t>
      </w:r>
    </w:p>
    <w:p>
      <w:pPr>
        <w:pStyle w:val="BodyText"/>
      </w:pPr>
      <w:r>
        <w:rPr>
          <w:b/>
          <w:bCs/>
        </w:rPr>
        <w:t xml:space="preserve">electric arc furnaces</w:t>
      </w:r>
    </w:p>
    <w:p>
      <w:pPr>
        <w:pStyle w:val="BodyText"/>
      </w:pPr>
      <w:r>
        <w:t xml:space="preserve">Modern steel making techniques utilise electric arc furnaces as replacements for blast furnaces. These use significant amounts of electricity, but are more modern and more efficient. An electric arc furnace enables the production of low-carbon steel, including green steel. Electric arc furnaces can produce steel from any combination of recycled scrap steel and direct reduced iron.</w:t>
      </w:r>
    </w:p>
    <w:p>
      <w:pPr>
        <w:pStyle w:val="BodyText"/>
      </w:pPr>
      <w:r>
        <w:t xml:space="preserve">The electric arc furnace in Collie WA is able to produce steel rebar with 80% fewer emissions - from recycled steel.</w:t>
      </w:r>
    </w:p>
    <w:p>
      <w:pPr>
        <w:pStyle w:val="BodyText"/>
      </w:pPr>
      <w:r>
        <w:t xml:space="preserve">In-place upgrading of blast furnaces to electric arc furnaces probably requires closure of plants. In Wales at Tata Steel, the transition shut down production for about 2 years, resulting in about 2000 people losing their job.</w:t>
      </w:r>
    </w:p>
    <w:p>
      <w:pPr>
        <w:pStyle w:val="BodyText"/>
      </w:pPr>
      <w:r>
        <w:t xml:space="preserve">In the UK, a plan to replace two blast furnaces at British Steel Scunthorpe is estimated to impact up to 2,000 steel workers.</w:t>
      </w:r>
    </w:p>
    <w:p>
      <w:pPr>
        <w:pStyle w:val="BodyText"/>
      </w:pPr>
      <w:r>
        <w:t xml:space="preserve">These investments have cost over 1.25bn pounds each.</w:t>
      </w:r>
    </w:p>
    <w:p>
      <w:pPr>
        <w:pStyle w:val="BodyText"/>
      </w:pPr>
      <w:r>
        <w:rPr>
          <w:b/>
          <w:bCs/>
        </w:rPr>
        <w:t xml:space="preserve">direct reduced / green iron</w:t>
      </w:r>
    </w:p>
    <w:p>
      <w:pPr>
        <w:pStyle w:val="BodyText"/>
      </w:pPr>
      <w:r>
        <w:t xml:space="preserve">Making virgin steel using an electric arc furnace requires direct reduced iron. Direct reduced iron can be produced using natural gas/coal, or with hydrogen.</w:t>
      </w:r>
    </w:p>
    <w:p>
      <w:pPr>
        <w:pStyle w:val="BodyText"/>
      </w:pPr>
      <w:r>
        <w:t xml:space="preserve">proximity of whyalla steel works and port kembla steel works to iron ore mines provides an opportunity to integrate direct reduced iron production into the process.</w:t>
      </w:r>
    </w:p>
    <w:p>
      <w:pPr>
        <w:pStyle w:val="BodyText"/>
      </w:pPr>
      <w:r>
        <w:t xml:space="preserve">green iron production at geraldton???</w:t>
      </w:r>
    </w:p>
    <w:p>
      <w:pPr>
        <w:pStyle w:val="BodyText"/>
      </w:pPr>
      <w:r>
        <w:rPr>
          <w:b/>
          <w:bCs/>
        </w:rPr>
        <w:t xml:space="preserve">process upgrade</w:t>
      </w:r>
    </w:p>
    <w:p>
      <w:pPr>
        <w:pStyle w:val="BodyText"/>
      </w:pPr>
      <w:r>
        <w:t xml:space="preserve">this would require upgrading blast furnaces to electric arc furnaces, or new brownfield developments meaning significant capital investment would be required.</w:t>
      </w:r>
    </w:p>
    <w:p>
      <w:pPr>
        <w:pStyle w:val="BodyText"/>
      </w:pPr>
      <w:r>
        <w:t xml:space="preserve">virgin steel production should be seen as a strategic national capability to maintain.</w:t>
      </w:r>
    </w:p>
    <w:bookmarkStart w:id="91" w:name="legislation"/>
    <w:p>
      <w:pPr>
        <w:pStyle w:val="Heading3"/>
      </w:pPr>
      <w:r>
        <w:t xml:space="preserve">6.2.1 Legislation</w:t>
      </w:r>
    </w:p>
    <w:p>
      <w:pPr>
        <w:pStyle w:val="FirstParagraph"/>
      </w:pPr>
      <w:r>
        <w:t xml:space="preserve">There are more than 3,000 businesses operating in the iron and steel industries across Australia.</w:t>
      </w:r>
    </w:p>
    <w:p>
      <w:pPr>
        <w:pStyle w:val="Compact"/>
        <w:numPr>
          <w:ilvl w:val="0"/>
          <w:numId w:val="1012"/>
        </w:numPr>
      </w:pPr>
      <w:r>
        <w:t xml:space="preserve">Multi-employer bargaining</w:t>
      </w:r>
    </w:p>
    <w:p>
      <w:pPr>
        <w:pStyle w:val="Compact"/>
        <w:numPr>
          <w:ilvl w:val="0"/>
          <w:numId w:val="1012"/>
        </w:numPr>
      </w:pPr>
      <w:r>
        <w:t xml:space="preserve">Same Job Same Pay</w:t>
      </w:r>
    </w:p>
    <w:bookmarkEnd w:id="91"/>
    <w:bookmarkStart w:id="94" w:name="government-funding"/>
    <w:p>
      <w:pPr>
        <w:pStyle w:val="Heading3"/>
      </w:pPr>
      <w:r>
        <w:t xml:space="preserve">6.2.2 Government Funding</w:t>
      </w:r>
    </w:p>
    <w:p>
      <w:pPr>
        <w:pStyle w:val="FirstParagraph"/>
      </w:pPr>
      <w:r>
        <w:t xml:space="preserve">The Future Made in Australia Innovation Fund, and the National Reconstruction Fund are the primary sources for government funding for the iron and steel industry.</w:t>
      </w:r>
    </w:p>
    <w:p>
      <w:pPr>
        <w:pStyle w:val="BodyText"/>
      </w:pPr>
      <w:r>
        <w:t xml:space="preserve">support for domestic produced steel (green or grey) can be provided through government purchase contracts and procurement. Demand side interventions are possibly the only way to get this kind of production from the speculation stage to actually happening. Because capital investment won’t come without a guaranteed buyer. A demand side policy might look like a significant infrastructure build/development using australian produced steel.</w:t>
      </w:r>
    </w:p>
    <w:bookmarkStart w:id="92" w:name="future-made-in-australia"/>
    <w:p>
      <w:pPr>
        <w:pStyle w:val="Heading4"/>
      </w:pPr>
      <w:r>
        <w:t xml:space="preserve">6.2.2.1 Future Made in Australia</w:t>
      </w:r>
    </w:p>
    <w:p>
      <w:pPr>
        <w:pStyle w:val="Compact"/>
        <w:numPr>
          <w:ilvl w:val="0"/>
          <w:numId w:val="1013"/>
        </w:numPr>
      </w:pPr>
      <w:r>
        <w:t xml:space="preserve">$750 million to Green Metals including iron, steel, alumina and aluminium.</w:t>
      </w:r>
    </w:p>
    <w:bookmarkEnd w:id="92"/>
    <w:bookmarkStart w:id="93" w:name="national-reconstruction-fund"/>
    <w:p>
      <w:pPr>
        <w:pStyle w:val="Heading4"/>
      </w:pPr>
      <w:r>
        <w:t xml:space="preserve">6.2.2.2 National Reconstruction Fund</w:t>
      </w:r>
    </w:p>
    <w:p>
      <w:pPr>
        <w:numPr>
          <w:ilvl w:val="0"/>
          <w:numId w:val="1014"/>
        </w:numPr>
      </w:pPr>
      <w:r>
        <w:t xml:space="preserve">investment in commercial opportunities for manufacturing products related to components of wind turbines, batteries, solar panels, and hydrogen electrolysers</w:t>
      </w:r>
    </w:p>
    <w:p>
      <w:pPr>
        <w:numPr>
          <w:ilvl w:val="0"/>
          <w:numId w:val="1014"/>
        </w:numPr>
      </w:pPr>
      <w:r>
        <w:t xml:space="preserve">investment in value-adding activities including refining materials for the use in the above.</w:t>
      </w:r>
    </w:p>
    <w:bookmarkEnd w:id="93"/>
    <w:bookmarkEnd w:id="94"/>
    <w:bookmarkEnd w:id="95"/>
    <w:bookmarkStart w:id="96" w:name="conclusion"/>
    <w:p>
      <w:pPr>
        <w:sectPr>
          <w:footnotePr>
            <w:numRestart w:val="eachSect"/>
          </w:footnotePr>
        </w:sectPr>
      </w:pPr>
    </w:p>
    <w:p>
      <w:pPr>
        <w:pStyle w:val="Heading2"/>
      </w:pPr>
      <w:r>
        <w:t xml:space="preserve">6.3 Conclusion</w:t>
      </w:r>
    </w:p>
    <w:p>
      <w:pPr>
        <w:pStyle w:val="Compact"/>
        <w:numPr>
          <w:ilvl w:val="0"/>
          <w:numId w:val="1015"/>
        </w:numPr>
      </w:pPr>
      <w:r>
        <w:t xml:space="preserve">summary</w:t>
      </w:r>
    </w:p>
    <w:bookmarkEnd w:id="96"/>
    <w:bookmarkEnd w:id="97"/>
    <w:bookmarkStart w:id="102" w:name="aluminium"/>
    <w:p>
      <w:pPr>
        <w:sectPr>
          <w:footnotePr>
            <w:numRestart w:val="eachSect"/>
          </w:footnotePr>
        </w:sectPr>
      </w:pPr>
    </w:p>
    <w:p>
      <w:pPr>
        <w:pStyle w:val="Heading1"/>
      </w:pPr>
      <w:r>
        <w:t xml:space="preserve">7. Aluminium</w:t>
      </w:r>
    </w:p>
    <w:bookmarkStart w:id="98" w:name="industry-overview-1"/>
    <w:p>
      <w:pPr>
        <w:pStyle w:val="Heading3"/>
      </w:pPr>
      <w:r>
        <w:t xml:space="preserve">7.0.1 Industry Overview</w:t>
      </w:r>
    </w:p>
    <w:p>
      <w:pPr>
        <w:pStyle w:val="FirstParagraph"/>
      </w:pPr>
      <w:r>
        <w:t xml:space="preserve">The aluminium industry in Australia comprises the entire supply chain from Aluminium ore through to manufactured aluminium products. This report specifically focuses on the production of alumina, and the smelting of alumina into aluminium. These two industries employ 6,853 and 3,245 employees respectively.1 Additional research into industries which further process aluminium, such as aluminium rolling, drawing and extruding, and architectural aluminium product manufacturing can be conducted on request.  </w:t>
      </w:r>
    </w:p>
    <w:p>
      <w:pPr>
        <w:pStyle w:val="BodyText"/>
      </w:pPr>
      <w:r>
        <w:t xml:space="preserve">This report is intended to provide guidance about current alumina production and aluminium smelting in Australia, including industry trends, and an overview of our current membership in this sector.  </w:t>
      </w:r>
    </w:p>
    <w:p>
      <w:pPr>
        <w:numPr>
          <w:ilvl w:val="0"/>
          <w:numId w:val="1016"/>
        </w:numPr>
      </w:pPr>
      <w:r>
        <w:t xml:space="preserve">The aluminium industry is nominally comprised of:</w:t>
      </w:r>
    </w:p>
    <w:p>
      <w:pPr>
        <w:numPr>
          <w:ilvl w:val="1"/>
          <w:numId w:val="1017"/>
        </w:numPr>
      </w:pPr>
      <w:r>
        <w:t xml:space="preserve">Aluminium Smelting</w:t>
      </w:r>
    </w:p>
    <w:p>
      <w:pPr>
        <w:numPr>
          <w:ilvl w:val="1"/>
          <w:numId w:val="1017"/>
        </w:numPr>
      </w:pPr>
      <w:r>
        <w:t xml:space="preserve">Alumina Production</w:t>
      </w:r>
    </w:p>
    <w:p>
      <w:pPr>
        <w:numPr>
          <w:ilvl w:val="1"/>
          <w:numId w:val="1017"/>
        </w:numPr>
      </w:pPr>
      <w:r>
        <w:t xml:space="preserve">Aluminium Rolling, Drawing and Extruding</w:t>
      </w:r>
    </w:p>
    <w:p>
      <w:pPr>
        <w:pStyle w:val="FirstParagraph"/>
      </w:pPr>
      <w:r>
        <w:t xml:space="preserve">The aluminium industry in Australia comprises the entire supply chain from Aluminium ore through to manufactured aluminium. These two industries employ 6,853 and 3,245 people respectively. products.</w:t>
      </w:r>
    </w:p>
    <w:p>
      <w:pPr>
        <w:pStyle w:val="BodyText"/>
      </w:pPr>
      <w:r>
        <w:t xml:space="preserve">Financial analysis from IBISWorld indicates that the Alumina Production industry in Australia is worth $6.7 billion, employing more than 6,800 employees, across only three businesses.  Aluminium smelting is a less concentrated industry, worth $6.8 billion, employing 3,245 employees across 57 businesses.</w:t>
      </w:r>
    </w:p>
    <w:p>
      <w:pPr>
        <w:pStyle w:val="BodyText"/>
      </w:pPr>
      <w:r>
        <w:t xml:space="preserve">Financial analysis from IBISWorld indicates that the Alumina Production industry in Australia is worth $6.7 billion, employing more than 6,800 employees, across only three businesses as shown in Figure 1.  Aluminium smelting is a less concentrated industry, worth $6.8 billion, employing 3,245 employees across 57 businesses.  </w:t>
      </w:r>
    </w:p>
    <w:p>
      <w:pPr>
        <w:pStyle w:val="BodyText"/>
      </w:pPr>
      <w:r>
        <w:t xml:space="preserve">Figure 1: Alumina Production in Australia 2 </w:t>
      </w:r>
    </w:p>
    <w:p>
      <w:pPr>
        <w:pStyle w:val="BodyText"/>
      </w:pPr>
      <w:r>
        <w:t xml:space="preserve">Figure : Aluminium Smelting in Australia 3 </w:t>
      </w:r>
    </w:p>
    <w:p>
      <w:pPr>
        <w:pStyle w:val="BodyText"/>
      </w:pPr>
      <w:r>
        <w:t xml:space="preserve">Major players </w:t>
      </w:r>
    </w:p>
    <w:p>
      <w:pPr>
        <w:pStyle w:val="BodyText"/>
      </w:pPr>
      <w:r>
        <w:t xml:space="preserve">According to IBISWorld, there are only three companies which make up the alumina production industry in Australia, dominated by Alcoa and Rio Tinto, which comprise over 75% of the market as shown in Table 1. Rio Tinto is also a significant player in the aluminium smelting industry, taking over 40% of the market in 2024 as shown in Table 2. </w:t>
      </w:r>
    </w:p>
    <w:p>
      <w:pPr>
        <w:pStyle w:val="BodyText"/>
      </w:pPr>
      <w:r>
        <w:t xml:space="preserve">Table 1: Alumina Production in Australia </w:t>
      </w:r>
    </w:p>
    <w:tbl>
      <w:tblPr>
        <w:tblStyle w:val="Table"/>
        <w:tblW w:type="pct" w:w="4306"/>
        <w:tblLayout w:type="fixed"/>
        <w:tblLook w:firstRow="0" w:lastRow="0" w:firstColumn="0" w:lastColumn="0" w:noHBand="0" w:noVBand="0" w:val="0000"/>
      </w:tblPr>
      <w:tblGrid>
        <w:gridCol w:w="2420"/>
        <w:gridCol w:w="2310"/>
        <w:gridCol w:w="2090"/>
      </w:tblGrid>
      <w:tr>
        <w:tc>
          <w:tcPr/>
          <w:p>
            <w:pPr>
              <w:pStyle w:val="Compact"/>
            </w:pPr>
            <w:r>
              <w:rPr>
                <w:b/>
                <w:bCs/>
              </w:rPr>
              <w:t xml:space="preserve">Company</w:t>
            </w:r>
          </w:p>
        </w:tc>
        <w:tc>
          <w:tcPr/>
          <w:p>
            <w:pPr>
              <w:pStyle w:val="BodyText"/>
            </w:pPr>
            <w:r>
              <w:rPr>
                <w:b/>
                <w:bCs/>
              </w:rPr>
              <w:t xml:space="preserve">Market Share</w:t>
            </w:r>
          </w:p>
          <w:p>
            <w:pPr>
              <w:pStyle w:val="BodyText"/>
            </w:pPr>
            <w:r>
              <w:rPr>
                <w:b/>
                <w:bCs/>
              </w:rPr>
              <w:t xml:space="preserve">(%, 2024)</w:t>
            </w:r>
          </w:p>
        </w:tc>
        <w:tc>
          <w:tcPr/>
          <w:p>
            <w:pPr>
              <w:pStyle w:val="BodyText"/>
            </w:pPr>
            <w:r>
              <w:rPr>
                <w:b/>
                <w:bCs/>
              </w:rPr>
              <w:t xml:space="preserve">Revenue</w:t>
            </w:r>
          </w:p>
          <w:p>
            <w:pPr>
              <w:pStyle w:val="BodyText"/>
            </w:pPr>
            <w:r>
              <w:rPr>
                <w:b/>
                <w:bCs/>
              </w:rPr>
              <w:t xml:space="preserve">($m, 2024)</w:t>
            </w:r>
          </w:p>
        </w:tc>
      </w:tr>
      <w:tr>
        <w:tc>
          <w:tcPr/>
          <w:p>
            <w:pPr>
              <w:pStyle w:val="Compact"/>
            </w:pPr>
            <w:r>
              <w:t xml:space="preserve">Alcoa of Australia</w:t>
            </w:r>
          </w:p>
        </w:tc>
        <w:tc>
          <w:tcPr/>
          <w:p>
            <w:pPr>
              <w:pStyle w:val="Compact"/>
            </w:pPr>
            <w:r>
              <w:t xml:space="preserve">46.1</w:t>
            </w:r>
          </w:p>
        </w:tc>
        <w:tc>
          <w:tcPr/>
          <w:p>
            <w:pPr>
              <w:pStyle w:val="Compact"/>
            </w:pPr>
            <w:r>
              <w:t xml:space="preserve">3,100</w:t>
            </w:r>
          </w:p>
        </w:tc>
      </w:tr>
      <w:tr>
        <w:tc>
          <w:tcPr/>
          <w:p>
            <w:pPr>
              <w:pStyle w:val="Compact"/>
            </w:pPr>
            <w:r>
              <w:t xml:space="preserve">Rio Tinto</w:t>
            </w:r>
          </w:p>
        </w:tc>
        <w:tc>
          <w:tcPr/>
          <w:p>
            <w:pPr>
              <w:pStyle w:val="Compact"/>
            </w:pPr>
            <w:r>
              <w:t xml:space="preserve">31.5</w:t>
            </w:r>
          </w:p>
        </w:tc>
        <w:tc>
          <w:tcPr/>
          <w:p>
            <w:pPr>
              <w:pStyle w:val="Compact"/>
            </w:pPr>
            <w:r>
              <w:t xml:space="preserve">2,120</w:t>
            </w:r>
          </w:p>
        </w:tc>
      </w:tr>
      <w:tr>
        <w:tc>
          <w:tcPr/>
          <w:p>
            <w:pPr>
              <w:pStyle w:val="Compact"/>
            </w:pPr>
            <w:r>
              <w:t xml:space="preserve">South32</w:t>
            </w:r>
          </w:p>
        </w:tc>
        <w:tc>
          <w:tcPr/>
          <w:p>
            <w:pPr>
              <w:pStyle w:val="Compact"/>
            </w:pPr>
            <w:r>
              <w:t xml:space="preserve">22.4</w:t>
            </w:r>
          </w:p>
        </w:tc>
        <w:tc>
          <w:tcPr/>
          <w:p>
            <w:pPr>
              <w:pStyle w:val="Compact"/>
            </w:pPr>
            <w:r>
              <w:t xml:space="preserve">1,510</w:t>
            </w:r>
          </w:p>
        </w:tc>
      </w:tr>
    </w:tbl>
    <w:p>
      <w:pPr>
        <w:pStyle w:val="BodyText"/>
      </w:pPr>
      <w:r>
        <w:t xml:space="preserve">Table 2: Aluminium Smelting in Australia </w:t>
      </w:r>
    </w:p>
    <w:tbl>
      <w:tblPr>
        <w:tblStyle w:val="Table"/>
        <w:tblW w:type="pct" w:w="4306"/>
        <w:tblLayout w:type="fixed"/>
        <w:tblLook w:firstRow="0" w:lastRow="0" w:firstColumn="0" w:lastColumn="0" w:noHBand="0" w:noVBand="0" w:val="0000"/>
      </w:tblPr>
      <w:tblGrid>
        <w:gridCol w:w="2420"/>
        <w:gridCol w:w="2310"/>
        <w:gridCol w:w="2090"/>
      </w:tblGrid>
      <w:tr>
        <w:tc>
          <w:tcPr/>
          <w:p>
            <w:pPr>
              <w:pStyle w:val="Compact"/>
            </w:pPr>
            <w:r>
              <w:rPr>
                <w:b/>
                <w:bCs/>
              </w:rPr>
              <w:t xml:space="preserve">Company</w:t>
            </w:r>
          </w:p>
        </w:tc>
        <w:tc>
          <w:tcPr/>
          <w:p>
            <w:pPr>
              <w:pStyle w:val="BodyText"/>
            </w:pPr>
            <w:r>
              <w:rPr>
                <w:b/>
                <w:bCs/>
              </w:rPr>
              <w:t xml:space="preserve">Market Share</w:t>
            </w:r>
          </w:p>
          <w:p>
            <w:pPr>
              <w:pStyle w:val="BodyText"/>
            </w:pPr>
            <w:r>
              <w:rPr>
                <w:b/>
                <w:bCs/>
              </w:rPr>
              <w:t xml:space="preserve">(%, 2024)</w:t>
            </w:r>
          </w:p>
        </w:tc>
        <w:tc>
          <w:tcPr/>
          <w:p>
            <w:pPr>
              <w:pStyle w:val="BodyText"/>
            </w:pPr>
            <w:r>
              <w:rPr>
                <w:b/>
                <w:bCs/>
              </w:rPr>
              <w:t xml:space="preserve">Revenue</w:t>
            </w:r>
          </w:p>
          <w:p>
            <w:pPr>
              <w:pStyle w:val="BodyText"/>
            </w:pPr>
            <w:r>
              <w:rPr>
                <w:b/>
                <w:bCs/>
              </w:rPr>
              <w:t xml:space="preserve">($m, 2024)</w:t>
            </w:r>
          </w:p>
        </w:tc>
      </w:tr>
      <w:tr>
        <w:tc>
          <w:tcPr/>
          <w:p>
            <w:pPr>
              <w:pStyle w:val="Compact"/>
            </w:pPr>
            <w:r>
              <w:t xml:space="preserve">Rio Tinto</w:t>
            </w:r>
          </w:p>
        </w:tc>
        <w:tc>
          <w:tcPr/>
          <w:p>
            <w:pPr>
              <w:pStyle w:val="Compact"/>
            </w:pPr>
            <w:r>
              <w:t xml:space="preserve">40.6</w:t>
            </w:r>
          </w:p>
        </w:tc>
        <w:tc>
          <w:tcPr/>
          <w:p>
            <w:pPr>
              <w:pStyle w:val="Compact"/>
            </w:pPr>
            <w:r>
              <w:t xml:space="preserve">2,756.7</w:t>
            </w:r>
          </w:p>
        </w:tc>
      </w:tr>
      <w:tr>
        <w:tc>
          <w:tcPr/>
          <w:p>
            <w:pPr>
              <w:pStyle w:val="Compact"/>
            </w:pPr>
            <w:r>
              <w:t xml:space="preserve">Alcoa of Australia</w:t>
            </w:r>
          </w:p>
        </w:tc>
        <w:tc>
          <w:tcPr/>
          <w:p>
            <w:pPr>
              <w:pStyle w:val="Compact"/>
            </w:pPr>
            <w:r>
              <w:t xml:space="preserve">8.4</w:t>
            </w:r>
          </w:p>
        </w:tc>
        <w:tc>
          <w:tcPr/>
          <w:p>
            <w:pPr>
              <w:pStyle w:val="Compact"/>
            </w:pPr>
            <w:r>
              <w:t xml:space="preserve">566.9</w:t>
            </w:r>
          </w:p>
        </w:tc>
      </w:tr>
      <w:tr>
        <w:tc>
          <w:tcPr/>
          <w:p>
            <w:pPr>
              <w:pStyle w:val="Compact"/>
            </w:pPr>
            <w:r>
              <w:t xml:space="preserve">Marubeni Aluminium</w:t>
            </w:r>
          </w:p>
        </w:tc>
        <w:tc>
          <w:tcPr/>
          <w:p>
            <w:pPr>
              <w:pStyle w:val="Compact"/>
            </w:pPr>
            <w:r>
              <w:t xml:space="preserve">5.0</w:t>
            </w:r>
          </w:p>
        </w:tc>
        <w:tc>
          <w:tcPr/>
          <w:p>
            <w:pPr>
              <w:pStyle w:val="Compact"/>
            </w:pPr>
            <w:r>
              <w:t xml:space="preserve">339.4</w:t>
            </w:r>
          </w:p>
        </w:tc>
      </w:tr>
    </w:tbl>
    <w:p>
      <w:pPr>
        <w:pStyle w:val="BodyText"/>
      </w:pPr>
      <w:r>
        <w:t xml:space="preserve">Industry Trends  </w:t>
      </w:r>
    </w:p>
    <w:p>
      <w:pPr>
        <w:pStyle w:val="BodyText"/>
      </w:pPr>
      <w:r>
        <w:t xml:space="preserve">Australia is the world’s largest producer of bauxite, and exporter of Alumina.4 Significant volatility in global prices due to Covid-19 and increasing cost pressures have impacted the output of the Alumina Production sector. Revenue declined by an annualised 8.5% through the end of 2023-24.5  Falling demand in aluminium smelting in Australia is attributable to 2.4% of this decline.  </w:t>
      </w:r>
    </w:p>
    <w:p>
      <w:pPr>
        <w:pStyle w:val="BodyText"/>
      </w:pPr>
      <w:r>
        <w:t xml:space="preserve">In contrast, production of aluminium is anticipated to increase over the next few years as global efforts are made to decarbonise the economy. In order to remain competitive, low carbon alumina production initiatives must be prioritised.   </w:t>
      </w:r>
    </w:p>
    <w:p>
      <w:pPr>
        <w:pStyle w:val="BodyText"/>
      </w:pPr>
      <w:r>
        <w:t xml:space="preserve">Aluminium smelting is the downstream process to Alumina production. Aluminium smelting is an energy intensive process which consumes upwards of 10% of the National Electricity Market. Increases in the production of green energy, leading to more competitive prices, has the potential to decarbonise the aluminium smelting industry. Despite Australia’s dominance in alumina production, it is behind China in the production of aluminium.  Inflated energy costs in Europe due to the Russia-Ukraine conflict, and uncertainty regarding carbon pricing policy in Australia contribute to volatility in global prices, and uncertainty in local production.  </w:t>
      </w:r>
    </w:p>
    <w:p>
      <w:pPr>
        <w:pStyle w:val="BodyText"/>
      </w:pPr>
      <w:r>
        <w:t xml:space="preserve">Table 3: Alumina Production and Aluminium Smelting Financial Trends 6 </w:t>
      </w:r>
    </w:p>
    <w:tbl>
      <w:tblPr>
        <w:tblStyle w:val="Table"/>
        <w:tblW w:type="pct" w:w="4894"/>
        <w:tblLayout w:type="fixed"/>
        <w:tblLook w:firstRow="0" w:lastRow="0" w:firstColumn="0" w:lastColumn="0" w:noHBand="0" w:noVBand="0" w:val="0000"/>
      </w:tblPr>
      <w:tblGrid>
        <w:gridCol w:w="1952"/>
        <w:gridCol w:w="1227"/>
        <w:gridCol w:w="1617"/>
        <w:gridCol w:w="1729"/>
        <w:gridCol w:w="1227"/>
      </w:tblGrid>
      <w:tr>
        <w:tc>
          <w:tcPr/>
          <w:p>
            <w:pPr>
              <w:pStyle w:val="Compact"/>
            </w:pPr>
            <w:r>
              <w:rPr>
                <w:b/>
                <w:bCs/>
              </w:rPr>
              <w:t xml:space="preserve">Sector</w:t>
            </w:r>
          </w:p>
        </w:tc>
        <w:tc>
          <w:tcPr/>
          <w:p>
            <w:pPr>
              <w:pStyle w:val="BodyText"/>
            </w:pPr>
            <w:r>
              <w:rPr>
                <w:b/>
                <w:bCs/>
              </w:rPr>
              <w:t xml:space="preserve">Revenue</w:t>
            </w:r>
          </w:p>
          <w:p>
            <w:pPr>
              <w:pStyle w:val="BodyText"/>
            </w:pPr>
            <w:r>
              <w:rPr>
                <w:b/>
                <w:bCs/>
              </w:rPr>
              <w:t xml:space="preserve">($m, 2023/24)</w:t>
            </w:r>
          </w:p>
        </w:tc>
        <w:tc>
          <w:tcPr/>
          <w:p>
            <w:pPr>
              <w:pStyle w:val="BodyText"/>
            </w:pPr>
            <w:r>
              <w:rPr>
                <w:b/>
                <w:bCs/>
              </w:rPr>
              <w:t xml:space="preserve">5-year Revenue Growth</w:t>
            </w:r>
          </w:p>
          <w:p>
            <w:pPr>
              <w:pStyle w:val="BodyText"/>
            </w:pPr>
            <w:r>
              <w:rPr>
                <w:b/>
                <w:bCs/>
              </w:rPr>
              <w:t xml:space="preserve">(%)</w:t>
            </w:r>
          </w:p>
        </w:tc>
        <w:tc>
          <w:tcPr/>
          <w:p>
            <w:pPr>
              <w:pStyle w:val="BodyText"/>
            </w:pPr>
            <w:r>
              <w:rPr>
                <w:b/>
                <w:bCs/>
              </w:rPr>
              <w:t xml:space="preserve">Forecast Revenue Growth</w:t>
            </w:r>
          </w:p>
          <w:p>
            <w:pPr>
              <w:pStyle w:val="BodyText"/>
            </w:pPr>
            <w:r>
              <w:rPr>
                <w:b/>
                <w:bCs/>
              </w:rPr>
              <w:t xml:space="preserve">(%)</w:t>
            </w:r>
          </w:p>
        </w:tc>
        <w:tc>
          <w:tcPr/>
          <w:p>
            <w:pPr>
              <w:pStyle w:val="BodyText"/>
            </w:pPr>
            <w:r>
              <w:rPr>
                <w:b/>
                <w:bCs/>
              </w:rPr>
              <w:t xml:space="preserve">Profit Margin</w:t>
            </w:r>
          </w:p>
          <w:p>
            <w:pPr>
              <w:pStyle w:val="BodyText"/>
            </w:pPr>
            <w:r>
              <w:rPr>
                <w:b/>
                <w:bCs/>
              </w:rPr>
              <w:t xml:space="preserve">($m, 2024)</w:t>
            </w:r>
          </w:p>
        </w:tc>
      </w:tr>
      <w:tr>
        <w:tc>
          <w:tcPr/>
          <w:p>
            <w:pPr>
              <w:pStyle w:val="Compact"/>
            </w:pPr>
            <w:r>
              <w:t xml:space="preserve">Alumina Production in Australia</w:t>
            </w:r>
          </w:p>
        </w:tc>
        <w:tc>
          <w:tcPr/>
          <w:p>
            <w:pPr>
              <w:pStyle w:val="Compact"/>
            </w:pPr>
            <w:r>
              <w:t xml:space="preserve">6726.4</w:t>
            </w:r>
          </w:p>
        </w:tc>
        <w:tc>
          <w:tcPr/>
          <w:p>
            <w:pPr>
              <w:pStyle w:val="Compact"/>
            </w:pPr>
            <w:r>
              <w:t xml:space="preserve">-5.62</w:t>
            </w:r>
          </w:p>
        </w:tc>
        <w:tc>
          <w:tcPr/>
          <w:p>
            <w:pPr>
              <w:pStyle w:val="Compact"/>
            </w:pPr>
            <w:r>
              <w:t xml:space="preserve">0.18</w:t>
            </w:r>
          </w:p>
        </w:tc>
        <w:tc>
          <w:tcPr/>
          <w:p>
            <w:pPr>
              <w:pStyle w:val="Compact"/>
            </w:pPr>
            <w:r>
              <w:t xml:space="preserve">7.0</w:t>
            </w:r>
          </w:p>
        </w:tc>
      </w:tr>
      <w:tr>
        <w:tc>
          <w:tcPr/>
          <w:p>
            <w:pPr>
              <w:pStyle w:val="Compact"/>
            </w:pPr>
            <w:r>
              <w:t xml:space="preserve">Aluminium Smelting in Australia</w:t>
            </w:r>
          </w:p>
        </w:tc>
        <w:tc>
          <w:tcPr/>
          <w:p>
            <w:pPr>
              <w:pStyle w:val="Compact"/>
            </w:pPr>
            <w:r>
              <w:t xml:space="preserve">6787.4</w:t>
            </w:r>
          </w:p>
        </w:tc>
        <w:tc>
          <w:tcPr/>
          <w:p>
            <w:pPr>
              <w:pStyle w:val="Compact"/>
            </w:pPr>
            <w:r>
              <w:t xml:space="preserve">3.20</w:t>
            </w:r>
          </w:p>
        </w:tc>
        <w:tc>
          <w:tcPr/>
          <w:p>
            <w:pPr>
              <w:pStyle w:val="Compact"/>
            </w:pPr>
            <w:r>
              <w:t xml:space="preserve">0.16</w:t>
            </w:r>
          </w:p>
        </w:tc>
        <w:tc>
          <w:tcPr/>
          <w:p>
            <w:pPr>
              <w:pStyle w:val="Compact"/>
            </w:pPr>
            <w:r>
              <w:t xml:space="preserve">4.1</w:t>
            </w:r>
          </w:p>
        </w:tc>
      </w:tr>
    </w:tbl>
    <w:p>
      <w:pPr>
        <w:pStyle w:val="BodyText"/>
      </w:pPr>
      <w:r>
        <w:t xml:space="preserve">According to the Australian Aluminium Council7 the sector, in total (including all downstream processing): </w:t>
      </w:r>
    </w:p>
    <w:p>
      <w:pPr>
        <w:pStyle w:val="Compact"/>
        <w:numPr>
          <w:ilvl w:val="0"/>
          <w:numId w:val="1018"/>
        </w:numPr>
      </w:pPr>
      <w:r>
        <w:t xml:space="preserve">Directly employs 21,000 workers </w:t>
      </w:r>
    </w:p>
    <w:p>
      <w:pPr>
        <w:pStyle w:val="Compact"/>
        <w:numPr>
          <w:ilvl w:val="0"/>
          <w:numId w:val="1019"/>
        </w:numPr>
      </w:pPr>
      <w:r>
        <w:t xml:space="preserve">Indirectly supports over 60,000 families, mostly in regional communities </w:t>
      </w:r>
    </w:p>
    <w:p>
      <w:pPr>
        <w:pStyle w:val="Compact"/>
        <w:numPr>
          <w:ilvl w:val="0"/>
          <w:numId w:val="1020"/>
        </w:numPr>
      </w:pPr>
      <w:r>
        <w:t xml:space="preserve">Contributes $18 billion annually to Australia’s GDP, with $14+ billion from alumina and aluminium </w:t>
      </w:r>
    </w:p>
    <w:bookmarkEnd w:id="98"/>
    <w:bookmarkStart w:id="100" w:name="opportunities-1"/>
    <w:p>
      <w:pPr>
        <w:sectPr>
          <w:footnotePr>
            <w:numRestart w:val="eachSect"/>
          </w:footnotePr>
        </w:sectPr>
      </w:pPr>
    </w:p>
    <w:p>
      <w:pPr>
        <w:pStyle w:val="Heading2"/>
      </w:pPr>
      <w:r>
        <w:t xml:space="preserve">7.1 Opportunities</w:t>
      </w:r>
    </w:p>
    <w:p>
      <w:pPr>
        <w:pStyle w:val="FirstParagraph"/>
      </w:pPr>
      <w:r>
        <w:rPr>
          <w:b/>
          <w:bCs/>
        </w:rPr>
        <w:t xml:space="preserve">tomago, special finance vehicles</w:t>
      </w:r>
    </w:p>
    <w:bookmarkStart w:id="99" w:name="government-support"/>
    <w:p>
      <w:pPr>
        <w:pStyle w:val="Heading4"/>
      </w:pPr>
      <w:r>
        <w:t xml:space="preserve">7.1.0.1 Government support </w:t>
      </w:r>
    </w:p>
    <w:p>
      <w:pPr>
        <w:pStyle w:val="FirstParagraph"/>
      </w:pPr>
      <w:r>
        <w:t xml:space="preserve">Green metals are a priority under the Future Made in Australia plan. The Government has announced a $2 billion Green Aluminium Production Credit, available from 2028–29, to support Australia’s aluminium smelters to transition to renewable electricity.  </w:t>
      </w:r>
    </w:p>
    <w:p>
      <w:pPr>
        <w:pStyle w:val="Compact"/>
        <w:numPr>
          <w:ilvl w:val="0"/>
          <w:numId w:val="1021"/>
        </w:numPr>
      </w:pPr>
      <w:r>
        <w:t xml:space="preserve">Smelters that can show new significant decarbonisation before 2036 can negotiate an emissions-linked credit contract payable per tonne of green aluminium produced for up to 10 years. </w:t>
      </w:r>
    </w:p>
    <w:p>
      <w:pPr>
        <w:pStyle w:val="FirstParagraph"/>
      </w:pPr>
      <w:r>
        <w:t xml:space="preserve">The Government has also committed $1.5 million over 3 years to influence standards for green aluminium internationally, and to provide technical expertise and definitions for other green metals. </w:t>
      </w:r>
    </w:p>
    <w:p>
      <w:pPr>
        <w:pStyle w:val="BodyText"/>
      </w:pPr>
      <w:r>
        <w:rPr>
          <w:b/>
          <w:bCs/>
        </w:rPr>
        <w:t xml:space="preserve">Multi-employer bargaining</w:t>
      </w:r>
    </w:p>
    <w:p>
      <w:pPr>
        <w:pStyle w:val="BodyText"/>
      </w:pPr>
      <w:r>
        <w:t xml:space="preserve">The question of multi-employer bargaining and same job same pay are best answered by delegates and organisers. It may be difficult to undertake an approach with smaller businesses as consent is required if a workplace has fewer than 20 employees.</w:t>
      </w:r>
    </w:p>
    <w:p>
      <w:pPr>
        <w:pStyle w:val="BodyText"/>
      </w:pPr>
      <w:r>
        <w:rPr>
          <w:b/>
          <w:bCs/>
        </w:rPr>
        <w:t xml:space="preserve">same job same pay</w:t>
      </w:r>
    </w:p>
    <w:p>
      <w:pPr>
        <w:pStyle w:val="BodyText"/>
      </w:pPr>
      <w:r>
        <w:t xml:space="preserve">Same Job Same Pay applies only to labour hire - rather than two companies that are co-located. Some labour hire companies appear to offer employment in aluminium production. We would need to check our existing density and coverage of aluminium supply chain businesses.</w:t>
      </w:r>
    </w:p>
    <w:bookmarkEnd w:id="99"/>
    <w:bookmarkEnd w:id="100"/>
    <w:bookmarkStart w:id="101" w:name="conclusion-1"/>
    <w:p>
      <w:pPr>
        <w:sectPr>
          <w:footnotePr>
            <w:numRestart w:val="eachSect"/>
          </w:footnotePr>
        </w:sectPr>
      </w:pPr>
    </w:p>
    <w:p>
      <w:pPr>
        <w:pStyle w:val="Heading2"/>
      </w:pPr>
      <w:r>
        <w:t xml:space="preserve">7.2 Conclusion</w:t>
      </w:r>
    </w:p>
    <w:p>
      <w:pPr>
        <w:pStyle w:val="FirstParagraph"/>
      </w:pPr>
      <w:r>
        <w:t xml:space="preserve">Aluminium represents a significant opportunity for us to organize and build density. As a priority area under the FMIA and NRF, the government is likely to support industrial development in this sector. However, issues around rules coverage must be considered, especially if processes are being modernised to the point where our rules no longer cover the kinds of work being undertaken.</w:t>
      </w:r>
    </w:p>
    <w:p>
      <w:pPr>
        <w:pStyle w:val="BodyText"/>
      </w:pPr>
      <w:r>
        <w:rPr>
          <w:b/>
          <w:bCs/>
        </w:rPr>
        <w:t xml:space="preserve">role for delegates and organisers</w:t>
      </w:r>
    </w:p>
    <w:p>
      <w:pPr>
        <w:numPr>
          <w:ilvl w:val="0"/>
          <w:numId w:val="1022"/>
        </w:numPr>
      </w:pPr>
      <w:r>
        <w:t xml:space="preserve">summary</w:t>
      </w:r>
    </w:p>
    <w:p>
      <w:pPr>
        <w:numPr>
          <w:ilvl w:val="0"/>
          <w:numId w:val="1022"/>
        </w:numPr>
      </w:pPr>
      <w:r>
        <w:t xml:space="preserve">any other issues</w:t>
      </w:r>
    </w:p>
    <w:bookmarkEnd w:id="101"/>
    <w:bookmarkEnd w:id="102"/>
    <w:bookmarkStart w:id="106" w:name="wind-tower-construction"/>
    <w:p>
      <w:pPr>
        <w:sectPr>
          <w:footnotePr>
            <w:numRestart w:val="eachSect"/>
          </w:footnotePr>
        </w:sectPr>
      </w:pPr>
    </w:p>
    <w:p>
      <w:pPr>
        <w:pStyle w:val="Heading1"/>
      </w:pPr>
      <w:r>
        <w:t xml:space="preserve">8. Wind Tower Construction</w:t>
      </w:r>
    </w:p>
    <w:bookmarkStart w:id="103" w:name="industry-overview-2"/>
    <w:p>
      <w:pPr>
        <w:sectPr>
          <w:footnotePr>
            <w:numRestart w:val="eachSect"/>
          </w:footnotePr>
        </w:sectPr>
      </w:pPr>
    </w:p>
    <w:p>
      <w:pPr>
        <w:pStyle w:val="Heading2"/>
      </w:pPr>
      <w:r>
        <w:t xml:space="preserve">8.1 Industry Overview</w:t>
      </w:r>
    </w:p>
    <w:p>
      <w:pPr>
        <w:numPr>
          <w:ilvl w:val="0"/>
          <w:numId w:val="1023"/>
        </w:numPr>
      </w:pPr>
      <w:r>
        <w:t xml:space="preserve">is the industry in growth or decline?</w:t>
      </w:r>
    </w:p>
    <w:p>
      <w:pPr>
        <w:numPr>
          <w:ilvl w:val="1"/>
          <w:numId w:val="1024"/>
        </w:numPr>
      </w:pPr>
      <w:r>
        <w:t xml:space="preserve">employment</w:t>
      </w:r>
    </w:p>
    <w:p>
      <w:pPr>
        <w:numPr>
          <w:ilvl w:val="1"/>
          <w:numId w:val="1024"/>
        </w:numPr>
      </w:pPr>
      <w:r>
        <w:t xml:space="preserve">output</w:t>
      </w:r>
    </w:p>
    <w:p>
      <w:pPr>
        <w:numPr>
          <w:ilvl w:val="1"/>
          <w:numId w:val="1024"/>
        </w:numPr>
      </w:pPr>
      <w:r>
        <w:t xml:space="preserve">revenue</w:t>
      </w:r>
    </w:p>
    <w:bookmarkEnd w:id="103"/>
    <w:bookmarkStart w:id="104" w:name="opportunities-2"/>
    <w:p>
      <w:pPr>
        <w:sectPr>
          <w:footnotePr>
            <w:numRestart w:val="eachSect"/>
          </w:footnotePr>
        </w:sectPr>
      </w:pPr>
    </w:p>
    <w:p>
      <w:pPr>
        <w:pStyle w:val="Heading2"/>
      </w:pPr>
      <w:r>
        <w:t xml:space="preserve">8.2 Opportunities</w:t>
      </w:r>
    </w:p>
    <w:p>
      <w:pPr>
        <w:numPr>
          <w:ilvl w:val="0"/>
          <w:numId w:val="1025"/>
        </w:numPr>
      </w:pPr>
      <w:r>
        <w:t xml:space="preserve">what and where are the opportunities for growth?</w:t>
      </w:r>
    </w:p>
    <w:p>
      <w:pPr>
        <w:numPr>
          <w:ilvl w:val="0"/>
          <w:numId w:val="1025"/>
        </w:numPr>
      </w:pPr>
      <w:r>
        <w:t xml:space="preserve">is there an opportunity to use multi-employer bargaining, same job same pay, or other tools?</w:t>
      </w:r>
    </w:p>
    <w:p>
      <w:pPr>
        <w:numPr>
          <w:ilvl w:val="0"/>
          <w:numId w:val="1025"/>
        </w:numPr>
      </w:pPr>
      <w:r>
        <w:t xml:space="preserve">is there an opportunity to use FMIA</w:t>
      </w:r>
    </w:p>
    <w:bookmarkEnd w:id="104"/>
    <w:bookmarkStart w:id="105" w:name="conclusion-2"/>
    <w:p>
      <w:pPr>
        <w:sectPr>
          <w:footnotePr>
            <w:numRestart w:val="eachSect"/>
          </w:footnotePr>
        </w:sectPr>
      </w:pPr>
    </w:p>
    <w:p>
      <w:pPr>
        <w:pStyle w:val="Heading2"/>
      </w:pPr>
      <w:r>
        <w:t xml:space="preserve">8.3 Conclusion</w:t>
      </w:r>
    </w:p>
    <w:p>
      <w:pPr>
        <w:numPr>
          <w:ilvl w:val="0"/>
          <w:numId w:val="1026"/>
        </w:numPr>
      </w:pPr>
      <w:r>
        <w:t xml:space="preserve">summary</w:t>
      </w:r>
    </w:p>
    <w:p>
      <w:pPr>
        <w:numPr>
          <w:ilvl w:val="0"/>
          <w:numId w:val="1026"/>
        </w:numPr>
      </w:pPr>
      <w:r>
        <w:t xml:space="preserve">any other issues</w:t>
      </w:r>
    </w:p>
    <w:bookmarkEnd w:id="105"/>
    <w:bookmarkEnd w:id="106"/>
    <w:bookmarkStart w:id="110" w:name="laboratories"/>
    <w:p>
      <w:pPr>
        <w:sectPr>
          <w:footnotePr>
            <w:numRestart w:val="eachSect"/>
          </w:footnotePr>
        </w:sectPr>
      </w:pPr>
    </w:p>
    <w:p>
      <w:pPr>
        <w:pStyle w:val="Heading1"/>
      </w:pPr>
      <w:r>
        <w:t xml:space="preserve">9. Laboratories</w:t>
      </w:r>
    </w:p>
    <w:bookmarkStart w:id="107" w:name="industry-overview-3"/>
    <w:p>
      <w:pPr>
        <w:sectPr>
          <w:footnotePr>
            <w:numRestart w:val="eachSect"/>
          </w:footnotePr>
        </w:sectPr>
      </w:pPr>
    </w:p>
    <w:p>
      <w:pPr>
        <w:pStyle w:val="Heading2"/>
      </w:pPr>
      <w:r>
        <w:t xml:space="preserve">9.1 Industry Overview</w:t>
      </w:r>
    </w:p>
    <w:p>
      <w:pPr>
        <w:numPr>
          <w:ilvl w:val="0"/>
          <w:numId w:val="1027"/>
        </w:numPr>
      </w:pPr>
      <w:r>
        <w:t xml:space="preserve">is the industry in growth or decline?</w:t>
      </w:r>
    </w:p>
    <w:p>
      <w:pPr>
        <w:numPr>
          <w:ilvl w:val="1"/>
          <w:numId w:val="1028"/>
        </w:numPr>
      </w:pPr>
      <w:r>
        <w:t xml:space="preserve">employment</w:t>
      </w:r>
    </w:p>
    <w:p>
      <w:pPr>
        <w:numPr>
          <w:ilvl w:val="1"/>
          <w:numId w:val="1028"/>
        </w:numPr>
      </w:pPr>
      <w:r>
        <w:t xml:space="preserve">output</w:t>
      </w:r>
    </w:p>
    <w:p>
      <w:pPr>
        <w:numPr>
          <w:ilvl w:val="1"/>
          <w:numId w:val="1028"/>
        </w:numPr>
      </w:pPr>
      <w:r>
        <w:t xml:space="preserve">revenue</w:t>
      </w:r>
    </w:p>
    <w:bookmarkEnd w:id="107"/>
    <w:bookmarkStart w:id="108" w:name="opportunities-3"/>
    <w:p>
      <w:pPr>
        <w:sectPr>
          <w:footnotePr>
            <w:numRestart w:val="eachSect"/>
          </w:footnotePr>
        </w:sectPr>
      </w:pPr>
    </w:p>
    <w:p>
      <w:pPr>
        <w:pStyle w:val="Heading2"/>
      </w:pPr>
      <w:r>
        <w:t xml:space="preserve">9.2 Opportunities</w:t>
      </w:r>
    </w:p>
    <w:p>
      <w:pPr>
        <w:numPr>
          <w:ilvl w:val="0"/>
          <w:numId w:val="1029"/>
        </w:numPr>
      </w:pPr>
      <w:r>
        <w:t xml:space="preserve">what and where are the opportunities for growth?</w:t>
      </w:r>
    </w:p>
    <w:p>
      <w:pPr>
        <w:numPr>
          <w:ilvl w:val="0"/>
          <w:numId w:val="1029"/>
        </w:numPr>
      </w:pPr>
      <w:r>
        <w:t xml:space="preserve">is there an opportunity to use multi-employer bargaining, same job same pay, or other tools?</w:t>
      </w:r>
    </w:p>
    <w:p>
      <w:pPr>
        <w:numPr>
          <w:ilvl w:val="0"/>
          <w:numId w:val="1029"/>
        </w:numPr>
      </w:pPr>
      <w:r>
        <w:t xml:space="preserve">is there an opportunity to use FMIA</w:t>
      </w:r>
    </w:p>
    <w:bookmarkEnd w:id="108"/>
    <w:bookmarkStart w:id="109" w:name="conclusion-3"/>
    <w:p>
      <w:pPr>
        <w:sectPr>
          <w:footnotePr>
            <w:numRestart w:val="eachSect"/>
          </w:footnotePr>
        </w:sectPr>
      </w:pPr>
    </w:p>
    <w:p>
      <w:pPr>
        <w:pStyle w:val="Heading2"/>
      </w:pPr>
      <w:r>
        <w:t xml:space="preserve">9.3 Conclusion</w:t>
      </w:r>
    </w:p>
    <w:p>
      <w:pPr>
        <w:numPr>
          <w:ilvl w:val="0"/>
          <w:numId w:val="1030"/>
        </w:numPr>
      </w:pPr>
      <w:r>
        <w:t xml:space="preserve">summary</w:t>
      </w:r>
    </w:p>
    <w:p>
      <w:pPr>
        <w:numPr>
          <w:ilvl w:val="0"/>
          <w:numId w:val="1030"/>
        </w:numPr>
      </w:pPr>
      <w:r>
        <w:t xml:space="preserve">any other issues</w:t>
      </w:r>
    </w:p>
    <w:bookmarkEnd w:id="109"/>
    <w:bookmarkEnd w:id="110"/>
    <w:bookmarkStart w:id="115" w:name="aviation"/>
    <w:p>
      <w:pPr>
        <w:sectPr>
          <w:footnotePr>
            <w:numRestart w:val="eachSect"/>
          </w:footnotePr>
        </w:sectPr>
      </w:pPr>
    </w:p>
    <w:p>
      <w:pPr>
        <w:pStyle w:val="Heading1"/>
      </w:pPr>
      <w:r>
        <w:t xml:space="preserve">10. Aviation</w:t>
      </w:r>
    </w:p>
    <w:bookmarkStart w:id="111" w:name="industry-overview-4"/>
    <w:p>
      <w:pPr>
        <w:sectPr>
          <w:footnotePr>
            <w:numRestart w:val="eachSect"/>
          </w:footnotePr>
        </w:sectPr>
      </w:pPr>
    </w:p>
    <w:p>
      <w:pPr>
        <w:pStyle w:val="Heading2"/>
      </w:pPr>
      <w:r>
        <w:t xml:space="preserve">10.1 Industry Overview</w:t>
      </w:r>
    </w:p>
    <w:p>
      <w:pPr>
        <w:numPr>
          <w:ilvl w:val="0"/>
          <w:numId w:val="1031"/>
        </w:numPr>
      </w:pPr>
      <w:r>
        <w:t xml:space="preserve">is the industry in growth or decline?</w:t>
      </w:r>
    </w:p>
    <w:p>
      <w:pPr>
        <w:numPr>
          <w:ilvl w:val="1"/>
          <w:numId w:val="1032"/>
        </w:numPr>
      </w:pPr>
      <w:r>
        <w:t xml:space="preserve">employment</w:t>
      </w:r>
    </w:p>
    <w:p>
      <w:pPr>
        <w:numPr>
          <w:ilvl w:val="1"/>
          <w:numId w:val="1032"/>
        </w:numPr>
      </w:pPr>
      <w:r>
        <w:t xml:space="preserve">output</w:t>
      </w:r>
    </w:p>
    <w:p>
      <w:pPr>
        <w:numPr>
          <w:ilvl w:val="1"/>
          <w:numId w:val="1032"/>
        </w:numPr>
      </w:pPr>
      <w:r>
        <w:t xml:space="preserve">revenue</w:t>
      </w:r>
    </w:p>
    <w:bookmarkEnd w:id="111"/>
    <w:bookmarkStart w:id="112" w:name="opportunities-4"/>
    <w:p>
      <w:pPr>
        <w:sectPr>
          <w:footnotePr>
            <w:numRestart w:val="eachSect"/>
          </w:footnotePr>
        </w:sectPr>
      </w:pPr>
    </w:p>
    <w:p>
      <w:pPr>
        <w:pStyle w:val="Heading2"/>
      </w:pPr>
      <w:r>
        <w:t xml:space="preserve">10.2 Opportunities</w:t>
      </w:r>
    </w:p>
    <w:p>
      <w:pPr>
        <w:numPr>
          <w:ilvl w:val="0"/>
          <w:numId w:val="1033"/>
        </w:numPr>
      </w:pPr>
      <w:r>
        <w:t xml:space="preserve">what and where are the opportunities for growth?</w:t>
      </w:r>
    </w:p>
    <w:p>
      <w:pPr>
        <w:numPr>
          <w:ilvl w:val="0"/>
          <w:numId w:val="1033"/>
        </w:numPr>
      </w:pPr>
      <w:r>
        <w:t xml:space="preserve">is there an opportunity to use multi-employer bargaining, same job same pay, or other tools?</w:t>
      </w:r>
    </w:p>
    <w:p>
      <w:pPr>
        <w:numPr>
          <w:ilvl w:val="0"/>
          <w:numId w:val="1033"/>
        </w:numPr>
      </w:pPr>
      <w:r>
        <w:t xml:space="preserve">is there an opportunity to use FMIA</w:t>
      </w:r>
    </w:p>
    <w:bookmarkEnd w:id="112"/>
    <w:bookmarkStart w:id="113" w:name="conclusion-4"/>
    <w:p>
      <w:pPr>
        <w:sectPr>
          <w:footnotePr>
            <w:numRestart w:val="eachSect"/>
          </w:footnotePr>
        </w:sectPr>
      </w:pPr>
    </w:p>
    <w:p>
      <w:pPr>
        <w:pStyle w:val="Heading2"/>
      </w:pPr>
      <w:r>
        <w:t xml:space="preserve">10.3 Conclusion</w:t>
      </w:r>
    </w:p>
    <w:p>
      <w:pPr>
        <w:numPr>
          <w:ilvl w:val="0"/>
          <w:numId w:val="1034"/>
        </w:numPr>
      </w:pPr>
      <w:r>
        <w:t xml:space="preserve">summary</w:t>
      </w:r>
    </w:p>
    <w:p>
      <w:pPr>
        <w:numPr>
          <w:ilvl w:val="0"/>
          <w:numId w:val="1034"/>
        </w:numPr>
      </w:pPr>
      <w:r>
        <w:t xml:space="preserve">any other issues</w:t>
      </w:r>
    </w:p>
    <w:bookmarkEnd w:id="113"/>
    <w:bookmarkStart w:id="114" w:name="section"/>
    <w:p>
      <w:pPr>
        <w:sectPr>
          <w:footnotePr>
            <w:numRestart w:val="eachSect"/>
          </w:footnotePr>
        </w:sectPr>
      </w:pPr>
    </w:p>
    <w:p>
      <w:pPr>
        <w:pStyle w:val="Heading2"/>
      </w:pPr>
      <w:r>
        <w:t xml:space="preserve">10.4</w:t>
      </w:r>
      <w:r>
        <w:t xml:space="preserve"> </w:t>
      </w:r>
    </w:p>
    <w:bookmarkEnd w:id="114"/>
    <w:bookmarkEnd w:id="115"/>
    <w:bookmarkStart w:id="119" w:name="defence"/>
    <w:p>
      <w:pPr>
        <w:sectPr>
          <w:footnotePr>
            <w:numRestart w:val="eachSect"/>
          </w:footnotePr>
        </w:sectPr>
      </w:pPr>
    </w:p>
    <w:p>
      <w:pPr>
        <w:pStyle w:val="Heading1"/>
      </w:pPr>
      <w:r>
        <w:t xml:space="preserve">11. Defence</w:t>
      </w:r>
    </w:p>
    <w:bookmarkStart w:id="116" w:name="industry-overview-5"/>
    <w:p>
      <w:pPr>
        <w:sectPr>
          <w:footnotePr>
            <w:numRestart w:val="eachSect"/>
          </w:footnotePr>
        </w:sectPr>
      </w:pPr>
    </w:p>
    <w:p>
      <w:pPr>
        <w:pStyle w:val="Heading2"/>
      </w:pPr>
      <w:r>
        <w:t xml:space="preserve">11.1 Industry Overview</w:t>
      </w:r>
    </w:p>
    <w:p>
      <w:pPr>
        <w:pStyle w:val="Compact"/>
        <w:numPr>
          <w:ilvl w:val="0"/>
          <w:numId w:val="1035"/>
        </w:numPr>
      </w:pPr>
      <w:r>
        <w:t xml:space="preserve">defence includes aircraft and other armored vehicle manufacturing as well as repair and maintenance services for these equipment.</w:t>
      </w:r>
    </w:p>
    <w:p>
      <w:pPr>
        <w:numPr>
          <w:ilvl w:val="0"/>
          <w:numId w:val="1036"/>
        </w:numPr>
      </w:pPr>
      <w:r>
        <w:t xml:space="preserve">is the industry in growth or decline?</w:t>
      </w:r>
    </w:p>
    <w:p>
      <w:pPr>
        <w:numPr>
          <w:ilvl w:val="1"/>
          <w:numId w:val="1037"/>
        </w:numPr>
      </w:pPr>
      <w:r>
        <w:t xml:space="preserve">employment</w:t>
      </w:r>
    </w:p>
    <w:p>
      <w:pPr>
        <w:numPr>
          <w:ilvl w:val="1"/>
          <w:numId w:val="1037"/>
        </w:numPr>
      </w:pPr>
      <w:r>
        <w:t xml:space="preserve">output</w:t>
      </w:r>
    </w:p>
    <w:p>
      <w:pPr>
        <w:numPr>
          <w:ilvl w:val="1"/>
          <w:numId w:val="1037"/>
        </w:numPr>
      </w:pPr>
      <w:r>
        <w:t xml:space="preserve">revenue</w:t>
      </w:r>
    </w:p>
    <w:bookmarkEnd w:id="116"/>
    <w:bookmarkStart w:id="117" w:name="opportunities-5"/>
    <w:p>
      <w:pPr>
        <w:sectPr>
          <w:footnotePr>
            <w:numRestart w:val="eachSect"/>
          </w:footnotePr>
        </w:sectPr>
      </w:pPr>
    </w:p>
    <w:p>
      <w:pPr>
        <w:pStyle w:val="Heading2"/>
      </w:pPr>
      <w:r>
        <w:t xml:space="preserve">11.2 Opportunities</w:t>
      </w:r>
    </w:p>
    <w:p>
      <w:pPr>
        <w:numPr>
          <w:ilvl w:val="0"/>
          <w:numId w:val="1038"/>
        </w:numPr>
      </w:pPr>
      <w:r>
        <w:t xml:space="preserve">this industry is supported through industry policy.</w:t>
      </w:r>
    </w:p>
    <w:p>
      <w:pPr>
        <w:numPr>
          <w:ilvl w:val="0"/>
          <w:numId w:val="1038"/>
        </w:numPr>
      </w:pPr>
      <w:r>
        <w:t xml:space="preserve">AUKUS, shipbuilding, submarines. These are opportunities but face significant risks. One being the political situation in the US. We must strive for value-adding activities on shore. Not just purchasing built equipment.</w:t>
      </w:r>
    </w:p>
    <w:p>
      <w:pPr>
        <w:numPr>
          <w:ilvl w:val="0"/>
          <w:numId w:val="1038"/>
        </w:numPr>
      </w:pPr>
      <w:r>
        <w:t xml:space="preserve">most of the opportunities for growth are probably in naval shipbuilding. but some repair and maintenance of equipment as well.</w:t>
      </w:r>
    </w:p>
    <w:p>
      <w:pPr>
        <w:pStyle w:val="Compact"/>
        <w:numPr>
          <w:ilvl w:val="0"/>
          <w:numId w:val="1039"/>
        </w:numPr>
      </w:pPr>
      <w:r>
        <w:t xml:space="preserve">what and where are the opportunities for growth?</w:t>
      </w:r>
    </w:p>
    <w:p>
      <w:pPr>
        <w:pStyle w:val="FirstParagraph"/>
      </w:pPr>
      <w:r>
        <w:rPr>
          <w:b/>
          <w:bCs/>
        </w:rPr>
        <w:t xml:space="preserve">multi-employer bargaining</w:t>
      </w:r>
    </w:p>
    <w:p>
      <w:pPr>
        <w:pStyle w:val="Compact"/>
        <w:numPr>
          <w:ilvl w:val="0"/>
          <w:numId w:val="1040"/>
        </w:numPr>
      </w:pPr>
      <w:r>
        <w:t xml:space="preserve">on one hand - defence contractors are in competition and getting buy-in would be difficult. Excepting the big players like BAE/Thales etc, defence has significant scope for MEB</w:t>
      </w:r>
    </w:p>
    <w:p>
      <w:pPr>
        <w:numPr>
          <w:ilvl w:val="0"/>
          <w:numId w:val="1041"/>
        </w:numPr>
      </w:pPr>
      <w:r>
        <w:t xml:space="preserve">is there an opportunity to use multi-employer bargaining, same job same pay, or other tools?</w:t>
      </w:r>
    </w:p>
    <w:p>
      <w:pPr>
        <w:numPr>
          <w:ilvl w:val="0"/>
          <w:numId w:val="1041"/>
        </w:numPr>
      </w:pPr>
      <w:r>
        <w:t xml:space="preserve">is there an opportunity to use FMIA</w:t>
      </w:r>
    </w:p>
    <w:bookmarkEnd w:id="117"/>
    <w:bookmarkStart w:id="118" w:name="conclusion-5"/>
    <w:p>
      <w:pPr>
        <w:sectPr>
          <w:footnotePr>
            <w:numRestart w:val="eachSect"/>
          </w:footnotePr>
        </w:sectPr>
      </w:pPr>
    </w:p>
    <w:p>
      <w:pPr>
        <w:pStyle w:val="Heading2"/>
      </w:pPr>
      <w:r>
        <w:t xml:space="preserve">11.3 Conclusion</w:t>
      </w:r>
    </w:p>
    <w:p>
      <w:pPr>
        <w:numPr>
          <w:ilvl w:val="0"/>
          <w:numId w:val="1042"/>
        </w:numPr>
      </w:pPr>
      <w:r>
        <w:t xml:space="preserve">summary</w:t>
      </w:r>
    </w:p>
    <w:p>
      <w:pPr>
        <w:numPr>
          <w:ilvl w:val="0"/>
          <w:numId w:val="1042"/>
        </w:numPr>
      </w:pPr>
      <w:r>
        <w:t xml:space="preserve">any other issues</w:t>
      </w:r>
    </w:p>
    <w:bookmarkEnd w:id="118"/>
    <w:bookmarkEnd w:id="119"/>
    <w:bookmarkStart w:id="123" w:name="roadside-assistance"/>
    <w:p>
      <w:pPr>
        <w:sectPr>
          <w:footnotePr>
            <w:numRestart w:val="eachSect"/>
          </w:footnotePr>
        </w:sectPr>
      </w:pPr>
    </w:p>
    <w:p>
      <w:pPr>
        <w:pStyle w:val="Heading1"/>
      </w:pPr>
      <w:r>
        <w:t xml:space="preserve">12. Roadside Assistance</w:t>
      </w:r>
    </w:p>
    <w:bookmarkStart w:id="120" w:name="industry-overview-6"/>
    <w:p>
      <w:pPr>
        <w:sectPr>
          <w:footnotePr>
            <w:numRestart w:val="eachSect"/>
          </w:footnotePr>
        </w:sectPr>
      </w:pPr>
    </w:p>
    <w:p>
      <w:pPr>
        <w:pStyle w:val="Heading2"/>
      </w:pPr>
      <w:r>
        <w:t xml:space="preserve">12.1 Industry Overview</w:t>
      </w:r>
    </w:p>
    <w:p>
      <w:pPr>
        <w:numPr>
          <w:ilvl w:val="0"/>
          <w:numId w:val="1043"/>
        </w:numPr>
      </w:pPr>
      <w:r>
        <w:t xml:space="preserve">is the industry in growth or decline?</w:t>
      </w:r>
    </w:p>
    <w:p>
      <w:pPr>
        <w:numPr>
          <w:ilvl w:val="1"/>
          <w:numId w:val="1044"/>
        </w:numPr>
      </w:pPr>
      <w:r>
        <w:t xml:space="preserve">employment</w:t>
      </w:r>
    </w:p>
    <w:p>
      <w:pPr>
        <w:numPr>
          <w:ilvl w:val="1"/>
          <w:numId w:val="1044"/>
        </w:numPr>
      </w:pPr>
      <w:r>
        <w:t xml:space="preserve">output</w:t>
      </w:r>
    </w:p>
    <w:p>
      <w:pPr>
        <w:numPr>
          <w:ilvl w:val="1"/>
          <w:numId w:val="1044"/>
        </w:numPr>
      </w:pPr>
      <w:r>
        <w:t xml:space="preserve">revenue</w:t>
      </w:r>
    </w:p>
    <w:bookmarkEnd w:id="120"/>
    <w:bookmarkStart w:id="121" w:name="opportunities-6"/>
    <w:p>
      <w:pPr>
        <w:sectPr>
          <w:footnotePr>
            <w:numRestart w:val="eachSect"/>
          </w:footnotePr>
        </w:sectPr>
      </w:pPr>
    </w:p>
    <w:p>
      <w:pPr>
        <w:pStyle w:val="Heading2"/>
      </w:pPr>
      <w:r>
        <w:t xml:space="preserve">12.2 Opportunities</w:t>
      </w:r>
    </w:p>
    <w:p>
      <w:pPr>
        <w:numPr>
          <w:ilvl w:val="0"/>
          <w:numId w:val="1045"/>
        </w:numPr>
      </w:pPr>
      <w:r>
        <w:t xml:space="preserve">what and where are the opportunities for growth?</w:t>
      </w:r>
    </w:p>
    <w:p>
      <w:pPr>
        <w:numPr>
          <w:ilvl w:val="0"/>
          <w:numId w:val="1045"/>
        </w:numPr>
      </w:pPr>
      <w:r>
        <w:t xml:space="preserve">is there an opportunity to use multi-employer bargaining, same job same pay, or other tools?</w:t>
      </w:r>
    </w:p>
    <w:p>
      <w:pPr>
        <w:numPr>
          <w:ilvl w:val="0"/>
          <w:numId w:val="1045"/>
        </w:numPr>
      </w:pPr>
      <w:r>
        <w:t xml:space="preserve">is there an opportunity to use FMIA</w:t>
      </w:r>
    </w:p>
    <w:bookmarkEnd w:id="121"/>
    <w:bookmarkStart w:id="122" w:name="conclusion-6"/>
    <w:p>
      <w:pPr>
        <w:sectPr>
          <w:footnotePr>
            <w:numRestart w:val="eachSect"/>
          </w:footnotePr>
        </w:sectPr>
      </w:pPr>
    </w:p>
    <w:p>
      <w:pPr>
        <w:pStyle w:val="Heading2"/>
      </w:pPr>
      <w:r>
        <w:t xml:space="preserve">12.3 Conclusion</w:t>
      </w:r>
    </w:p>
    <w:p>
      <w:pPr>
        <w:numPr>
          <w:ilvl w:val="0"/>
          <w:numId w:val="1046"/>
        </w:numPr>
      </w:pPr>
      <w:r>
        <w:t xml:space="preserve">summary</w:t>
      </w:r>
    </w:p>
    <w:p>
      <w:pPr>
        <w:numPr>
          <w:ilvl w:val="0"/>
          <w:numId w:val="1046"/>
        </w:numPr>
      </w:pPr>
      <w:r>
        <w:t xml:space="preserve">any other issues</w:t>
      </w:r>
    </w:p>
    <w:bookmarkEnd w:id="122"/>
    <w:bookmarkEnd w:id="123"/>
    <w:bookmarkStart w:id="124" w:name="construction-supply-chains"/>
    <w:p>
      <w:pPr>
        <w:sectPr>
          <w:footnotePr>
            <w:numRestart w:val="eachSect"/>
          </w:footnotePr>
        </w:sectPr>
      </w:pPr>
    </w:p>
    <w:p>
      <w:pPr>
        <w:pStyle w:val="Heading1"/>
      </w:pPr>
      <w:r>
        <w:t xml:space="preserve">13. Construction Supply Chains</w:t>
      </w:r>
    </w:p>
    <w:bookmarkEnd w:id="124"/>
    <w:bookmarkStart w:id="128" w:name="mine-servicing"/>
    <w:p>
      <w:pPr>
        <w:sectPr>
          <w:footnotePr>
            <w:numRestart w:val="eachSect"/>
          </w:footnotePr>
        </w:sectPr>
      </w:pPr>
    </w:p>
    <w:p>
      <w:pPr>
        <w:pStyle w:val="Heading1"/>
      </w:pPr>
      <w:r>
        <w:t xml:space="preserve">14. Mine Servicing</w:t>
      </w:r>
    </w:p>
    <w:bookmarkStart w:id="125" w:name="industry-overview-7"/>
    <w:p>
      <w:pPr>
        <w:sectPr>
          <w:footnotePr>
            <w:numRestart w:val="eachSect"/>
          </w:footnotePr>
        </w:sectPr>
      </w:pPr>
    </w:p>
    <w:p>
      <w:pPr>
        <w:pStyle w:val="Heading2"/>
      </w:pPr>
      <w:r>
        <w:t xml:space="preserve">14.1 Industry Overview</w:t>
      </w:r>
    </w:p>
    <w:p>
      <w:pPr>
        <w:numPr>
          <w:ilvl w:val="0"/>
          <w:numId w:val="1047"/>
        </w:numPr>
      </w:pPr>
      <w:r>
        <w:t xml:space="preserve">is the industry in growth or decline?</w:t>
      </w:r>
    </w:p>
    <w:p>
      <w:pPr>
        <w:numPr>
          <w:ilvl w:val="1"/>
          <w:numId w:val="1048"/>
        </w:numPr>
      </w:pPr>
      <w:r>
        <w:t xml:space="preserve">employment</w:t>
      </w:r>
    </w:p>
    <w:p>
      <w:pPr>
        <w:numPr>
          <w:ilvl w:val="1"/>
          <w:numId w:val="1048"/>
        </w:numPr>
      </w:pPr>
      <w:r>
        <w:t xml:space="preserve">output</w:t>
      </w:r>
    </w:p>
    <w:p>
      <w:pPr>
        <w:numPr>
          <w:ilvl w:val="1"/>
          <w:numId w:val="1048"/>
        </w:numPr>
      </w:pPr>
      <w:r>
        <w:t xml:space="preserve">revenue</w:t>
      </w:r>
    </w:p>
    <w:bookmarkEnd w:id="125"/>
    <w:bookmarkStart w:id="126" w:name="opportunities-7"/>
    <w:p>
      <w:pPr>
        <w:sectPr>
          <w:footnotePr>
            <w:numRestart w:val="eachSect"/>
          </w:footnotePr>
        </w:sectPr>
      </w:pPr>
    </w:p>
    <w:p>
      <w:pPr>
        <w:pStyle w:val="Heading2"/>
      </w:pPr>
      <w:r>
        <w:t xml:space="preserve">14.2 Opportunities</w:t>
      </w:r>
    </w:p>
    <w:p>
      <w:pPr>
        <w:numPr>
          <w:ilvl w:val="0"/>
          <w:numId w:val="1049"/>
        </w:numPr>
      </w:pPr>
      <w:r>
        <w:t xml:space="preserve">what and where are the opportunities for growth?</w:t>
      </w:r>
    </w:p>
    <w:p>
      <w:pPr>
        <w:numPr>
          <w:ilvl w:val="0"/>
          <w:numId w:val="1049"/>
        </w:numPr>
      </w:pPr>
      <w:r>
        <w:t xml:space="preserve">is there an opportunity to use multi-employer bargaining, same job same pay, or other tools?</w:t>
      </w:r>
    </w:p>
    <w:p>
      <w:pPr>
        <w:numPr>
          <w:ilvl w:val="0"/>
          <w:numId w:val="1049"/>
        </w:numPr>
      </w:pPr>
      <w:r>
        <w:t xml:space="preserve">is there an opportunity to use FMIA</w:t>
      </w:r>
    </w:p>
    <w:bookmarkEnd w:id="126"/>
    <w:bookmarkStart w:id="127" w:name="conclusion-7"/>
    <w:p>
      <w:pPr>
        <w:sectPr>
          <w:footnotePr>
            <w:numRestart w:val="eachSect"/>
          </w:footnotePr>
        </w:sectPr>
      </w:pPr>
    </w:p>
    <w:p>
      <w:pPr>
        <w:pStyle w:val="Heading2"/>
      </w:pPr>
      <w:r>
        <w:t xml:space="preserve">14.3 Conclusion</w:t>
      </w:r>
    </w:p>
    <w:p>
      <w:pPr>
        <w:numPr>
          <w:ilvl w:val="0"/>
          <w:numId w:val="1050"/>
        </w:numPr>
      </w:pPr>
      <w:r>
        <w:t xml:space="preserve">summary</w:t>
      </w:r>
    </w:p>
    <w:p>
      <w:pPr>
        <w:numPr>
          <w:ilvl w:val="0"/>
          <w:numId w:val="1050"/>
        </w:numPr>
      </w:pPr>
      <w:r>
        <w:t xml:space="preserve">any other issues</w:t>
      </w:r>
    </w:p>
    <w:bookmarkEnd w:id="127"/>
    <w:bookmarkEnd w:id="128"/>
    <w:bookmarkStart w:id="132" w:name="food"/>
    <w:p>
      <w:pPr>
        <w:sectPr>
          <w:footnotePr>
            <w:numRestart w:val="eachSect"/>
          </w:footnotePr>
        </w:sectPr>
      </w:pPr>
    </w:p>
    <w:p>
      <w:pPr>
        <w:pStyle w:val="Heading1"/>
      </w:pPr>
      <w:r>
        <w:t xml:space="preserve">15. Food</w:t>
      </w:r>
    </w:p>
    <w:bookmarkStart w:id="129" w:name="industry-overview-8"/>
    <w:p>
      <w:pPr>
        <w:sectPr>
          <w:footnotePr>
            <w:numRestart w:val="eachSect"/>
          </w:footnotePr>
        </w:sectPr>
      </w:pPr>
    </w:p>
    <w:p>
      <w:pPr>
        <w:pStyle w:val="Heading2"/>
      </w:pPr>
      <w:r>
        <w:t xml:space="preserve">15.1 Industry Overview</w:t>
      </w:r>
    </w:p>
    <w:p>
      <w:pPr>
        <w:numPr>
          <w:ilvl w:val="0"/>
          <w:numId w:val="1051"/>
        </w:numPr>
      </w:pPr>
      <w:r>
        <w:t xml:space="preserve">is the industry in growth or decline?</w:t>
      </w:r>
    </w:p>
    <w:p>
      <w:pPr>
        <w:numPr>
          <w:ilvl w:val="1"/>
          <w:numId w:val="1052"/>
        </w:numPr>
      </w:pPr>
      <w:r>
        <w:t xml:space="preserve">employment</w:t>
      </w:r>
    </w:p>
    <w:p>
      <w:pPr>
        <w:numPr>
          <w:ilvl w:val="1"/>
          <w:numId w:val="1052"/>
        </w:numPr>
      </w:pPr>
      <w:r>
        <w:t xml:space="preserve">output</w:t>
      </w:r>
    </w:p>
    <w:p>
      <w:pPr>
        <w:numPr>
          <w:ilvl w:val="1"/>
          <w:numId w:val="1052"/>
        </w:numPr>
      </w:pPr>
      <w:r>
        <w:t xml:space="preserve">revenue</w:t>
      </w:r>
    </w:p>
    <w:bookmarkEnd w:id="129"/>
    <w:bookmarkStart w:id="130" w:name="opportunities-8"/>
    <w:p>
      <w:pPr>
        <w:sectPr>
          <w:footnotePr>
            <w:numRestart w:val="eachSect"/>
          </w:footnotePr>
        </w:sectPr>
      </w:pPr>
    </w:p>
    <w:p>
      <w:pPr>
        <w:pStyle w:val="Heading2"/>
      </w:pPr>
      <w:r>
        <w:t xml:space="preserve">15.2 Opportunities</w:t>
      </w:r>
    </w:p>
    <w:p>
      <w:pPr>
        <w:numPr>
          <w:ilvl w:val="0"/>
          <w:numId w:val="1053"/>
        </w:numPr>
      </w:pPr>
      <w:r>
        <w:t xml:space="preserve">what and where are the opportunities for growth?</w:t>
      </w:r>
    </w:p>
    <w:p>
      <w:pPr>
        <w:numPr>
          <w:ilvl w:val="0"/>
          <w:numId w:val="1053"/>
        </w:numPr>
      </w:pPr>
      <w:r>
        <w:t xml:space="preserve">is there an opportunity to use multi-employer bargaining, same job same pay, or other tools?</w:t>
      </w:r>
    </w:p>
    <w:p>
      <w:pPr>
        <w:numPr>
          <w:ilvl w:val="0"/>
          <w:numId w:val="1053"/>
        </w:numPr>
      </w:pPr>
      <w:r>
        <w:t xml:space="preserve">is there an opportunity to use FMIA</w:t>
      </w:r>
    </w:p>
    <w:bookmarkEnd w:id="130"/>
    <w:bookmarkStart w:id="131" w:name="conclusion-8"/>
    <w:p>
      <w:pPr>
        <w:sectPr>
          <w:footnotePr>
            <w:numRestart w:val="eachSect"/>
          </w:footnotePr>
        </w:sectPr>
      </w:pPr>
    </w:p>
    <w:p>
      <w:pPr>
        <w:pStyle w:val="Heading2"/>
      </w:pPr>
      <w:r>
        <w:t xml:space="preserve">15.3 Conclusion</w:t>
      </w:r>
    </w:p>
    <w:p>
      <w:pPr>
        <w:numPr>
          <w:ilvl w:val="0"/>
          <w:numId w:val="1054"/>
        </w:numPr>
      </w:pPr>
      <w:r>
        <w:t xml:space="preserve">summary</w:t>
      </w:r>
    </w:p>
    <w:p>
      <w:pPr>
        <w:numPr>
          <w:ilvl w:val="0"/>
          <w:numId w:val="1054"/>
        </w:numPr>
      </w:pPr>
      <w:r>
        <w:t xml:space="preserve">any other issues</w:t>
      </w:r>
    </w:p>
    <w:bookmarkEnd w:id="131"/>
    <w:bookmarkEnd w:id="132"/>
    <w:bookmarkStart w:id="136" w:name="rail"/>
    <w:p>
      <w:pPr>
        <w:sectPr>
          <w:footnotePr>
            <w:numRestart w:val="eachSect"/>
          </w:footnotePr>
        </w:sectPr>
      </w:pPr>
    </w:p>
    <w:p>
      <w:pPr>
        <w:pStyle w:val="Heading1"/>
      </w:pPr>
      <w:r>
        <w:t xml:space="preserve">16. Rail</w:t>
      </w:r>
    </w:p>
    <w:bookmarkStart w:id="133" w:name="industry-overview-9"/>
    <w:p>
      <w:pPr>
        <w:sectPr>
          <w:footnotePr>
            <w:numRestart w:val="eachSect"/>
          </w:footnotePr>
        </w:sectPr>
      </w:pPr>
    </w:p>
    <w:p>
      <w:pPr>
        <w:pStyle w:val="Heading2"/>
      </w:pPr>
      <w:r>
        <w:t xml:space="preserve">16.1 Industry Overview</w:t>
      </w:r>
    </w:p>
    <w:p>
      <w:pPr>
        <w:numPr>
          <w:ilvl w:val="0"/>
          <w:numId w:val="1055"/>
        </w:numPr>
      </w:pPr>
      <w:r>
        <w:t xml:space="preserve">is the industry in growth or decline?</w:t>
      </w:r>
    </w:p>
    <w:p>
      <w:pPr>
        <w:numPr>
          <w:ilvl w:val="1"/>
          <w:numId w:val="1056"/>
        </w:numPr>
      </w:pPr>
      <w:r>
        <w:t xml:space="preserve">employment</w:t>
      </w:r>
    </w:p>
    <w:p>
      <w:pPr>
        <w:numPr>
          <w:ilvl w:val="1"/>
          <w:numId w:val="1056"/>
        </w:numPr>
      </w:pPr>
      <w:r>
        <w:t xml:space="preserve">output</w:t>
      </w:r>
    </w:p>
    <w:p>
      <w:pPr>
        <w:numPr>
          <w:ilvl w:val="1"/>
          <w:numId w:val="1056"/>
        </w:numPr>
      </w:pPr>
      <w:r>
        <w:t xml:space="preserve">revenue</w:t>
      </w:r>
    </w:p>
    <w:bookmarkEnd w:id="133"/>
    <w:bookmarkStart w:id="134" w:name="opportunities-9"/>
    <w:p>
      <w:pPr>
        <w:sectPr>
          <w:footnotePr>
            <w:numRestart w:val="eachSect"/>
          </w:footnotePr>
        </w:sectPr>
      </w:pPr>
    </w:p>
    <w:p>
      <w:pPr>
        <w:pStyle w:val="Heading2"/>
      </w:pPr>
      <w:r>
        <w:t xml:space="preserve">16.2 Opportunities</w:t>
      </w:r>
    </w:p>
    <w:p>
      <w:pPr>
        <w:numPr>
          <w:ilvl w:val="0"/>
          <w:numId w:val="1057"/>
        </w:numPr>
      </w:pPr>
      <w:r>
        <w:t xml:space="preserve">what and where are the opportunities for growth?</w:t>
      </w:r>
    </w:p>
    <w:p>
      <w:pPr>
        <w:numPr>
          <w:ilvl w:val="0"/>
          <w:numId w:val="1057"/>
        </w:numPr>
      </w:pPr>
      <w:r>
        <w:t xml:space="preserve">is there an opportunity to use multi-employer bargaining, same job same pay, or other tools?</w:t>
      </w:r>
    </w:p>
    <w:p>
      <w:pPr>
        <w:numPr>
          <w:ilvl w:val="0"/>
          <w:numId w:val="1057"/>
        </w:numPr>
      </w:pPr>
      <w:r>
        <w:t xml:space="preserve">is there an opportunity to use FMIA</w:t>
      </w:r>
    </w:p>
    <w:bookmarkEnd w:id="134"/>
    <w:bookmarkStart w:id="135" w:name="conclusion-9"/>
    <w:p>
      <w:pPr>
        <w:sectPr>
          <w:footnotePr>
            <w:numRestart w:val="eachSect"/>
          </w:footnotePr>
        </w:sectPr>
      </w:pPr>
    </w:p>
    <w:p>
      <w:pPr>
        <w:pStyle w:val="Heading2"/>
      </w:pPr>
      <w:r>
        <w:t xml:space="preserve">16.3 Conclusion</w:t>
      </w:r>
    </w:p>
    <w:p>
      <w:pPr>
        <w:numPr>
          <w:ilvl w:val="0"/>
          <w:numId w:val="1058"/>
        </w:numPr>
      </w:pPr>
      <w:r>
        <w:t xml:space="preserve">summary</w:t>
      </w:r>
    </w:p>
    <w:p>
      <w:pPr>
        <w:numPr>
          <w:ilvl w:val="0"/>
          <w:numId w:val="1058"/>
        </w:numPr>
      </w:pPr>
      <w:r>
        <w:t xml:space="preserve">any other issues</w:t>
      </w:r>
    </w:p>
    <w:bookmarkEnd w:id="135"/>
    <w:bookmarkEnd w:id="136"/>
    <w:bookmarkStart w:id="137" w:name="summary"/>
    <w:p>
      <w:pPr>
        <w:sectPr>
          <w:footnotePr>
            <w:numRestart w:val="eachSect"/>
          </w:footnotePr>
        </w:sectPr>
      </w:pPr>
    </w:p>
    <w:p>
      <w:pPr>
        <w:pStyle w:val="Heading1"/>
      </w:pPr>
      <w:r>
        <w:t xml:space="preserve">17. Summary</w:t>
      </w:r>
    </w:p>
    <w:p>
      <w:pPr>
        <w:pStyle w:val="FirstParagraph"/>
      </w:pPr>
      <w:r>
        <w:t xml:space="preserve">In summary, …</w:t>
      </w:r>
    </w:p>
    <w:bookmarkEnd w:id="137"/>
    <w:bookmarkStart w:id="145" w:name="references"/>
    <w:p>
      <w:pPr>
        <w:sectPr>
          <w:footnotePr>
            <w:numRestart w:val="eachSect"/>
          </w:footnotePr>
        </w:sectPr>
      </w:pPr>
    </w:p>
    <w:p>
      <w:pPr>
        <w:pStyle w:val="Heading1"/>
      </w:pPr>
      <w:r>
        <w:t xml:space="preserve">References</w:t>
      </w:r>
    </w:p>
    <w:bookmarkStart w:id="144" w:name="refs"/>
    <w:bookmarkStart w:id="138"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138"/>
    <w:bookmarkStart w:id="139"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139"/>
    <w:bookmarkStart w:id="141"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140">
        <w:r>
          <w:rPr>
            <w:rStyle w:val="Hyperlink"/>
          </w:rPr>
          <w:t xml:space="preserve">https://doi.org/10.1038/s42254-020-00275-1</w:t>
        </w:r>
      </w:hyperlink>
      <w:r>
        <w:t xml:space="preserve">.</w:t>
      </w:r>
    </w:p>
    <w:bookmarkEnd w:id="141"/>
    <w:bookmarkStart w:id="143"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142">
        <w:r>
          <w:rPr>
            <w:rStyle w:val="Hyperlink"/>
          </w:rPr>
          <w:t xml:space="preserve">https://doi.org/10.1111/j.1944-8287.1997.tb00089.x</w:t>
        </w:r>
      </w:hyperlink>
      <w:r>
        <w:t xml:space="preserve">.</w:t>
      </w:r>
    </w:p>
    <w:bookmarkEnd w:id="143"/>
    <w:bookmarkEnd w:id="144"/>
    <w:bookmarkEnd w:id="1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hyperlink" Id="rId140" Target="https://doi.org/10.1038/s42254-020-00275-1" TargetMode="External" /><Relationship Type="http://schemas.openxmlformats.org/officeDocument/2006/relationships/hyperlink" Id="rId142"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38/s42254-020-00275-1" TargetMode="External" /><Relationship Type="http://schemas.openxmlformats.org/officeDocument/2006/relationships/hyperlink" Id="rId142"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2025-09-23T10:18:51Z</dcterms:created>
  <dcterms:modified xsi:type="dcterms:W3CDTF">2025-09-23T10:18:51Z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