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 xml:space="preserve">RAG </w:t>
      </w:r>
      <w:r>
        <w:rPr/>
        <w:t>检索链路设计笔记</w:t>
      </w:r>
    </w:p>
    <w:p>
      <w:pPr>
        <w:pStyle w:val="BodyText"/>
        <w:bidi w:val="0"/>
        <w:rPr/>
      </w:pPr>
      <w:r>
        <w:rPr/>
        <w:t>本文记录知识库问答系统在检索链路上的一组设计取舍，作为实现与验收的对照材料。内容按</w:t>
      </w:r>
      <w:r>
        <w:rPr/>
        <w:t>"</w:t>
      </w:r>
      <w:r>
        <w:rPr/>
        <w:t>切片—向量—融合—生成</w:t>
      </w:r>
      <w:r>
        <w:rPr/>
        <w:t>"</w:t>
      </w:r>
      <w:r>
        <w:rPr/>
        <w:t>的顺序组织。</w:t>
      </w:r>
    </w:p>
    <w:p>
      <w:pPr>
        <w:pStyle w:val="Heading2"/>
        <w:bidi w:val="0"/>
        <w:rPr/>
      </w:pPr>
      <w:r>
        <w:rPr/>
        <w:t xml:space="preserve">1 </w:t>
      </w:r>
      <w:r>
        <w:rPr/>
        <w:t>切片策略</w:t>
      </w:r>
    </w:p>
    <w:p>
      <w:pPr>
        <w:pStyle w:val="Heading3"/>
        <w:bidi w:val="0"/>
        <w:rPr/>
      </w:pPr>
      <w:r>
        <w:rPr/>
        <w:t xml:space="preserve">1.1 </w:t>
      </w:r>
      <w:r>
        <w:rPr/>
        <w:t>为什么按结构切</w:t>
      </w:r>
    </w:p>
    <w:p>
      <w:pPr>
        <w:pStyle w:val="BodyText"/>
        <w:bidi w:val="0"/>
        <w:rPr/>
      </w:pPr>
      <w:r>
        <w:rPr/>
        <w:t>固定长度切分的根本问题不在于</w:t>
      </w:r>
      <w:r>
        <w:rPr/>
        <w:t>"</w:t>
      </w:r>
      <w:r>
        <w:rPr/>
        <w:t>长度不合适</w:t>
      </w:r>
      <w:r>
        <w:rPr/>
        <w:t>"</w:t>
      </w:r>
      <w:r>
        <w:rPr/>
        <w:t>，而在于它不知道文本里哪一处是断点。当一段正文被从中间切开时，前半段失去结论、后半段失去前提，两段都检索不到；更糟的是章节标题常常被留在上一段的末尾，于是这一段正文彻底失去了</w:t>
      </w:r>
      <w:r>
        <w:rPr/>
        <w:t>"</w:t>
      </w:r>
      <w:r>
        <w:rPr/>
        <w:t>它在讲什么</w:t>
      </w:r>
      <w:r>
        <w:rPr/>
        <w:t>"</w:t>
      </w:r>
      <w:r>
        <w:rPr/>
        <w:t>的线索。</w:t>
      </w:r>
    </w:p>
    <w:p>
      <w:pPr>
        <w:pStyle w:val="BodyText"/>
        <w:bidi w:val="0"/>
        <w:rPr/>
      </w:pPr>
      <w:r>
        <w:rPr/>
        <w:t>按结构切分把标题当作正文的锚点：标题向下归属于它引领的正文，正文在自然段边界处断开。这样每个切片都自带上下文，单独拿出来也能读懂。</w:t>
      </w:r>
    </w:p>
    <w:p>
      <w:pPr>
        <w:pStyle w:val="Heading3"/>
        <w:bidi w:val="0"/>
        <w:rPr/>
      </w:pPr>
      <w:r>
        <w:rPr/>
        <w:t xml:space="preserve">1.2 </w:t>
      </w:r>
      <w:r>
        <w:rPr/>
        <w:t>重叠区间的作用</w:t>
      </w:r>
    </w:p>
    <w:p>
      <w:pPr>
        <w:pStyle w:val="BodyText"/>
        <w:bidi w:val="0"/>
        <w:rPr/>
      </w:pPr>
      <w:r>
        <w:rPr/>
        <w:t>重叠解决的是</w:t>
      </w:r>
      <w:r>
        <w:rPr/>
        <w:t>"</w:t>
      </w:r>
      <w:r>
        <w:rPr/>
        <w:t>答案恰好横跨两个切片</w:t>
      </w:r>
      <w:r>
        <w:rPr/>
        <w:t>"</w:t>
      </w:r>
      <w:r>
        <w:rPr/>
        <w:t>的问题。一个问题的答案往往由相邻两段共同构成，如果两段被切在不同的切片里，任一单独切片都不足以支撑回答。重叠区间让这类答案至少在一个切片内完整出现。</w:t>
      </w:r>
    </w:p>
    <w:p>
      <w:pPr>
        <w:pStyle w:val="BodyText"/>
        <w:bidi w:val="0"/>
        <w:rPr/>
      </w:pPr>
      <w:r>
        <w:rPr/>
        <w:t>重叠的代价同样明确：</w:t>
      </w:r>
      <w:r>
        <w:rPr/>
        <w:t xml:space="preserve">token </w:t>
      </w:r>
      <w:r>
        <w:rPr/>
        <w:t>总量上升，入库时间和存储成本随之增加；重叠过大时，检索结果里会出现大量内容近似甚至完全相同的切片，反而挤占了真正有用的候选位置。经验上重叠控制在目标大小的百分之十五到二十五之间较为稳妥，但这不是可以照抄的数字，需要用真实语料验证。</w:t>
      </w:r>
    </w:p>
    <w:p>
      <w:pPr>
        <w:pStyle w:val="Heading2"/>
        <w:bidi w:val="0"/>
        <w:rPr/>
      </w:pPr>
      <w:r>
        <w:rPr/>
        <w:t xml:space="preserve">2 </w:t>
      </w:r>
      <w:r>
        <w:rPr/>
        <w:t>向量检索</w:t>
      </w:r>
    </w:p>
    <w:p>
      <w:pPr>
        <w:pStyle w:val="Heading3"/>
        <w:bidi w:val="0"/>
        <w:rPr/>
      </w:pPr>
      <w:r>
        <w:rPr/>
        <w:t xml:space="preserve">2.1 </w:t>
      </w:r>
      <w:r>
        <w:rPr/>
        <w:t>索引选型</w:t>
      </w:r>
    </w:p>
    <w:p>
      <w:pPr>
        <w:pStyle w:val="BodyText"/>
        <w:bidi w:val="0"/>
        <w:rPr/>
      </w:pPr>
      <w:r>
        <w:rPr/>
        <w:t xml:space="preserve">HNSW </w:t>
      </w:r>
      <w:r>
        <w:rPr/>
        <w:t xml:space="preserve">与 </w:t>
      </w:r>
      <w:r>
        <w:rPr/>
        <w:t xml:space="preserve">IVFFlat </w:t>
      </w:r>
      <w:r>
        <w:rPr/>
        <w:t>的核心差别在于是否需要训练。</w:t>
      </w:r>
      <w:r>
        <w:rPr/>
        <w:t xml:space="preserve">IVFFlat </w:t>
      </w:r>
      <w:r>
        <w:rPr/>
        <w:t>需要先用已有数据聚类出若干中心点，数据量少或分布变化时召回率会明显下降；</w:t>
      </w:r>
      <w:r>
        <w:rPr/>
        <w:t xml:space="preserve">HNSW </w:t>
      </w:r>
      <w:r>
        <w:rPr/>
        <w:t>用图结构组织向量，插入即生效，不需要预先训练，召回率也更高，代价是构建更慢、内存占用更大。对于持续增量入库的知识库，</w:t>
      </w:r>
      <w:r>
        <w:rPr/>
        <w:t xml:space="preserve">HNSW </w:t>
      </w:r>
      <w:r>
        <w:rPr/>
        <w:t>的免训练特性比构建速度更重要。</w:t>
      </w:r>
    </w:p>
    <w:p>
      <w:pPr>
        <w:pStyle w:val="Heading3"/>
        <w:bidi w:val="0"/>
        <w:rPr/>
      </w:pPr>
      <w:r>
        <w:rPr/>
        <w:t xml:space="preserve">2.2 </w:t>
      </w:r>
      <w:r>
        <w:rPr/>
        <w:t>距离度量</w:t>
      </w:r>
    </w:p>
    <w:p>
      <w:pPr>
        <w:pStyle w:val="BodyText"/>
        <w:bidi w:val="0"/>
        <w:rPr/>
      </w:pPr>
      <w:r>
        <w:rPr/>
        <w:t>余弦距离衡量方向，欧氏距离衡量绝对位置。文本向量的模长往往不携带语义信息，因此先做归一化再比较方向更稳定。归一化之后，余弦距离与欧氏距离的排序结果一致，此时选哪个只影响实现细节，不影响召回顺序。</w:t>
      </w:r>
    </w:p>
    <w:p>
      <w:pPr>
        <w:pStyle w:val="Heading2"/>
        <w:bidi w:val="0"/>
        <w:rPr/>
      </w:pPr>
      <w:r>
        <w:rPr/>
        <w:t xml:space="preserve">3 </w:t>
      </w:r>
      <w:r>
        <w:rPr/>
        <w:t>混合检索与融合</w:t>
      </w:r>
    </w:p>
    <w:p>
      <w:pPr>
        <w:pStyle w:val="BodyText"/>
        <w:bidi w:val="0"/>
        <w:rPr/>
      </w:pPr>
      <w:r>
        <w:rPr/>
        <w:t>纯向量检索擅长语义相近但用词不同的情况，例如问</w:t>
      </w:r>
      <w:r>
        <w:rPr/>
        <w:t>"</w:t>
      </w:r>
      <w:r>
        <w:rPr/>
        <w:t>怎么防止模型胡说</w:t>
      </w:r>
      <w:r>
        <w:rPr/>
        <w:t>"</w:t>
      </w:r>
      <w:r>
        <w:rPr/>
        <w:t>能召回到讲</w:t>
      </w:r>
      <w:r>
        <w:rPr/>
        <w:t>"</w:t>
      </w:r>
      <w:r>
        <w:rPr/>
        <w:t>拒答</w:t>
      </w:r>
      <w:r>
        <w:rPr/>
        <w:t>"</w:t>
      </w:r>
      <w:r>
        <w:rPr/>
        <w:t>的段落。纯关键词检索擅长精确匹配，例如产品型号、错误码、专有名词这类向量模型没有充分学习的字符串。</w:t>
      </w:r>
    </w:p>
    <w:p>
      <w:pPr>
        <w:pStyle w:val="BodyText"/>
        <w:bidi w:val="0"/>
        <w:rPr/>
      </w:pPr>
      <w:r>
        <w:rPr/>
        <w:t>两条通道的分数不可直接相加：向量相似度落在零到一之间，全文检索的排名分数没有固定上界，量纲完全不同。做加权求和就必须先归一化，而归一化本身会引入新的取舍。</w:t>
      </w:r>
    </w:p>
    <w:p>
      <w:pPr>
        <w:pStyle w:val="BodyText"/>
        <w:bidi w:val="0"/>
        <w:rPr/>
      </w:pPr>
      <w:r>
        <w:rPr/>
        <w:t>倒排融合绕开了这个问题。它不使用分数，只使用每条候选在各通道中的排名位置，把排名倒数相加作为融合分。分数尺度的差异因此被完全消除，这也是它在工程上比加权求和更省心的原因。</w:t>
      </w:r>
    </w:p>
    <w:p>
      <w:pPr>
        <w:pStyle w:val="Heading2"/>
        <w:bidi w:val="0"/>
        <w:rPr/>
      </w:pPr>
      <w:r>
        <w:rPr/>
        <w:t xml:space="preserve">4 </w:t>
      </w:r>
      <w:r>
        <w:rPr/>
        <w:t>生成与引用</w:t>
      </w:r>
    </w:p>
    <w:p>
      <w:pPr>
        <w:pStyle w:val="Heading3"/>
        <w:bidi w:val="0"/>
        <w:rPr/>
      </w:pPr>
      <w:r>
        <w:rPr/>
        <w:t xml:space="preserve">4.1 </w:t>
      </w:r>
      <w:r>
        <w:rPr/>
        <w:t>引用编号的来源</w:t>
      </w:r>
    </w:p>
    <w:p>
      <w:pPr>
        <w:pStyle w:val="BodyText"/>
        <w:bidi w:val="0"/>
        <w:rPr/>
      </w:pPr>
      <w:r>
        <w:rPr/>
        <w:t>引用编号必须由系统生成，不能由模型自行发明。上下文里的每个切片在拼接时就被赋予编号，模型只被允许引用已存在的编号。生成之后还要做一次校验：凡是模型提到但上下文里不存在的编号，一律剔除或整段重答。</w:t>
      </w:r>
    </w:p>
    <w:p>
      <w:pPr>
        <w:pStyle w:val="Heading3"/>
        <w:bidi w:val="0"/>
        <w:rPr/>
      </w:pPr>
      <w:r>
        <w:rPr/>
        <w:t xml:space="preserve">4.2 </w:t>
      </w:r>
      <w:r>
        <w:rPr/>
        <w:t>拒答的判定</w:t>
      </w:r>
    </w:p>
    <w:p>
      <w:pPr>
        <w:pStyle w:val="BodyText"/>
        <w:bidi w:val="0"/>
        <w:rPr/>
      </w:pPr>
      <w:r>
        <w:rPr/>
        <w:t>拒答阈值定得太低，系统会对明明有依据的问题说</w:t>
      </w:r>
      <w:r>
        <w:rPr/>
        <w:t>"</w:t>
      </w:r>
      <w:r>
        <w:rPr/>
        <w:t>查不到</w:t>
      </w:r>
      <w:r>
        <w:rPr/>
        <w:t>"</w:t>
      </w:r>
      <w:r>
        <w:rPr/>
        <w:t>；定得太高，它会开始用通用知识编造文档里没有的内容。两种错误里，编造更难被发现，因此阈值应当偏保守，宁可多拒几次。</w:t>
      </w:r>
    </w:p>
    <w:p>
      <w:pPr>
        <w:pStyle w:val="BodyText"/>
        <w:bidi w:val="0"/>
        <w:rPr/>
      </w:pPr>
      <w:r>
        <w:rPr/>
        <w:t>仅靠相似度阈值判定是不够的：相似度高的切片可能只是用词接近而主题无关。更稳的做法是让模型在生成之前先判断给定证据是否足以回答问题，再由程序合并这两路结论。</w:t>
      </w:r>
    </w:p>
    <w:p>
      <w:pPr>
        <w:pStyle w:val="Heading2"/>
        <w:bidi w:val="0"/>
        <w:rPr/>
      </w:pPr>
      <w:r>
        <w:rPr/>
        <w:t xml:space="preserve">5 </w:t>
      </w:r>
      <w:r>
        <w:rPr/>
        <w:t>参数速查</w:t>
      </w:r>
    </w:p>
    <w:tbl>
      <w:tblPr>
        <w:tblW w:w="580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6"/>
        <w:gridCol w:w="867"/>
        <w:gridCol w:w="4386"/>
      </w:tblGrid>
      <w:tr>
        <w:trPr/>
        <w:tc>
          <w:tcPr>
            <w:tcW w:w="556" w:type="dxa"/>
            <w:tcBorders/>
            <w:vAlign w:val="center"/>
          </w:tcPr>
          <w:p>
            <w:pPr>
              <w:pStyle w:val="Style17"/>
              <w:suppressLineNumbers/>
              <w:bidi w:val="0"/>
              <w:spacing w:before="0" w:after="283"/>
              <w:jc w:val="center"/>
              <w:rPr/>
            </w:pPr>
            <w:r>
              <w:rPr/>
              <w:t>环节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7"/>
              <w:suppressLineNumbers/>
              <w:bidi w:val="0"/>
              <w:spacing w:before="0" w:after="283"/>
              <w:jc w:val="center"/>
              <w:rPr/>
            </w:pPr>
            <w:r>
              <w:rPr/>
              <w:t>参数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7"/>
              <w:suppressLineNumbers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55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切片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target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目标大小，在语义断点处尽量靠近</w:t>
            </w:r>
          </w:p>
        </w:tc>
      </w:tr>
      <w:tr>
        <w:trPr/>
        <w:tc>
          <w:tcPr>
            <w:tcW w:w="55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切片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max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硬上限，超过即为缺陷</w:t>
            </w:r>
          </w:p>
        </w:tc>
      </w:tr>
      <w:tr>
        <w:trPr/>
        <w:tc>
          <w:tcPr>
            <w:tcW w:w="55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切片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overlap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 xml:space="preserve">重叠量，代价是 </w:t>
            </w:r>
            <w:r>
              <w:rPr/>
              <w:t xml:space="preserve">token </w:t>
            </w:r>
            <w:r>
              <w:rPr/>
              <w:t>总量上升</w:t>
            </w:r>
          </w:p>
        </w:tc>
      </w:tr>
      <w:tr>
        <w:trPr/>
        <w:tc>
          <w:tcPr>
            <w:tcW w:w="55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向量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m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 xml:space="preserve">HNSW </w:t>
            </w:r>
            <w:r>
              <w:rPr/>
              <w:t>每层出边数，越大召回越高、内存越多</w:t>
            </w:r>
          </w:p>
        </w:tc>
      </w:tr>
      <w:tr>
        <w:trPr/>
        <w:tc>
          <w:tcPr>
            <w:tcW w:w="55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融合</w:t>
            </w:r>
          </w:p>
        </w:tc>
        <w:tc>
          <w:tcPr>
            <w:tcW w:w="867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k</w:t>
            </w:r>
          </w:p>
        </w:tc>
        <w:tc>
          <w:tcPr>
            <w:tcW w:w="4386" w:type="dxa"/>
            <w:tcBorders/>
            <w:vAlign w:val="center"/>
          </w:tcPr>
          <w:p>
            <w:pPr>
              <w:pStyle w:val="Style14"/>
              <w:bidi w:val="0"/>
              <w:spacing w:before="0" w:after="283"/>
              <w:rPr/>
            </w:pPr>
            <w:r>
              <w:rPr/>
              <w:t>排名平滑常数，取零会让第一名过度主导</w:t>
            </w:r>
          </w:p>
        </w:tc>
      </w:tr>
    </w:tbl>
    <w:p>
      <w:pPr>
        <w:pStyle w:val="BodyText"/>
        <w:bidi w:val="0"/>
        <w:spacing w:before="0" w:after="283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84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6"/>
    <w:next w:val="BodyText"/>
    <w:qFormat/>
    <w:pPr/>
    <w:rPr>
      <w:b/>
      <w:bCs/>
      <w:sz w:val="44"/>
      <w:szCs w:val="44"/>
    </w:rPr>
  </w:style>
  <w:style w:type="paragraph" w:styleId="Heading2">
    <w:name w:val="heading 2"/>
    <w:basedOn w:val="Style16"/>
    <w:next w:val="BodyText"/>
    <w:qFormat/>
    <w:pPr>
      <w:spacing w:before="200" w:after="120"/>
      <w:outlineLvl w:val="1"/>
    </w:pPr>
    <w:rPr>
      <w:rFonts w:ascii="Liberation Serif" w:hAnsi="Liberation Serif" w:eastAsia="Noto Serif SC" w:cs="Lucida Sans"/>
      <w:b/>
      <w:bCs/>
      <w:sz w:val="32"/>
      <w:szCs w:val="32"/>
    </w:rPr>
  </w:style>
  <w:style w:type="paragraph" w:styleId="Heading3">
    <w:name w:val="heading 3"/>
    <w:basedOn w:val="Style16"/>
    <w:next w:val="BodyText"/>
    <w:qFormat/>
    <w:pPr>
      <w:spacing w:before="140" w:after="120"/>
      <w:outlineLvl w:val="2"/>
    </w:pPr>
    <w:rPr>
      <w:rFonts w:ascii="Liberation Serif" w:hAnsi="Liberation Serif" w:eastAsia="Noto Serif SC" w:cs="Lucida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3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4">
    <w:name w:val="表格内容"/>
    <w:basedOn w:val="BodyText"/>
    <w:qFormat/>
    <w:pPr/>
    <w:rPr>
      <w:sz w:val="22"/>
      <w:szCs w:val="22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6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7">
    <w:name w:val="表格标题"/>
    <w:basedOn w:val="Style14"/>
    <w:qFormat/>
    <w:pPr>
      <w:suppressLineNumbers/>
      <w:jc w:val="center"/>
    </w:pPr>
    <w:rPr>
      <w:b/>
      <w:bCs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RAG 检索链路设计笔记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