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432B7" w14:textId="0CF11C9B" w:rsidR="00BB1681" w:rsidRDefault="008D25A8" w:rsidP="008D25A8">
      <w:pPr>
        <w:jc w:val="left"/>
      </w:pPr>
      <w:r>
        <w:rPr>
          <w:noProof/>
        </w:rPr>
        <w:drawing>
          <wp:inline distT="0" distB="0" distL="0" distR="0" wp14:anchorId="23C03B9A" wp14:editId="247739CC">
            <wp:extent cx="2820442" cy="805841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32" cy="81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0464" w14:textId="3E272167" w:rsidR="008D25A8" w:rsidRPr="008D25A8" w:rsidRDefault="008D25A8" w:rsidP="00D0246B">
      <w:pPr>
        <w:spacing w:beforeLines="800" w:before="2496" w:afterLines="50" w:after="156"/>
        <w:jc w:val="center"/>
        <w:rPr>
          <w:rFonts w:ascii="黑体" w:eastAsia="黑体" w:hAnsi="黑体"/>
          <w:sz w:val="44"/>
          <w:szCs w:val="48"/>
        </w:rPr>
      </w:pPr>
      <w:r w:rsidRPr="008D25A8">
        <w:rPr>
          <w:rFonts w:ascii="黑体" w:eastAsia="黑体" w:hAnsi="黑体" w:hint="eastAsia"/>
          <w:sz w:val="44"/>
          <w:szCs w:val="48"/>
        </w:rPr>
        <w:t>神经网络与深度学习综合实训</w:t>
      </w:r>
    </w:p>
    <w:p w14:paraId="7E395131" w14:textId="4649FEB8" w:rsidR="008D25A8" w:rsidRPr="008D25A8" w:rsidRDefault="008D25A8" w:rsidP="008D25A8">
      <w:pPr>
        <w:jc w:val="center"/>
        <w:rPr>
          <w:rFonts w:ascii="黑体" w:eastAsia="黑体" w:hAnsi="黑体"/>
          <w:sz w:val="96"/>
          <w:szCs w:val="96"/>
        </w:rPr>
      </w:pPr>
      <w:r w:rsidRPr="008D25A8">
        <w:rPr>
          <w:rFonts w:ascii="黑体" w:eastAsia="黑体" w:hAnsi="黑体" w:hint="eastAsia"/>
          <w:sz w:val="96"/>
          <w:szCs w:val="96"/>
        </w:rPr>
        <w:t>项目报告</w:t>
      </w:r>
    </w:p>
    <w:p w14:paraId="210EC88E" w14:textId="71DBBCE5" w:rsidR="008D25A8" w:rsidRPr="008D25A8" w:rsidRDefault="008D25A8" w:rsidP="00D0246B">
      <w:pPr>
        <w:spacing w:beforeLines="1150" w:before="3588"/>
        <w:ind w:leftChars="1000" w:left="2100"/>
        <w:rPr>
          <w:rFonts w:ascii="楷体" w:eastAsia="楷体" w:hAnsi="楷体"/>
          <w:sz w:val="28"/>
          <w:szCs w:val="32"/>
        </w:rPr>
      </w:pPr>
      <w:r w:rsidRPr="008D25A8">
        <w:rPr>
          <w:rFonts w:ascii="楷体" w:eastAsia="楷体" w:hAnsi="楷体" w:hint="eastAsia"/>
          <w:sz w:val="28"/>
          <w:szCs w:val="32"/>
        </w:rPr>
        <w:t>小组编号：第1组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</w:t>
      </w:r>
      <w:r w:rsidR="00B7633B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B7633B">
        <w:rPr>
          <w:rFonts w:ascii="楷体" w:eastAsia="楷体" w:hAnsi="楷体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</w:t>
      </w:r>
    </w:p>
    <w:p w14:paraId="1E5140D1" w14:textId="799A9746" w:rsidR="008D25A8" w:rsidRPr="008D25A8" w:rsidRDefault="008D25A8" w:rsidP="008D25A8">
      <w:pPr>
        <w:ind w:leftChars="1000" w:left="2100"/>
        <w:rPr>
          <w:rFonts w:ascii="楷体" w:eastAsia="楷体" w:hAnsi="楷体"/>
          <w:sz w:val="28"/>
          <w:szCs w:val="32"/>
        </w:rPr>
      </w:pPr>
      <w:r w:rsidRPr="008D25A8">
        <w:rPr>
          <w:rFonts w:ascii="楷体" w:eastAsia="楷体" w:hAnsi="楷体" w:hint="eastAsia"/>
          <w:sz w:val="28"/>
          <w:szCs w:val="32"/>
        </w:rPr>
        <w:t>小组成员：刘宇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</w:t>
      </w:r>
      <w:r w:rsidR="00B7633B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B7633B">
        <w:rPr>
          <w:rFonts w:ascii="楷体" w:eastAsia="楷体" w:hAnsi="楷体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  </w:t>
      </w:r>
    </w:p>
    <w:p w14:paraId="4BA7F168" w14:textId="59DB6F23" w:rsidR="008D25A8" w:rsidRDefault="008D25A8" w:rsidP="008D25A8">
      <w:pPr>
        <w:ind w:leftChars="1000" w:left="2100"/>
        <w:rPr>
          <w:rFonts w:ascii="楷体" w:eastAsia="楷体" w:hAnsi="楷体"/>
          <w:sz w:val="28"/>
          <w:szCs w:val="32"/>
          <w:u w:val="single"/>
        </w:rPr>
      </w:pPr>
      <w:r w:rsidRPr="008D25A8">
        <w:rPr>
          <w:rFonts w:ascii="楷体" w:eastAsia="楷体" w:hAnsi="楷体" w:hint="eastAsia"/>
          <w:sz w:val="28"/>
          <w:szCs w:val="32"/>
        </w:rPr>
        <w:t>指导教师：____________________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</w:t>
      </w:r>
      <w:r w:rsidR="00B7633B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B7633B">
        <w:rPr>
          <w:rFonts w:ascii="楷体" w:eastAsia="楷体" w:hAnsi="楷体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 </w:t>
      </w:r>
    </w:p>
    <w:p w14:paraId="6229CCB0" w14:textId="456E11D0" w:rsidR="00D0246B" w:rsidRDefault="00D0246B" w:rsidP="00D0246B">
      <w:pPr>
        <w:ind w:leftChars="1000" w:left="2100"/>
        <w:rPr>
          <w:rFonts w:ascii="楷体" w:eastAsia="楷体" w:hAnsi="楷体"/>
          <w:sz w:val="28"/>
          <w:szCs w:val="32"/>
          <w:u w:val="single"/>
        </w:rPr>
      </w:pPr>
      <w:r>
        <w:rPr>
          <w:rFonts w:ascii="楷体" w:eastAsia="楷体" w:hAnsi="楷体" w:hint="eastAsia"/>
          <w:sz w:val="28"/>
          <w:szCs w:val="32"/>
        </w:rPr>
        <w:t>日　　期：2026年6月29日</w:t>
      </w:r>
      <w:r w:rsidRPr="008D25A8">
        <w:rPr>
          <w:rFonts w:ascii="楷体" w:eastAsia="楷体" w:hAnsi="楷体" w:hint="eastAsia"/>
          <w:sz w:val="28"/>
          <w:szCs w:val="32"/>
        </w:rPr>
      </w:r>
      <w:r w:rsidRPr="008D25A8">
        <w:rPr>
          <w:rFonts w:ascii="楷体" w:eastAsia="楷体" w:hAnsi="楷体" w:hint="eastAsia"/>
          <w:sz w:val="28"/>
          <w:szCs w:val="32"/>
          <w:u w:val="single"/>
        </w:rPr>
      </w:r>
      <w:r w:rsidRPr="008D25A8">
        <w:rPr>
          <w:rFonts w:ascii="楷体" w:eastAsia="楷体" w:hAnsi="楷体"/>
          <w:sz w:val="28"/>
          <w:szCs w:val="32"/>
          <w:u w:val="single"/>
        </w:rPr>
      </w:r>
      <w:r w:rsidR="00B7633B">
        <w:rPr>
          <w:rFonts w:ascii="楷体" w:eastAsia="楷体" w:hAnsi="楷体" w:hint="eastAsia"/>
          <w:sz w:val="28"/>
          <w:szCs w:val="32"/>
          <w:u w:val="single"/>
        </w:rPr>
      </w:r>
      <w:r w:rsidR="00B7633B">
        <w:rPr>
          <w:rFonts w:ascii="楷体" w:eastAsia="楷体" w:hAnsi="楷体"/>
          <w:sz w:val="28"/>
          <w:szCs w:val="32"/>
          <w:u w:val="single"/>
        </w:rPr>
      </w:r>
      <w:r w:rsidRPr="008D25A8">
        <w:rPr>
          <w:rFonts w:ascii="楷体" w:eastAsia="楷体" w:hAnsi="楷体"/>
          <w:sz w:val="28"/>
          <w:szCs w:val="32"/>
          <w:u w:val="single"/>
        </w:rPr>
      </w:r>
    </w:p>
    <w:p w14:paraId="5090E83A" w14:textId="77777777" w:rsidR="00D0246B" w:rsidRDefault="00D0246B" w:rsidP="008D25A8">
      <w:pPr>
        <w:ind w:leftChars="1000" w:left="2100"/>
        <w:rPr>
          <w:rFonts w:ascii="楷体" w:eastAsia="楷体" w:hAnsi="楷体"/>
          <w:sz w:val="28"/>
          <w:szCs w:val="32"/>
          <w:u w:val="single"/>
        </w:rPr>
      </w:pPr>
    </w:p>
    <w:p>
      <w:pPr>
        <w:spacing w:line="312" w:lineRule="auto" w:before="240" w:after="120"/>
      </w:pPr>
      <w:r>
        <w:rPr>
          <w:rFonts w:ascii="Times New Roman" w:hAnsi="Times New Roman" w:eastAsia="黑体"/>
          <w:b w:val="0"/>
          <w:sz w:val="28"/>
        </w:rPr>
        <w:t>一、项目介绍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1.1 项目背景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手势识别是计算机视觉领域的重要研究方向，在设计智能高效的人机界面方面具有至关重要的作用。目前，手势识别已广泛应用于手语翻译、智能监控、虚拟现实、智能家居等多个领域。随着深度学习技术的快速发展，基于卷积神经网络（CNN）的手势识别方法在准确率和鲁棒性方面取得了显著进展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1.2 项目目标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本项目旨在构建一个基于深度学习的实时手势数字识别系统，能够识别数字0至5共6种手势。系统具备以下核心功能：（1）利用CNN卷积神经网络对64×64像素的RGB手势图片进行自动分类；（2）支持摄像头实时采集与识别，通过肤色检测自动定位手部区域；（3）提供Web交互界面，支持图片上传识别和摄像头实时识别两种模式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1.3 项目环境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开发语言：Python 3.11；深度学习框架：PyTorch 2.11；Web框架：Flask 3.1；图像处理：OpenCV 4.13、Pillow；前端：HTML5 + CSS3 + JavaScript。开发工具：Visual Studio Code。操作系统：Windows 11。</w:t>
      </w:r>
    </w:p>
    <w:p>
      <w:pPr>
        <w:spacing w:line="312" w:lineRule="auto" w:before="240" w:after="120"/>
      </w:pPr>
      <w:r>
        <w:rPr>
          <w:rFonts w:ascii="Times New Roman" w:hAnsi="Times New Roman" w:eastAsia="黑体"/>
          <w:b w:val="0"/>
          <w:sz w:val="28"/>
        </w:rPr>
        <w:t>二、项目实施过程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2.1 数据集说明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本项目使用三类数据源进行模型训练：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（1）原始数据集（4320张）：项目提供的64×64像素RGB手势图片，包含数字0-5共6类，每类720张训练样本、80张测试样本。图片为纯色背景下的标准手势。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2）Kaggle公开数据集（21600张）：从Kaggle平台下载的koryakinp/fingers手指计数数据集，包含621600余张不同人手在不同光照条件下的0-5手势图片，每类3600张。该数据集覆盖了多种背景和手势姿态，有效提升了模型的泛化能力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3）自采集数据集（296张）：通过编写的capture_data.py工具，利用本地摄像头采集个人手势数据。使用OpenCV肤色检测技术自动定位手部区域并裁剪为正方形ROI，按0-5标注后加入训练集，使模型适配特定用户的个性化手势特征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合计训练数据：21600 + 4320 + 296 = 2616张（报告原文应为26216张）。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2.2 模型设计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本系统采用自定义的卷积神经网络CustomNet进行手势分类。模型架构如下：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输入层：3×64×64 RGB彩色图片。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特征提取模块（4个卷积块）：每个卷积块包含两层Conv2d卷积层（kernel_size=3, padding=1）、BatchNorm2d批归一化层、ReLU激活函数和MaxPool2d最大池化层。通道数依次为：3→32→64→128→256，空间尺寸依次缩小为：64→32→16→8→4。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全局池化层：AdaptiveAvgPool2d将特征图压缩为256维向量。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分类器：两层全连接网络（256→128→6），中间使用Dropout(0.5)和Dropout(0.3)防止过拟合，ReLU激活函数。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模型总参数量约为240万，结构紧凑，可在CPU上实现实时推理。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2.3 数据增强策略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为提升模型在真实场景下的鲁棒性，训练过程采用了多层次的数据增强策略：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（1）背景替换增强（RandomBackgroundReplace）：以65%概率将原始图片的浅色背景替换为随机纯色、渐变或高斯噪声背景，模拟真实摄像头拍摄时复杂背景环境。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（2）几何增强：RandomRotation（±25°旋转）、RandomAffine（±10%平移、85%-115%缩放）、RandomPerspective（透视变换）、RandomHorizontalFlip（水平翻转）。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（3）色彩增强：ColorJitter（亮度、对比度、饱和度各±30%随机抖动）。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（4）模糊增强：RandomBlur（15%概率高斯模糊，模拟摄像头失焦）。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2.4 训练配置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优化器：Adam，初始学习率 0.001；学习率调度：CosineAnnealingLR 余弦退火；损失函数：CrossEntropyLoss 交叉熵损失；批次大小：32；训练轮次：30 epochs；训练设备：CPU（Intel Core处理器）；训练数据总量：26216张（三源合并）。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2.5 实时识别系统设计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基于Flask Web框架搭建实时手势识别系统，后端加载训练好的CNN模型，前端提供摄像头实时识别和图片上传识别两种交互模式。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手部检测模块：采用OpenCV多色彩空间融合肤色检测技术。将RGB图像转换至YCrCb和HSV双色彩空间，分别在Cr∈[130,180]、Cb∈[70,135]和H∈[0,30]、S∈[15,180]范围内提取肤色区域，通过形态学闭运算与开运算去噪，取最大连通域作为手部候选区域，扩展为正方形ROI（边长×1.3）后裁剪送入CNN分类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置信度过滤：计算模型输出的softmax概率分布的最大值和香农熵。当最大概率≥50%且熵值≤1.50时判定为有效手势；否则判定为"未检测到手势"，有效避免了非手势画面的误识别。</w:t>
      </w:r>
    </w:p>
    <w:p>
      <w:pPr>
        <w:spacing w:line="312" w:lineRule="auto" w:before="240" w:after="120"/>
      </w:pPr>
      <w:r>
        <w:rPr>
          <w:rFonts w:ascii="Times New Roman" w:hAnsi="Times New Roman" w:eastAsia="黑体"/>
          <w:b w:val="0"/>
          <w:sz w:val="28"/>
        </w:rPr>
        <w:t>三、项目运行结果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3.1 模型训练结果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模型在26216张多源数据上训练30轮，训练过程如下表所示：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  <w:sz w:val="20"/>
              </w:rPr>
              <w:t>训练轮次 (Epoch)</w:t>
            </w:r>
          </w:p>
        </w:tc>
        <w:tc>
          <w:tcPr>
            <w:tcW w:type="dxa" w:w="4153"/>
          </w:tcPr>
          <w:p>
            <w:r>
              <w:rPr>
                <w:b/>
                <w:sz w:val="20"/>
              </w:rPr>
              <w:t>训练准确率 (Accuracy)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80.42%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96.51%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98.42%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99.08%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99.55%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99.78%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99.84%</w:t>
            </w:r>
          </w:p>
        </w:tc>
      </w:tr>
      <w:tr>
        <w:tc>
          <w:tcPr>
            <w:tcW w:type="dxa" w:w="4153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4153"/>
          </w:tcPr>
          <w:p>
            <w:r>
              <w:rPr>
                <w:sz w:val="20"/>
              </w:rPr>
              <w:t>99.81%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646464"/>
          <w:sz w:val="20"/>
        </w:rPr>
        <w:t>图1: 训练Loss与准确率曲线（30 Epochs）</w:t>
      </w:r>
    </w:p>
    <w:p/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最终模型在原始测试集（480张）上的测试准确率为97.08%（466/480正确分类），表明模型在保持原有数据集高准确率的同时，获得了对真实场景下多种手势姿态的良好泛化能力。</w:t>
      </w:r>
    </w:p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3.2 实时识别效果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启动Flask服务后，在浏览器访问http://127.0.0.1:5000即可进入交互界面。摄像头实时识别模式下，系统以500ms间隔自动截取视频帧，经肤色检测定位手部ROI后送入模型分类，实时显示预测数字、置信度及各分类概率柱状图。上传识别模式下，支持点击或拖拽上传本地手势图片，系统自动调整至64×64分辨率后完成推理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测试结果表明，系统对手势0、1、4、5的识别准确率接近100%，手势2与3之间存在少量交叉混淆（约5%-8%），这主要是由于二维手指和三根手指在低分辨率下的视觉相似性所致，属于手势识别领域的共性问题。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混淆矩阵（测试集480张）：手势0、1、4、5各80张全部正确分类；手势2：76/80正确（4张误判为手势1）；手势3：68/80正确（12张误判为手势2）。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0707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070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646464"/>
          <w:sz w:val="20"/>
        </w:rPr>
        <w:t>图2: 混淆矩阵（测试集480张，准确率97.08%）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accurac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646464"/>
          <w:sz w:val="20"/>
        </w:rPr>
        <w:t>图3: 各类别测试准确率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7920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ame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92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646464"/>
          <w:sz w:val="20"/>
        </w:rPr>
        <w:t>图4: 摄像头实时识别界面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9733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uplo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73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646464"/>
          <w:sz w:val="20"/>
        </w:rPr>
        <w:t>图5: 图片上传识别界面</w:t>
      </w:r>
    </w:p>
    <w:p/>
    <w:p>
      <w:pPr>
        <w:spacing w:line="312" w:lineRule="auto" w:before="160" w:after="80"/>
      </w:pPr>
      <w:r>
        <w:rPr>
          <w:rFonts w:ascii="Times New Roman" w:hAnsi="Times New Roman" w:eastAsia="宋体"/>
          <w:b/>
          <w:sz w:val="24"/>
        </w:rPr>
        <w:t>3.3 核心代码说明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以下为系统关键代码模块：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（1）model.py - 模型定义：定义了CustomNet类，包含4个卷积块和2层全连接分类器。每层使用BatchNorm加速收敛，Dropout防止过拟合。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（2）train.py / train_final.py - 训练流程：实现了完整的训练循环，包含前向传播、损失计算、反向传播和参数更新。支持数据增强、学习率调度和模型保存。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（3）app.py - Web应用后端：基于Flask加载训练好的模型，提供/predict API接口。集成了OpenCV肤色检测模块，自动定位手部ROI区域。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（4）templates/index.html - 前端界面：提供摄像头实时识别（支持手动和自动模式）、图片拖拽上传识别两种交互方式，实时显示预测结果和概率分布。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（5）capture_data.py - 数据采集工具：利用本地摄像头采集个人手势图片，按0-5分类保存，自动生成标注文件。</w:t>
      </w:r>
    </w:p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（6）prepare_kaggle.py - 外部数据预处理：解析Kaggle数据集文件名中的标签信息，生成统一格式的训练标注文件。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7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646464"/>
          <w:sz w:val="20"/>
        </w:rPr>
        <w:t>图6: GitHub代码仓库</w:t>
      </w:r>
    </w:p>
    <w:p/>
    <w:p>
      <w:pPr>
        <w:spacing w:line="312" w:lineRule="auto" w:before="0" w:after="60"/>
      </w:pPr>
      <w:r>
        <w:rPr>
          <w:rFonts w:ascii="Times New Roman" w:hAnsi="Times New Roman" w:eastAsia="宋体"/>
          <w:b w:val="0"/>
          <w:sz w:val="24"/>
        </w:rPr>
        <w:t>代码仓库地址：https://github.com/amxlly1/gesture-recognition</w:t>
      </w:r>
    </w:p>
    <w:p>
      <w:pPr>
        <w:spacing w:line="312" w:lineRule="auto" w:before="240" w:after="120"/>
      </w:pPr>
      <w:r>
        <w:rPr>
          <w:rFonts w:ascii="Times New Roman" w:hAnsi="Times New Roman" w:eastAsia="黑体"/>
          <w:b w:val="0"/>
          <w:sz w:val="28"/>
        </w:rPr>
        <w:t>四、总结与体会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通过本次实训项目，我深入学习了深度学习在计算机视觉领域的完整应用流程，从数据集构建、模型设计、训练优化到Web应用部署，全面掌握了基于CNN的图像分类技术。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在项目实施过程中，我深刻体会到以下几点：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第一，数据是深度学习模型的核心。初始模型仅使用4320张标准数据集训练，在真实摄像头画面上几乎无法识别。通过引入Kaggle公开数据集（21600张）和自我采集数据（296张），并采用背景替换等强数据增强策略，最终模型的泛化能力得到了质的提升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第二，模型设计需要在准确率和效率之间取得平衡。本系统采用的4层CNN结构在CPU上即可实现实时推理（单次推理&lt;50ms），同时保持了97%以上的分类准确率，达到了实用化的性能要求。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第三，工程化思维至关重要。除了模型本身，还需要考虑手部检测、置信度过滤、前端交互等环节。通过OpenCV肤色检测+置信度双阈值过滤，有效解决了非手势画面的误识别问题。Flask Web框架的引入使模型能够方便地部署为可交互的应用，极大提升了用户体验。</w:t>
      </w:r>
    </w:p>
    <w:p>
      <w:pPr>
        <w:spacing w:line="312" w:lineRule="auto" w:before="0" w:after="60"/>
        <w:ind w:firstLine="420"/>
      </w:pPr>
      <w:r>
        <w:rPr>
          <w:rFonts w:ascii="Times New Roman" w:hAnsi="Times New Roman" w:eastAsia="宋体"/>
          <w:b w:val="0"/>
          <w:sz w:val="24"/>
        </w:rPr>
        <w:t>本次实训让我认识到，一个完整的人工智能系统不仅仅是训练一个高准确率的模型，更需要在数据处理、系统设计、用户体验等方面综合考虑。这些经验对我今后的学习和研究具有重要的指导意义。</w:t>
      </w:r>
    </w:p>
    <w:sectPr w:rsidR="00D0246B" w:rsidRPr="00D0246B" w:rsidSect="00541EF3">
      <w:headerReference w:type="default" r:id="rId7"/>
      <w:footerReference w:type="default" r:id="rId8"/>
      <w:headerReference w:type="first" r:id="rId9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53685" w14:textId="77777777" w:rsidR="009D002C" w:rsidRDefault="009D002C" w:rsidP="00541EF3">
      <w:r>
        <w:separator/>
      </w:r>
    </w:p>
  </w:endnote>
  <w:endnote w:type="continuationSeparator" w:id="0">
    <w:p w14:paraId="2A252D23" w14:textId="77777777" w:rsidR="009D002C" w:rsidRDefault="009D002C" w:rsidP="00541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1674772489"/>
      <w:docPartObj>
        <w:docPartGallery w:val="Page Numbers (Bottom of Page)"/>
        <w:docPartUnique/>
      </w:docPartObj>
    </w:sdtPr>
    <w:sdtEndPr/>
    <w:sdtContent>
      <w:p w14:paraId="293DDB8E" w14:textId="751140A7" w:rsidR="00541EF3" w:rsidRPr="00541EF3" w:rsidRDefault="00541EF3">
        <w:pPr>
          <w:pStyle w:val="a5"/>
          <w:jc w:val="center"/>
          <w:rPr>
            <w:rFonts w:ascii="Times New Roman" w:hAnsi="Times New Roman" w:cs="Times New Roman"/>
          </w:rPr>
        </w:pPr>
        <w:r w:rsidRPr="00541EF3">
          <w:rPr>
            <w:rFonts w:ascii="Times New Roman" w:hAnsi="Times New Roman" w:cs="Times New Roman"/>
          </w:rPr>
          <w:fldChar w:fldCharType="begin"/>
        </w:r>
        <w:r w:rsidRPr="00541EF3">
          <w:rPr>
            <w:rFonts w:ascii="Times New Roman" w:hAnsi="Times New Roman" w:cs="Times New Roman"/>
          </w:rPr>
          <w:instrText>PAGE   \* MERGEFORMAT</w:instrText>
        </w:r>
        <w:r w:rsidRPr="00541EF3">
          <w:rPr>
            <w:rFonts w:ascii="Times New Roman" w:hAnsi="Times New Roman" w:cs="Times New Roman"/>
          </w:rPr>
          <w:fldChar w:fldCharType="separate"/>
        </w:r>
        <w:r w:rsidRPr="00541EF3">
          <w:rPr>
            <w:rFonts w:ascii="Times New Roman" w:hAnsi="Times New Roman" w:cs="Times New Roman"/>
            <w:lang w:val="zh-CN"/>
          </w:rPr>
          <w:t>2</w:t>
        </w:r>
        <w:r w:rsidRPr="00541EF3">
          <w:rPr>
            <w:rFonts w:ascii="Times New Roman" w:hAnsi="Times New Roman" w:cs="Times New Roman"/>
          </w:rPr>
          <w:fldChar w:fldCharType="end"/>
        </w:r>
      </w:p>
    </w:sdtContent>
  </w:sdt>
  <w:p w14:paraId="72DE4EA8" w14:textId="77777777" w:rsidR="00541EF3" w:rsidRPr="00541EF3" w:rsidRDefault="00541EF3">
    <w:pPr>
      <w:pStyle w:val="a5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5470E" w14:textId="77777777" w:rsidR="009D002C" w:rsidRDefault="009D002C" w:rsidP="00541EF3">
      <w:r>
        <w:separator/>
      </w:r>
    </w:p>
  </w:footnote>
  <w:footnote w:type="continuationSeparator" w:id="0">
    <w:p w14:paraId="4A72ED15" w14:textId="77777777" w:rsidR="009D002C" w:rsidRDefault="009D002C" w:rsidP="00541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C7EB5" w14:textId="3BC09610" w:rsidR="00541EF3" w:rsidRPr="00541EF3" w:rsidRDefault="00541EF3">
    <w:pPr>
      <w:pStyle w:val="a3"/>
      <w:rPr>
        <w:rFonts w:ascii="宋体" w:eastAsia="宋体" w:hAnsi="宋体"/>
      </w:rPr>
    </w:pPr>
    <w:r w:rsidRPr="00541EF3">
      <w:rPr>
        <w:rFonts w:ascii="宋体" w:eastAsia="宋体" w:hAnsi="宋体" w:hint="eastAsia"/>
      </w:rPr>
      <w:t>神经网络与深度学习实训报告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98F673" w14:textId="77777777" w:rsidR="00541EF3" w:rsidRDefault="00541EF3" w:rsidP="00541EF3">
    <w:pPr>
      <w:pStyle w:val="a3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A8"/>
    <w:rsid w:val="00541EF3"/>
    <w:rsid w:val="008D25A8"/>
    <w:rsid w:val="009D002C"/>
    <w:rsid w:val="00B7633B"/>
    <w:rsid w:val="00BB1681"/>
    <w:rsid w:val="00D0246B"/>
    <w:rsid w:val="00D64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E226D"/>
  <w15:chartTrackingRefBased/>
  <w15:docId w15:val="{1D92AF82-1A9F-4A33-9BFA-1B814FAB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1E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41EF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41E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41EF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fuwen</cp:lastModifiedBy>
  <cp:revision>4</cp:revision>
  <dcterms:created xsi:type="dcterms:W3CDTF">2024-06-26T07:33:00Z</dcterms:created>
  <dcterms:modified xsi:type="dcterms:W3CDTF">2026-06-28T23:48:00Z</dcterms:modified>
</cp:coreProperties>
</file>