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11A" w:rsidRDefault="003C711A" w:rsidP="003C711A">
      <w:r>
        <w:rPr>
          <w:rFonts w:hint="eastAsia"/>
        </w:rPr>
        <w:t>HW1 report</w:t>
      </w:r>
      <w:r>
        <w:t>:</w:t>
      </w:r>
    </w:p>
    <w:p w:rsidR="003C711A" w:rsidRDefault="003C711A" w:rsidP="003C711A">
      <w:r>
        <w:t>Given the provided data, what are three conclusions we can draw about Kickstarter campaigns?</w:t>
      </w:r>
    </w:p>
    <w:p w:rsidR="00BC6AF2" w:rsidRDefault="003C711A" w:rsidP="003C711A">
      <w:pPr>
        <w:pStyle w:val="ListParagraph"/>
        <w:numPr>
          <w:ilvl w:val="0"/>
          <w:numId w:val="1"/>
        </w:numPr>
      </w:pPr>
      <w:r>
        <w:t>Success</w:t>
      </w:r>
      <w:r w:rsidR="00F86E93">
        <w:t xml:space="preserve">ful project </w:t>
      </w:r>
      <w:r w:rsidR="00BC6AF2">
        <w:t>decreased sharply towards the end of the year, especially from November to December. Frist conclusion would be start Kickstarter project at first half of the year and try to avoid start it November or December.</w:t>
      </w:r>
    </w:p>
    <w:p w:rsidR="003C711A" w:rsidRDefault="00BC6AF2" w:rsidP="00BC6AF2">
      <w:pPr>
        <w:ind w:left="360"/>
      </w:pPr>
      <w:r>
        <w:t xml:space="preserve"> </w:t>
      </w:r>
    </w:p>
    <w:p w:rsidR="003C711A" w:rsidRDefault="003C711A" w:rsidP="003C711A">
      <w:r>
        <w:rPr>
          <w:noProof/>
        </w:rPr>
        <w:drawing>
          <wp:inline distT="0" distB="0" distL="0" distR="0" wp14:anchorId="63C9FE1A" wp14:editId="5726249A">
            <wp:extent cx="5772150" cy="2743200"/>
            <wp:effectExtent l="0" t="0" r="0" b="0"/>
            <wp:docPr id="1" name="Chart 1">
              <a:extLst xmlns:a="http://schemas.openxmlformats.org/drawingml/2006/main">
                <a:ext uri="{FF2B5EF4-FFF2-40B4-BE49-F238E27FC236}">
                  <a16:creationId xmlns:a16="http://schemas.microsoft.com/office/drawing/2014/main" id="{1EDC1C49-2ABB-4450-B79A-2F7A4EE8D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C6AF2" w:rsidRDefault="00BC6AF2" w:rsidP="00BC6AF2">
      <w:pPr>
        <w:pStyle w:val="ListParagraph"/>
        <w:numPr>
          <w:ilvl w:val="0"/>
          <w:numId w:val="1"/>
        </w:numPr>
      </w:pPr>
      <w:r>
        <w:t>Plays has the most failed project and successful project amount but it is a competitive filed to start the project. Second conclusion would be to choose less competitive filed to with high successful rate, classical music, hardware etc.</w:t>
      </w:r>
    </w:p>
    <w:p w:rsidR="003C711A" w:rsidRDefault="003C711A" w:rsidP="003C711A">
      <w:r>
        <w:rPr>
          <w:noProof/>
        </w:rPr>
        <w:drawing>
          <wp:inline distT="0" distB="0" distL="0" distR="0" wp14:anchorId="0AC18669" wp14:editId="2769549F">
            <wp:extent cx="5781675" cy="2552700"/>
            <wp:effectExtent l="0" t="0" r="9525" b="0"/>
            <wp:docPr id="2" name="Chart 2">
              <a:extLst xmlns:a="http://schemas.openxmlformats.org/drawingml/2006/main">
                <a:ext uri="{FF2B5EF4-FFF2-40B4-BE49-F238E27FC236}">
                  <a16:creationId xmlns:a16="http://schemas.microsoft.com/office/drawing/2014/main" id="{A0DC03BA-E69A-411F-A5F7-AE1761C8E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C6AF2" w:rsidRDefault="00BC6AF2" w:rsidP="003C711A">
      <w:pPr>
        <w:rPr>
          <w:b/>
        </w:rPr>
      </w:pPr>
    </w:p>
    <w:p w:rsidR="00BC6AF2" w:rsidRDefault="00BC6AF2" w:rsidP="003C711A">
      <w:pPr>
        <w:rPr>
          <w:b/>
        </w:rPr>
      </w:pPr>
    </w:p>
    <w:p w:rsidR="00BC6AF2" w:rsidRPr="00BC6AF2" w:rsidRDefault="00BC6AF2" w:rsidP="00BC6AF2">
      <w:pPr>
        <w:pStyle w:val="ListParagraph"/>
        <w:numPr>
          <w:ilvl w:val="0"/>
          <w:numId w:val="1"/>
        </w:numPr>
        <w:rPr>
          <w:b/>
        </w:rPr>
      </w:pPr>
      <w:r>
        <w:lastRenderedPageBreak/>
        <w:t xml:space="preserve">Journalism has very few projects and </w:t>
      </w:r>
      <w:r w:rsidR="007E1133">
        <w:t xml:space="preserve">no successful project while music has a relatively high success rate, to increase the chance of a journalism project to </w:t>
      </w:r>
      <w:proofErr w:type="spellStart"/>
      <w:r w:rsidR="007E1133">
        <w:t>got</w:t>
      </w:r>
      <w:proofErr w:type="spellEnd"/>
      <w:r w:rsidR="007E1133">
        <w:t xml:space="preserve"> selected would be to incorporate other higher success rate project category factors.</w:t>
      </w:r>
    </w:p>
    <w:p w:rsidR="003C711A" w:rsidRPr="003C711A" w:rsidRDefault="003C711A" w:rsidP="003C711A">
      <w:pPr>
        <w:rPr>
          <w:b/>
        </w:rPr>
      </w:pPr>
      <w:r>
        <w:rPr>
          <w:noProof/>
        </w:rPr>
        <w:drawing>
          <wp:inline distT="0" distB="0" distL="0" distR="0" wp14:anchorId="0A3BEE86" wp14:editId="383A450D">
            <wp:extent cx="4572000" cy="2743200"/>
            <wp:effectExtent l="0" t="0" r="0" b="0"/>
            <wp:docPr id="3" name="Chart 3">
              <a:extLst xmlns:a="http://schemas.openxmlformats.org/drawingml/2006/main">
                <a:ext uri="{FF2B5EF4-FFF2-40B4-BE49-F238E27FC236}">
                  <a16:creationId xmlns:a16="http://schemas.microsoft.com/office/drawing/2014/main" id="{4583ADF5-74B0-489B-B8E0-962980A53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711A" w:rsidRDefault="003C711A" w:rsidP="003C711A">
      <w:r>
        <w:t>What are some limitations of this dataset?</w:t>
      </w:r>
    </w:p>
    <w:p w:rsidR="007E1133" w:rsidRDefault="007E1133" w:rsidP="003C711A">
      <w:r>
        <w:t>It doesn’t have project starter experience level</w:t>
      </w:r>
      <w:r w:rsidR="00C36F99">
        <w:t xml:space="preserve"> included.</w:t>
      </w:r>
      <w:r>
        <w:t xml:space="preserve"> if same person/group has successfully </w:t>
      </w:r>
      <w:r w:rsidR="00C36F99">
        <w:t>started one project, it could be easier to start another one. The experience level could be one variable determine whether the project succeed.</w:t>
      </w:r>
    </w:p>
    <w:p w:rsidR="00C36F99" w:rsidRDefault="008C034D" w:rsidP="003C711A">
      <w:r>
        <w:t xml:space="preserve">Location by city </w:t>
      </w:r>
      <w:r w:rsidR="00772503">
        <w:t>could impact success rate but not included.</w:t>
      </w:r>
    </w:p>
    <w:p w:rsidR="00C36F99" w:rsidRDefault="00C36F99" w:rsidP="003C711A"/>
    <w:p w:rsidR="006544C9" w:rsidRDefault="003C711A" w:rsidP="003C711A">
      <w:r>
        <w:t>What are some other possible tables and/or graphs that we could create?</w:t>
      </w:r>
    </w:p>
    <w:p w:rsidR="00772503" w:rsidRDefault="00772503" w:rsidP="003C711A">
      <w:r>
        <w:t>Success trend by categories and sub categories.</w:t>
      </w:r>
      <w:bookmarkStart w:id="0" w:name="_GoBack"/>
      <w:bookmarkEnd w:id="0"/>
      <w:r>
        <w:t xml:space="preserve"> </w:t>
      </w:r>
    </w:p>
    <w:sectPr w:rsidR="0077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471AF"/>
    <w:multiLevelType w:val="hybridMultilevel"/>
    <w:tmpl w:val="261A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1A"/>
    <w:rsid w:val="003C711A"/>
    <w:rsid w:val="006544C9"/>
    <w:rsid w:val="00772503"/>
    <w:rsid w:val="007E1133"/>
    <w:rsid w:val="008C034D"/>
    <w:rsid w:val="00BC6AF2"/>
    <w:rsid w:val="00C36F99"/>
    <w:rsid w:val="00F86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91D6"/>
  <w15:chartTrackingRefBased/>
  <w15:docId w15:val="{4BED9498-35CE-480F-B20E-40CDC8B5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liu\Desktop\bootcamp\6.7.2019%20bootcamp_hw\StarterBook_Amy_Liu%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liu\Desktop\bootcamp\6.7.2019%20bootcamp_hw\StarterBook_Amy_Liu%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liu\Desktop\bootcamp\6.7.2019%20bootcamp_hw\StarterBook_Amy_Liu%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[StarterBook_Amy_Liu .xlsx]PIVOT3!PivotTable4</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PIVOT3!$B$5:$B$6</c:f>
              <c:strCache>
                <c:ptCount val="1"/>
                <c:pt idx="0">
                  <c:v>canceled</c:v>
                </c:pt>
              </c:strCache>
            </c:strRef>
          </c:tx>
          <c:spPr>
            <a:ln w="28575" cap="rnd">
              <a:solidFill>
                <a:schemeClr val="accent1"/>
              </a:solidFill>
              <a:round/>
            </a:ln>
            <a:effectLst/>
          </c:spPr>
          <c:marker>
            <c:symbol val="none"/>
          </c:marker>
          <c:cat>
            <c:strRef>
              <c:f>PIVOT3!$A$7:$A$20</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PIVOT3!$B$7:$B$20</c:f>
              <c:numCache>
                <c:formatCode>General</c:formatCode>
                <c:ptCount val="13"/>
                <c:pt idx="1">
                  <c:v>34</c:v>
                </c:pt>
                <c:pt idx="2">
                  <c:v>27</c:v>
                </c:pt>
                <c:pt idx="3">
                  <c:v>28</c:v>
                </c:pt>
                <c:pt idx="4">
                  <c:v>27</c:v>
                </c:pt>
                <c:pt idx="5">
                  <c:v>26</c:v>
                </c:pt>
                <c:pt idx="6">
                  <c:v>27</c:v>
                </c:pt>
                <c:pt idx="7">
                  <c:v>44</c:v>
                </c:pt>
                <c:pt idx="8">
                  <c:v>32</c:v>
                </c:pt>
                <c:pt idx="9">
                  <c:v>24</c:v>
                </c:pt>
                <c:pt idx="10">
                  <c:v>20</c:v>
                </c:pt>
                <c:pt idx="11">
                  <c:v>37</c:v>
                </c:pt>
                <c:pt idx="12">
                  <c:v>23</c:v>
                </c:pt>
              </c:numCache>
            </c:numRef>
          </c:val>
          <c:smooth val="0"/>
          <c:extLst>
            <c:ext xmlns:c16="http://schemas.microsoft.com/office/drawing/2014/chart" uri="{C3380CC4-5D6E-409C-BE32-E72D297353CC}">
              <c16:uniqueId val="{00000000-E166-4E7B-84CC-F40F4013B3A5}"/>
            </c:ext>
          </c:extLst>
        </c:ser>
        <c:ser>
          <c:idx val="1"/>
          <c:order val="1"/>
          <c:tx>
            <c:strRef>
              <c:f>PIVOT3!$C$5:$C$6</c:f>
              <c:strCache>
                <c:ptCount val="1"/>
                <c:pt idx="0">
                  <c:v>failed</c:v>
                </c:pt>
              </c:strCache>
            </c:strRef>
          </c:tx>
          <c:spPr>
            <a:ln w="28575" cap="rnd">
              <a:solidFill>
                <a:schemeClr val="accent2"/>
              </a:solidFill>
              <a:round/>
            </a:ln>
            <a:effectLst/>
          </c:spPr>
          <c:marker>
            <c:symbol val="none"/>
          </c:marker>
          <c:cat>
            <c:strRef>
              <c:f>PIVOT3!$A$7:$A$20</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PIVOT3!$C$7:$C$20</c:f>
              <c:numCache>
                <c:formatCode>General</c:formatCode>
                <c:ptCount val="13"/>
                <c:pt idx="1">
                  <c:v>149</c:v>
                </c:pt>
                <c:pt idx="2">
                  <c:v>105</c:v>
                </c:pt>
                <c:pt idx="3">
                  <c:v>108</c:v>
                </c:pt>
                <c:pt idx="4">
                  <c:v>103</c:v>
                </c:pt>
                <c:pt idx="5">
                  <c:v>126</c:v>
                </c:pt>
                <c:pt idx="6">
                  <c:v>148</c:v>
                </c:pt>
                <c:pt idx="7">
                  <c:v>148</c:v>
                </c:pt>
                <c:pt idx="8">
                  <c:v>134</c:v>
                </c:pt>
                <c:pt idx="9">
                  <c:v>127</c:v>
                </c:pt>
                <c:pt idx="10">
                  <c:v>150</c:v>
                </c:pt>
                <c:pt idx="11">
                  <c:v>113</c:v>
                </c:pt>
                <c:pt idx="12">
                  <c:v>119</c:v>
                </c:pt>
              </c:numCache>
            </c:numRef>
          </c:val>
          <c:smooth val="0"/>
          <c:extLst>
            <c:ext xmlns:c16="http://schemas.microsoft.com/office/drawing/2014/chart" uri="{C3380CC4-5D6E-409C-BE32-E72D297353CC}">
              <c16:uniqueId val="{00000001-E166-4E7B-84CC-F40F4013B3A5}"/>
            </c:ext>
          </c:extLst>
        </c:ser>
        <c:ser>
          <c:idx val="2"/>
          <c:order val="2"/>
          <c:tx>
            <c:strRef>
              <c:f>PIVOT3!$D$5:$D$6</c:f>
              <c:strCache>
                <c:ptCount val="1"/>
                <c:pt idx="0">
                  <c:v>live</c:v>
                </c:pt>
              </c:strCache>
            </c:strRef>
          </c:tx>
          <c:spPr>
            <a:ln w="28575" cap="rnd">
              <a:solidFill>
                <a:schemeClr val="accent3"/>
              </a:solidFill>
              <a:round/>
            </a:ln>
            <a:effectLst/>
          </c:spPr>
          <c:marker>
            <c:symbol val="none"/>
          </c:marker>
          <c:cat>
            <c:strRef>
              <c:f>PIVOT3!$A$7:$A$20</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PIVOT3!$D$7:$D$20</c:f>
              <c:numCache>
                <c:formatCode>General</c:formatCode>
                <c:ptCount val="13"/>
                <c:pt idx="1">
                  <c:v>2</c:v>
                </c:pt>
                <c:pt idx="2">
                  <c:v>18</c:v>
                </c:pt>
                <c:pt idx="3">
                  <c:v>30</c:v>
                </c:pt>
              </c:numCache>
            </c:numRef>
          </c:val>
          <c:smooth val="0"/>
          <c:extLst>
            <c:ext xmlns:c16="http://schemas.microsoft.com/office/drawing/2014/chart" uri="{C3380CC4-5D6E-409C-BE32-E72D297353CC}">
              <c16:uniqueId val="{00000002-E166-4E7B-84CC-F40F4013B3A5}"/>
            </c:ext>
          </c:extLst>
        </c:ser>
        <c:ser>
          <c:idx val="3"/>
          <c:order val="3"/>
          <c:tx>
            <c:strRef>
              <c:f>PIVOT3!$E$5:$E$6</c:f>
              <c:strCache>
                <c:ptCount val="1"/>
                <c:pt idx="0">
                  <c:v>successful</c:v>
                </c:pt>
              </c:strCache>
            </c:strRef>
          </c:tx>
          <c:spPr>
            <a:ln w="28575" cap="rnd">
              <a:solidFill>
                <a:schemeClr val="accent4"/>
              </a:solidFill>
              <a:round/>
            </a:ln>
            <a:effectLst/>
          </c:spPr>
          <c:marker>
            <c:symbol val="none"/>
          </c:marker>
          <c:cat>
            <c:strRef>
              <c:f>PIVOT3!$A$7:$A$20</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PIVOT3!$E$7:$E$20</c:f>
              <c:numCache>
                <c:formatCode>General</c:formatCode>
                <c:ptCount val="13"/>
                <c:pt idx="1">
                  <c:v>183</c:v>
                </c:pt>
                <c:pt idx="2">
                  <c:v>202</c:v>
                </c:pt>
                <c:pt idx="3">
                  <c:v>179</c:v>
                </c:pt>
                <c:pt idx="4">
                  <c:v>193</c:v>
                </c:pt>
                <c:pt idx="5">
                  <c:v>233</c:v>
                </c:pt>
                <c:pt idx="6">
                  <c:v>213</c:v>
                </c:pt>
                <c:pt idx="7">
                  <c:v>192</c:v>
                </c:pt>
                <c:pt idx="8">
                  <c:v>167</c:v>
                </c:pt>
                <c:pt idx="9">
                  <c:v>148</c:v>
                </c:pt>
                <c:pt idx="10">
                  <c:v>184</c:v>
                </c:pt>
                <c:pt idx="11">
                  <c:v>180</c:v>
                </c:pt>
                <c:pt idx="12">
                  <c:v>111</c:v>
                </c:pt>
              </c:numCache>
            </c:numRef>
          </c:val>
          <c:smooth val="0"/>
          <c:extLst>
            <c:ext xmlns:c16="http://schemas.microsoft.com/office/drawing/2014/chart" uri="{C3380CC4-5D6E-409C-BE32-E72D297353CC}">
              <c16:uniqueId val="{00000003-E166-4E7B-84CC-F40F4013B3A5}"/>
            </c:ext>
          </c:extLst>
        </c:ser>
        <c:ser>
          <c:idx val="4"/>
          <c:order val="4"/>
          <c:tx>
            <c:strRef>
              <c:f>PIVOT3!$F$5:$F$6</c:f>
              <c:strCache>
                <c:ptCount val="1"/>
                <c:pt idx="0">
                  <c:v>(blank)</c:v>
                </c:pt>
              </c:strCache>
            </c:strRef>
          </c:tx>
          <c:spPr>
            <a:ln w="28575" cap="rnd">
              <a:solidFill>
                <a:schemeClr val="accent5"/>
              </a:solidFill>
              <a:round/>
            </a:ln>
            <a:effectLst/>
          </c:spPr>
          <c:marker>
            <c:symbol val="none"/>
          </c:marker>
          <c:cat>
            <c:strRef>
              <c:f>PIVOT3!$A$7:$A$20</c:f>
              <c:strCache>
                <c:ptCount val="13"/>
                <c:pt idx="0">
                  <c:v>(blank)</c:v>
                </c:pt>
                <c:pt idx="1">
                  <c:v>Jan</c:v>
                </c:pt>
                <c:pt idx="2">
                  <c:v>Feb</c:v>
                </c:pt>
                <c:pt idx="3">
                  <c:v>Mar</c:v>
                </c:pt>
                <c:pt idx="4">
                  <c:v>Apr</c:v>
                </c:pt>
                <c:pt idx="5">
                  <c:v>May</c:v>
                </c:pt>
                <c:pt idx="6">
                  <c:v>Jun</c:v>
                </c:pt>
                <c:pt idx="7">
                  <c:v>Jul</c:v>
                </c:pt>
                <c:pt idx="8">
                  <c:v>Aug</c:v>
                </c:pt>
                <c:pt idx="9">
                  <c:v>Sep</c:v>
                </c:pt>
                <c:pt idx="10">
                  <c:v>Oct</c:v>
                </c:pt>
                <c:pt idx="11">
                  <c:v>Nov</c:v>
                </c:pt>
                <c:pt idx="12">
                  <c:v>Dec</c:v>
                </c:pt>
              </c:strCache>
            </c:strRef>
          </c:cat>
          <c:val>
            <c:numRef>
              <c:f>PIVOT3!$F$7:$F$20</c:f>
              <c:numCache>
                <c:formatCode>General</c:formatCode>
                <c:ptCount val="13"/>
              </c:numCache>
            </c:numRef>
          </c:val>
          <c:smooth val="0"/>
          <c:extLst>
            <c:ext xmlns:c16="http://schemas.microsoft.com/office/drawing/2014/chart" uri="{C3380CC4-5D6E-409C-BE32-E72D297353CC}">
              <c16:uniqueId val="{00000004-E166-4E7B-84CC-F40F4013B3A5}"/>
            </c:ext>
          </c:extLst>
        </c:ser>
        <c:dLbls>
          <c:showLegendKey val="0"/>
          <c:showVal val="0"/>
          <c:showCatName val="0"/>
          <c:showSerName val="0"/>
          <c:showPercent val="0"/>
          <c:showBubbleSize val="0"/>
        </c:dLbls>
        <c:smooth val="0"/>
        <c:axId val="864595744"/>
        <c:axId val="864596400"/>
      </c:lineChart>
      <c:catAx>
        <c:axId val="86459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596400"/>
        <c:crosses val="autoZero"/>
        <c:auto val="1"/>
        <c:lblAlgn val="ctr"/>
        <c:lblOffset val="100"/>
        <c:noMultiLvlLbl val="0"/>
      </c:catAx>
      <c:valAx>
        <c:axId val="86459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595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[StarterBook_Amy_Liu .xlsx]PIVOT2!PivotTable2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PIVOT2!$B$4:$B$5</c:f>
              <c:strCache>
                <c:ptCount val="1"/>
                <c:pt idx="0">
                  <c:v>canceled</c:v>
                </c:pt>
              </c:strCache>
            </c:strRef>
          </c:tx>
          <c:spPr>
            <a:solidFill>
              <a:schemeClr val="accent1"/>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1FFA-471F-A2E7-61CEEB80AD14}"/>
            </c:ext>
          </c:extLst>
        </c:ser>
        <c:ser>
          <c:idx val="1"/>
          <c:order val="1"/>
          <c:tx>
            <c:strRef>
              <c:f>PIVOT2!$C$4:$C$5</c:f>
              <c:strCache>
                <c:ptCount val="1"/>
                <c:pt idx="0">
                  <c:v>failed</c:v>
                </c:pt>
              </c:strCache>
            </c:strRef>
          </c:tx>
          <c:spPr>
            <a:solidFill>
              <a:schemeClr val="accent2"/>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1FFA-471F-A2E7-61CEEB80AD14}"/>
            </c:ext>
          </c:extLst>
        </c:ser>
        <c:ser>
          <c:idx val="2"/>
          <c:order val="2"/>
          <c:tx>
            <c:strRef>
              <c:f>PIVOT2!$D$4:$D$5</c:f>
              <c:strCache>
                <c:ptCount val="1"/>
                <c:pt idx="0">
                  <c:v>live</c:v>
                </c:pt>
              </c:strCache>
            </c:strRef>
          </c:tx>
          <c:spPr>
            <a:solidFill>
              <a:schemeClr val="accent3"/>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1FFA-471F-A2E7-61CEEB80AD14}"/>
            </c:ext>
          </c:extLst>
        </c:ser>
        <c:ser>
          <c:idx val="3"/>
          <c:order val="3"/>
          <c:tx>
            <c:strRef>
              <c:f>PIVOT2!$E$4:$E$5</c:f>
              <c:strCache>
                <c:ptCount val="1"/>
                <c:pt idx="0">
                  <c:v>successful</c:v>
                </c:pt>
              </c:strCache>
            </c:strRef>
          </c:tx>
          <c:spPr>
            <a:solidFill>
              <a:schemeClr val="accent4"/>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1FFA-471F-A2E7-61CEEB80AD14}"/>
            </c:ext>
          </c:extLst>
        </c:ser>
        <c:dLbls>
          <c:showLegendKey val="0"/>
          <c:showVal val="0"/>
          <c:showCatName val="0"/>
          <c:showSerName val="0"/>
          <c:showPercent val="0"/>
          <c:showBubbleSize val="0"/>
        </c:dLbls>
        <c:gapWidth val="150"/>
        <c:overlap val="100"/>
        <c:axId val="864577704"/>
        <c:axId val="864580656"/>
      </c:barChart>
      <c:catAx>
        <c:axId val="864577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580656"/>
        <c:crosses val="autoZero"/>
        <c:auto val="1"/>
        <c:lblAlgn val="ctr"/>
        <c:lblOffset val="100"/>
        <c:noMultiLvlLbl val="0"/>
      </c:catAx>
      <c:valAx>
        <c:axId val="86458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577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[StarterBook_Amy_Liu .xlsx]PIVOT1!PivotTable1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PIVOT1!$B$3:$B$4</c:f>
              <c:strCache>
                <c:ptCount val="1"/>
                <c:pt idx="0">
                  <c:v>canceled</c:v>
                </c:pt>
              </c:strCache>
            </c:strRef>
          </c:tx>
          <c:spPr>
            <a:solidFill>
              <a:schemeClr val="accent1"/>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C837-4357-ABB2-1DE154B9115A}"/>
            </c:ext>
          </c:extLst>
        </c:ser>
        <c:ser>
          <c:idx val="1"/>
          <c:order val="1"/>
          <c:tx>
            <c:strRef>
              <c:f>PIVOT1!$C$3:$C$4</c:f>
              <c:strCache>
                <c:ptCount val="1"/>
                <c:pt idx="0">
                  <c:v>failed</c:v>
                </c:pt>
              </c:strCache>
            </c:strRef>
          </c:tx>
          <c:spPr>
            <a:solidFill>
              <a:schemeClr val="accent2"/>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C837-4357-ABB2-1DE154B9115A}"/>
            </c:ext>
          </c:extLst>
        </c:ser>
        <c:ser>
          <c:idx val="2"/>
          <c:order val="2"/>
          <c:tx>
            <c:strRef>
              <c:f>PIVOT1!$D$3:$D$4</c:f>
              <c:strCache>
                <c:ptCount val="1"/>
                <c:pt idx="0">
                  <c:v>live</c:v>
                </c:pt>
              </c:strCache>
            </c:strRef>
          </c:tx>
          <c:spPr>
            <a:solidFill>
              <a:schemeClr val="accent3"/>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PIVOT1!$D$5:$D$14</c:f>
              <c:numCache>
                <c:formatCode>General</c:formatCode>
                <c:ptCount val="9"/>
                <c:pt idx="1">
                  <c:v>6</c:v>
                </c:pt>
                <c:pt idx="4">
                  <c:v>20</c:v>
                </c:pt>
                <c:pt idx="8">
                  <c:v>24</c:v>
                </c:pt>
              </c:numCache>
            </c:numRef>
          </c:val>
          <c:extLst>
            <c:ext xmlns:c16="http://schemas.microsoft.com/office/drawing/2014/chart" uri="{C3380CC4-5D6E-409C-BE32-E72D297353CC}">
              <c16:uniqueId val="{00000002-C837-4357-ABB2-1DE154B9115A}"/>
            </c:ext>
          </c:extLst>
        </c:ser>
        <c:ser>
          <c:idx val="3"/>
          <c:order val="3"/>
          <c:tx>
            <c:strRef>
              <c:f>PIVOT1!$E$3:$E$4</c:f>
              <c:strCache>
                <c:ptCount val="1"/>
                <c:pt idx="0">
                  <c:v>successful</c:v>
                </c:pt>
              </c:strCache>
            </c:strRef>
          </c:tx>
          <c:spPr>
            <a:solidFill>
              <a:schemeClr val="accent4"/>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C837-4357-ABB2-1DE154B9115A}"/>
            </c:ext>
          </c:extLst>
        </c:ser>
        <c:dLbls>
          <c:showLegendKey val="0"/>
          <c:showVal val="0"/>
          <c:showCatName val="0"/>
          <c:showSerName val="0"/>
          <c:showPercent val="0"/>
          <c:showBubbleSize val="0"/>
        </c:dLbls>
        <c:gapWidth val="150"/>
        <c:overlap val="100"/>
        <c:axId val="697300064"/>
        <c:axId val="697292520"/>
      </c:barChart>
      <c:catAx>
        <c:axId val="69730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292520"/>
        <c:crosses val="autoZero"/>
        <c:auto val="1"/>
        <c:lblAlgn val="ctr"/>
        <c:lblOffset val="100"/>
        <c:noMultiLvlLbl val="0"/>
      </c:catAx>
      <c:valAx>
        <c:axId val="69729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300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Amy</dc:creator>
  <cp:keywords/>
  <dc:description/>
  <cp:lastModifiedBy>Liu, Amy</cp:lastModifiedBy>
  <cp:revision>1</cp:revision>
  <dcterms:created xsi:type="dcterms:W3CDTF">2019-06-07T22:17:00Z</dcterms:created>
  <dcterms:modified xsi:type="dcterms:W3CDTF">2019-06-08T02:32:00Z</dcterms:modified>
</cp:coreProperties>
</file>