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2:</w:t>
        <w:br/>
        <w:t>PHÂN TÍCH VÀ THIẾT KẾ HỆ THỐNG</w:t>
        <w:br/>
        <w:t>KIẾN TRÚC LAI 3 LỚP</w:t>
      </w:r>
    </w:p>
    <w:p>
      <w:pPr>
        <w:jc w:val="both"/>
      </w:pPr>
      <w:r>
        <w:t>Chương này trình bày yêu cầu và thiết kế trợ lý ảo cho lĩnh vực di sản, du lịch và hành chính Việt Nam. Hệ thống cần vừa trả lời được những câu hỏi có điều kiện chặt chẽ, như đơn vị hành chính tại một thời điểm, vừa giải thích được nội dung mô tả trong tài liệu. Vì vậy, đồ án đề xuất kết hợp đồ thị tri thức (Knowledge Graph – KG), truy xuất tài liệu và mô hình ngôn ngữ lớn (Large Language Model – LLM). Mỗi thành phần đảm nhận một vai trò riêng và trao đổi thông qua tập minh chứng có thể truy nguyên.</w:t>
      </w:r>
    </w:p>
    <w:p>
      <w:pPr>
        <w:jc w:val="both"/>
      </w:pPr>
      <w:r>
        <w:t>Trong phạm vi đồ án, “ba lớp” được hiểu là ba thành phần xử lý tri thức: lớp KG phục vụ truy vấn có cấu trúc, lớp truy xuất văn bản cung cấp ngữ cảnh và lớp LLM diễn đạt câu trả lời. Đây là cách tổ chức chức năng của hệ thống, không phải mô hình ba tầng giao diện, nghiệp vụ và cơ sở dữ liệu. Thuật ngữ “nhánh RAG” được sử dụng để chỉ nhánh truy xuất văn bản; còn theo cách tiếp cận RAG của Lewis và cộng sự, truy xuất và sinh câu trả lời là các bộ phận của cùng một hệ thống tăng cường sinh bằng truy xuất [1].</w:t>
      </w:r>
    </w:p>
    <w:p>
      <w:pPr>
        <w:jc w:val="both"/>
      </w:pPr>
      <w:r>
        <w:t>Các thiết kế trong chương được xây dựng dựa trên tiêu chuẩn, nghiên cứu gốc và cấu hình hiện có của đồ án. Phần mềm hiện đã có KG, embedding, chỉ mục FAISS và bộ định tuyến câu hỏi. Những nội dung như mô hình hóa quan hệ theo thời gian, kiểm tra từng phát biểu và tích hợp LLM là thiết kế cần hoàn thiện, không được xem là kết quả thực nghiệm đã đạt [28].</w:t>
      </w:r>
    </w:p>
    <w:p>
      <w:pPr>
        <w:pStyle w:val="Heading1"/>
        <w:jc w:val="left"/>
      </w:pPr>
      <w:r>
        <w:t>2.1. Phân tích yêu cầu hệ thống</w:t>
      </w:r>
    </w:p>
    <w:p>
      <w:pPr>
        <w:pStyle w:val="Heading2"/>
        <w:jc w:val="left"/>
      </w:pPr>
      <w:r>
        <w:t>2.1.1. Yêu cầu chức năng (Truy vấn không - thời gian phức tạp, phân loại câu hỏi, trích xuất minh chứng).</w:t>
      </w:r>
    </w:p>
    <w:p>
      <w:pPr>
        <w:jc w:val="both"/>
      </w:pPr>
      <w:r>
        <w:t>Người dùng mục tiêu gồm người tra cứu thông tin di sản, khách du lịch và người cần tìm hiểu dữ liệu hành chính. Câu hỏi thường được viết bằng tiếng Việt tự nhiên, có tên viết tắt, tên gọi cũ hoặc địa danh trùng nhau. Do đó, hệ thống không chỉ tìm tài liệu chứa từ khóa mà phải xác định đối tượng được hỏi, điều kiện áp dụng và mức độ đầy đủ của minh chứng trước khi trả lời.</w:t>
      </w:r>
    </w:p>
    <w:p>
      <w:pPr>
        <w:jc w:val="both"/>
      </w:pPr>
      <w:r>
        <w:t>Truy vấn không gian trong đồ án gồm hai mức. Mức thứ nhất là quan hệ hành chính hoặc địa điểm, chẳng hạn một di sản thuộc đơn vị nào. Mức thứ hai là phép toán hình học, chẳng hạn nằm trong một vùng, giao với ranh giới hoặc cách một vị trí một khoảng nhất định. Mức thứ hai đòi hỏi dữ liệu tọa độ, hình học, hệ quy chiếu và bộ thực thi tương ứng. GeoSPARQL cung cấp mô hình và các hàm truy vấn dữ liệu địa lý; việc có quan hệ “thuộc tỉnh” trong KG chưa đồng nghĩa với việc hệ thống đã hỗ trợ GeoSPARQL [3].</w:t>
      </w:r>
    </w:p>
    <w:p>
      <w:pPr>
        <w:jc w:val="both"/>
      </w:pPr>
      <w:r>
        <w:t>Điều kiện thời gian cần được hiểu theo thời điểm mà thông tin có hiệu lực. Ví dụ, câu hỏi “Đơn vị X thuộc tỉnh nào vào ngày t?” khác với câu hỏi “Trang thông tin về đơn vị X được cập nhật khi nào?”. Thời điểm ban hành tài liệu, thời điểm thu thập dữ liệu và khoảng hiệu lực của một quan hệ phải được lưu riêng. OWL-Time cung cấp các khái niệm thời điểm và khoảng thời gian để làm cơ sở biểu diễn, nhưng quy tắc hiệu lực cụ thể vẫn phải được thiết kế theo dữ liệu của đồ án [4].</w:t>
      </w:r>
    </w:p>
    <w:p>
      <w:pPr>
        <w:jc w:val="both"/>
      </w:pPr>
      <w:r>
        <w:t>Các trường hợp sử dụng chính được tổng hợp trong Bảng 2.1. Các ký hiệu X, Y và t trong ví dụ chỉ là dữ liệu minh họa, không đại diện cho một khẳng định về địa giới thực tế.</w:t>
      </w:r>
    </w:p>
    <w:p>
      <w:pPr>
        <w:pStyle w:val="Caption"/>
        <w:jc w:val="center"/>
      </w:pPr>
      <w:r>
        <w:t>Bảng 2.1. Các yêu cầu chức năng và điều kiện nghiệm thu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2891"/>
        <w:gridCol w:w="4649"/>
      </w:tblGrid>
      <w:tr>
        <w:trPr>
          <w:cantSplit/>
          <w:tblHeader/>
        </w:trPr>
        <w:tc>
          <w:tcPr>
            <w:tcW w:type="dxa" w:w="1531"/>
            <w:vAlign w:val="center"/>
            <w:tcMar>
              <w:top w:w="85" w:type="dxa"/>
              <w:left w:w="85" w:type="dxa"/>
              <w:bottom w:w="85" w:type="dxa"/>
              <w:right w:w="85" w:type="dxa"/>
            </w:tcMar>
            <w:shd w:fill="E7E7E7"/>
          </w:tcPr>
          <w:p>
            <w:pPr>
              <w:spacing w:after="40" w:before="40" w:line="259" w:lineRule="auto"/>
              <w:ind w:firstLine="0"/>
              <w:jc w:val="left"/>
            </w:pPr>
            <w:r>
              <w:rPr>
                <w:b/>
                <w:sz w:val="23"/>
              </w:rPr>
              <w:t>Mã</w:t>
            </w:r>
          </w:p>
        </w:tc>
        <w:tc>
          <w:tcPr>
            <w:tcW w:type="dxa" w:w="2891"/>
            <w:vAlign w:val="center"/>
            <w:tcMar>
              <w:top w:w="85" w:type="dxa"/>
              <w:left w:w="85" w:type="dxa"/>
              <w:bottom w:w="85" w:type="dxa"/>
              <w:right w:w="85" w:type="dxa"/>
            </w:tcMar>
            <w:shd w:fill="E7E7E7"/>
          </w:tcPr>
          <w:p>
            <w:pPr>
              <w:spacing w:after="40" w:before="40" w:line="259" w:lineRule="auto"/>
              <w:ind w:firstLine="0"/>
              <w:jc w:val="left"/>
            </w:pPr>
            <w:r>
              <w:rPr>
                <w:b/>
                <w:sz w:val="23"/>
              </w:rPr>
              <w:t>Yêu cầu</w:t>
            </w:r>
          </w:p>
        </w:tc>
        <w:tc>
          <w:tcPr>
            <w:tcW w:type="dxa" w:w="4649"/>
            <w:vAlign w:val="center"/>
            <w:tcMar>
              <w:top w:w="85" w:type="dxa"/>
              <w:left w:w="85" w:type="dxa"/>
              <w:bottom w:w="85" w:type="dxa"/>
              <w:right w:w="85" w:type="dxa"/>
            </w:tcMar>
            <w:shd w:fill="E7E7E7"/>
          </w:tcPr>
          <w:p>
            <w:pPr>
              <w:spacing w:after="40" w:before="40" w:line="259" w:lineRule="auto"/>
              <w:ind w:firstLine="0"/>
              <w:jc w:val="left"/>
            </w:pPr>
            <w:r>
              <w:rPr>
                <w:b/>
                <w:sz w:val="23"/>
              </w:rPr>
              <w:t>Điều kiện kiểm tra</w:t>
            </w:r>
          </w:p>
        </w:tc>
      </w:tr>
      <w:tr>
        <w:trPr>
          <w:cantSplit/>
        </w:trPr>
        <w:tc>
          <w:tcPr>
            <w:tcW w:type="dxa" w:w="1531"/>
            <w:vAlign w:val="center"/>
            <w:tcMar>
              <w:top w:w="85" w:type="dxa"/>
              <w:left w:w="85" w:type="dxa"/>
              <w:bottom w:w="85" w:type="dxa"/>
              <w:right w:w="85" w:type="dxa"/>
            </w:tcMar>
          </w:tcPr>
          <w:p>
            <w:pPr>
              <w:spacing w:after="40" w:before="40" w:line="259" w:lineRule="auto"/>
              <w:ind w:firstLine="0"/>
              <w:jc w:val="left"/>
            </w:pPr>
            <w:r>
              <w:rPr>
                <w:b w:val="0"/>
                <w:sz w:val="23"/>
              </w:rPr>
              <w:t>FR01</w:t>
            </w:r>
          </w:p>
        </w:tc>
        <w:tc>
          <w:tcPr>
            <w:tcW w:type="dxa" w:w="2891"/>
            <w:vAlign w:val="center"/>
            <w:tcMar>
              <w:top w:w="85" w:type="dxa"/>
              <w:left w:w="85" w:type="dxa"/>
              <w:bottom w:w="85" w:type="dxa"/>
              <w:right w:w="85" w:type="dxa"/>
            </w:tcMar>
          </w:tcPr>
          <w:p>
            <w:pPr>
              <w:spacing w:after="40" w:before="40" w:line="259" w:lineRule="auto"/>
              <w:ind w:firstLine="0"/>
              <w:jc w:val="left"/>
            </w:pPr>
            <w:r>
              <w:rPr>
                <w:b w:val="0"/>
                <w:sz w:val="23"/>
              </w:rPr>
              <w:t>Nhận câu hỏi tiếng Việt; chuẩn hóa tên và cách viết.</w:t>
            </w:r>
          </w:p>
        </w:tc>
        <w:tc>
          <w:tcPr>
            <w:tcW w:type="dxa" w:w="4649"/>
            <w:vAlign w:val="center"/>
            <w:tcMar>
              <w:top w:w="85" w:type="dxa"/>
              <w:left w:w="85" w:type="dxa"/>
              <w:bottom w:w="85" w:type="dxa"/>
              <w:right w:w="85" w:type="dxa"/>
            </w:tcMar>
          </w:tcPr>
          <w:p>
            <w:pPr>
              <w:spacing w:after="40" w:before="40" w:line="259" w:lineRule="auto"/>
              <w:ind w:firstLine="0"/>
              <w:jc w:val="left"/>
            </w:pPr>
            <w:r>
              <w:rPr>
                <w:b w:val="0"/>
                <w:sz w:val="23"/>
              </w:rPr>
              <w:t>Giữ được mã đơn vị, dấu tiếng Việt, năm và các từ phủ định.</w:t>
            </w:r>
          </w:p>
        </w:tc>
      </w:tr>
      <w:tr>
        <w:trPr>
          <w:cantSplit/>
        </w:trPr>
        <w:tc>
          <w:tcPr>
            <w:tcW w:type="dxa" w:w="1531"/>
            <w:vAlign w:val="center"/>
            <w:tcMar>
              <w:top w:w="85" w:type="dxa"/>
              <w:left w:w="85" w:type="dxa"/>
              <w:bottom w:w="85" w:type="dxa"/>
              <w:right w:w="85" w:type="dxa"/>
            </w:tcMar>
          </w:tcPr>
          <w:p>
            <w:pPr>
              <w:spacing w:after="40" w:before="40" w:line="259" w:lineRule="auto"/>
              <w:ind w:firstLine="0"/>
              <w:jc w:val="left"/>
            </w:pPr>
            <w:r>
              <w:rPr>
                <w:b w:val="0"/>
                <w:sz w:val="23"/>
              </w:rPr>
              <w:t>FR02</w:t>
            </w:r>
          </w:p>
        </w:tc>
        <w:tc>
          <w:tcPr>
            <w:tcW w:type="dxa" w:w="2891"/>
            <w:vAlign w:val="center"/>
            <w:tcMar>
              <w:top w:w="85" w:type="dxa"/>
              <w:left w:w="85" w:type="dxa"/>
              <w:bottom w:w="85" w:type="dxa"/>
              <w:right w:w="85" w:type="dxa"/>
            </w:tcMar>
          </w:tcPr>
          <w:p>
            <w:pPr>
              <w:spacing w:after="40" w:before="40" w:line="259" w:lineRule="auto"/>
              <w:ind w:firstLine="0"/>
              <w:jc w:val="left"/>
            </w:pPr>
            <w:r>
              <w:rPr>
                <w:b w:val="0"/>
                <w:sz w:val="23"/>
              </w:rPr>
              <w:t>Phân loại câu hỏi và xác định các điều kiện.</w:t>
            </w:r>
          </w:p>
        </w:tc>
        <w:tc>
          <w:tcPr>
            <w:tcW w:type="dxa" w:w="4649"/>
            <w:vAlign w:val="center"/>
            <w:tcMar>
              <w:top w:w="85" w:type="dxa"/>
              <w:left w:w="85" w:type="dxa"/>
              <w:bottom w:w="85" w:type="dxa"/>
              <w:right w:w="85" w:type="dxa"/>
            </w:tcMar>
          </w:tcPr>
          <w:p>
            <w:pPr>
              <w:spacing w:after="40" w:before="40" w:line="259" w:lineRule="auto"/>
              <w:ind w:firstLine="0"/>
              <w:jc w:val="left"/>
            </w:pPr>
            <w:r>
              <w:rPr>
                <w:b w:val="0"/>
                <w:sz w:val="23"/>
              </w:rPr>
              <w:t>Trả về nhánh KG, RAG hoặc kết hợp; nhận diện trường hợp cần hỏi lại.</w:t>
            </w:r>
          </w:p>
        </w:tc>
      </w:tr>
      <w:tr>
        <w:trPr>
          <w:cantSplit/>
        </w:trPr>
        <w:tc>
          <w:tcPr>
            <w:tcW w:type="dxa" w:w="1531"/>
            <w:vAlign w:val="center"/>
            <w:tcMar>
              <w:top w:w="85" w:type="dxa"/>
              <w:left w:w="85" w:type="dxa"/>
              <w:bottom w:w="85" w:type="dxa"/>
              <w:right w:w="85" w:type="dxa"/>
            </w:tcMar>
          </w:tcPr>
          <w:p>
            <w:pPr>
              <w:spacing w:after="40" w:before="40" w:line="259" w:lineRule="auto"/>
              <w:ind w:firstLine="0"/>
              <w:jc w:val="left"/>
            </w:pPr>
            <w:r>
              <w:rPr>
                <w:b w:val="0"/>
                <w:sz w:val="23"/>
              </w:rPr>
              <w:t>FR03</w:t>
            </w:r>
          </w:p>
        </w:tc>
        <w:tc>
          <w:tcPr>
            <w:tcW w:type="dxa" w:w="2891"/>
            <w:vAlign w:val="center"/>
            <w:tcMar>
              <w:top w:w="85" w:type="dxa"/>
              <w:left w:w="85" w:type="dxa"/>
              <w:bottom w:w="85" w:type="dxa"/>
              <w:right w:w="85" w:type="dxa"/>
            </w:tcMar>
          </w:tcPr>
          <w:p>
            <w:pPr>
              <w:spacing w:after="40" w:before="40" w:line="259" w:lineRule="auto"/>
              <w:ind w:firstLine="0"/>
              <w:jc w:val="left"/>
            </w:pPr>
            <w:r>
              <w:rPr>
                <w:b w:val="0"/>
                <w:sz w:val="23"/>
              </w:rPr>
              <w:t>Tra cứu quan hệ, danh sách, số lượng và lịch sử hành chính.</w:t>
            </w:r>
          </w:p>
        </w:tc>
        <w:tc>
          <w:tcPr>
            <w:tcW w:type="dxa" w:w="4649"/>
            <w:vAlign w:val="center"/>
            <w:tcMar>
              <w:top w:w="85" w:type="dxa"/>
              <w:left w:w="85" w:type="dxa"/>
              <w:bottom w:w="85" w:type="dxa"/>
              <w:right w:w="85" w:type="dxa"/>
            </w:tcMar>
          </w:tcPr>
          <w:p>
            <w:pPr>
              <w:spacing w:after="40" w:before="40" w:line="259" w:lineRule="auto"/>
              <w:ind w:firstLine="0"/>
              <w:jc w:val="left"/>
            </w:pPr>
            <w:r>
              <w:rPr>
                <w:b w:val="0"/>
                <w:sz w:val="23"/>
              </w:rPr>
              <w:t>Kết quả thỏa đồng thời đối tượng, phạm vi và thời điểm; không đếm trùng.</w:t>
            </w:r>
          </w:p>
        </w:tc>
      </w:tr>
      <w:tr>
        <w:trPr>
          <w:cantSplit/>
        </w:trPr>
        <w:tc>
          <w:tcPr>
            <w:tcW w:type="dxa" w:w="1531"/>
            <w:vAlign w:val="center"/>
            <w:tcMar>
              <w:top w:w="85" w:type="dxa"/>
              <w:left w:w="85" w:type="dxa"/>
              <w:bottom w:w="85" w:type="dxa"/>
              <w:right w:w="85" w:type="dxa"/>
            </w:tcMar>
          </w:tcPr>
          <w:p>
            <w:pPr>
              <w:spacing w:after="40" w:before="40" w:line="259" w:lineRule="auto"/>
              <w:ind w:firstLine="0"/>
              <w:jc w:val="left"/>
            </w:pPr>
            <w:r>
              <w:rPr>
                <w:b w:val="0"/>
                <w:sz w:val="23"/>
              </w:rPr>
              <w:t>FR04</w:t>
            </w:r>
          </w:p>
        </w:tc>
        <w:tc>
          <w:tcPr>
            <w:tcW w:type="dxa" w:w="2891"/>
            <w:vAlign w:val="center"/>
            <w:tcMar>
              <w:top w:w="85" w:type="dxa"/>
              <w:left w:w="85" w:type="dxa"/>
              <w:bottom w:w="85" w:type="dxa"/>
              <w:right w:w="85" w:type="dxa"/>
            </w:tcMar>
          </w:tcPr>
          <w:p>
            <w:pPr>
              <w:spacing w:after="40" w:before="40" w:line="259" w:lineRule="auto"/>
              <w:ind w:firstLine="0"/>
              <w:jc w:val="left"/>
            </w:pPr>
            <w:r>
              <w:rPr>
                <w:b w:val="0"/>
                <w:sz w:val="23"/>
              </w:rPr>
              <w:t>Truy xuất đoạn văn mô tả về di sản, du lịch và thủ tục.</w:t>
            </w:r>
          </w:p>
        </w:tc>
        <w:tc>
          <w:tcPr>
            <w:tcW w:type="dxa" w:w="4649"/>
            <w:vAlign w:val="center"/>
            <w:tcMar>
              <w:top w:w="85" w:type="dxa"/>
              <w:left w:w="85" w:type="dxa"/>
              <w:bottom w:w="85" w:type="dxa"/>
              <w:right w:w="85" w:type="dxa"/>
            </w:tcMar>
          </w:tcPr>
          <w:p>
            <w:pPr>
              <w:spacing w:after="40" w:before="40" w:line="259" w:lineRule="auto"/>
              <w:ind w:firstLine="0"/>
              <w:jc w:val="left"/>
            </w:pPr>
            <w:r>
              <w:rPr>
                <w:b w:val="0"/>
                <w:sz w:val="23"/>
              </w:rPr>
              <w:t>Đoạn được lấy có nội dung liên quan và thông tin nguồn tương ứng.</w:t>
            </w:r>
          </w:p>
        </w:tc>
      </w:tr>
      <w:tr>
        <w:trPr>
          <w:cantSplit/>
        </w:trPr>
        <w:tc>
          <w:tcPr>
            <w:tcW w:type="dxa" w:w="1531"/>
            <w:vAlign w:val="center"/>
            <w:tcMar>
              <w:top w:w="85" w:type="dxa"/>
              <w:left w:w="85" w:type="dxa"/>
              <w:bottom w:w="85" w:type="dxa"/>
              <w:right w:w="85" w:type="dxa"/>
            </w:tcMar>
          </w:tcPr>
          <w:p>
            <w:pPr>
              <w:spacing w:after="40" w:before="40" w:line="259" w:lineRule="auto"/>
              <w:ind w:firstLine="0"/>
              <w:jc w:val="left"/>
            </w:pPr>
            <w:r>
              <w:rPr>
                <w:b w:val="0"/>
                <w:sz w:val="23"/>
              </w:rPr>
              <w:t>FR05</w:t>
            </w:r>
          </w:p>
        </w:tc>
        <w:tc>
          <w:tcPr>
            <w:tcW w:type="dxa" w:w="2891"/>
            <w:vAlign w:val="center"/>
            <w:tcMar>
              <w:top w:w="85" w:type="dxa"/>
              <w:left w:w="85" w:type="dxa"/>
              <w:bottom w:w="85" w:type="dxa"/>
              <w:right w:w="85" w:type="dxa"/>
            </w:tcMar>
          </w:tcPr>
          <w:p>
            <w:pPr>
              <w:spacing w:after="40" w:before="40" w:line="259" w:lineRule="auto"/>
              <w:ind w:firstLine="0"/>
              <w:jc w:val="left"/>
            </w:pPr>
            <w:r>
              <w:rPr>
                <w:b w:val="0"/>
                <w:sz w:val="23"/>
              </w:rPr>
              <w:t>Kết hợp điều kiện từ KG với nội dung văn bản.</w:t>
            </w:r>
          </w:p>
        </w:tc>
        <w:tc>
          <w:tcPr>
            <w:tcW w:type="dxa" w:w="4649"/>
            <w:vAlign w:val="center"/>
            <w:tcMar>
              <w:top w:w="85" w:type="dxa"/>
              <w:left w:w="85" w:type="dxa"/>
              <w:bottom w:w="85" w:type="dxa"/>
              <w:right w:w="85" w:type="dxa"/>
            </w:tcMar>
          </w:tcPr>
          <w:p>
            <w:pPr>
              <w:spacing w:after="40" w:before="40" w:line="259" w:lineRule="auto"/>
              <w:ind w:firstLine="0"/>
              <w:jc w:val="left"/>
            </w:pPr>
            <w:r>
              <w:rPr>
                <w:b w:val="0"/>
                <w:sz w:val="23"/>
              </w:rPr>
              <w:t>Các đoạn văn được dùng phải thuộc đúng tập thực thể đã lọc.</w:t>
            </w:r>
          </w:p>
        </w:tc>
      </w:tr>
      <w:tr>
        <w:trPr>
          <w:cantSplit/>
        </w:trPr>
        <w:tc>
          <w:tcPr>
            <w:tcW w:type="dxa" w:w="1531"/>
            <w:vAlign w:val="center"/>
            <w:tcMar>
              <w:top w:w="85" w:type="dxa"/>
              <w:left w:w="85" w:type="dxa"/>
              <w:bottom w:w="85" w:type="dxa"/>
              <w:right w:w="85" w:type="dxa"/>
            </w:tcMar>
          </w:tcPr>
          <w:p>
            <w:pPr>
              <w:spacing w:after="40" w:before="40" w:line="259" w:lineRule="auto"/>
              <w:ind w:firstLine="0"/>
              <w:jc w:val="left"/>
            </w:pPr>
            <w:r>
              <w:rPr>
                <w:b w:val="0"/>
                <w:sz w:val="23"/>
              </w:rPr>
              <w:t>FR06</w:t>
            </w:r>
          </w:p>
        </w:tc>
        <w:tc>
          <w:tcPr>
            <w:tcW w:type="dxa" w:w="2891"/>
            <w:vAlign w:val="center"/>
            <w:tcMar>
              <w:top w:w="85" w:type="dxa"/>
              <w:left w:w="85" w:type="dxa"/>
              <w:bottom w:w="85" w:type="dxa"/>
              <w:right w:w="85" w:type="dxa"/>
            </w:tcMar>
          </w:tcPr>
          <w:p>
            <w:pPr>
              <w:spacing w:after="40" w:before="40" w:line="259" w:lineRule="auto"/>
              <w:ind w:firstLine="0"/>
              <w:jc w:val="left"/>
            </w:pPr>
            <w:r>
              <w:rPr>
                <w:b w:val="0"/>
                <w:sz w:val="23"/>
              </w:rPr>
              <w:t>Trích xuất và kiểm tra minh chứng.</w:t>
            </w:r>
          </w:p>
        </w:tc>
        <w:tc>
          <w:tcPr>
            <w:tcW w:type="dxa" w:w="4649"/>
            <w:vAlign w:val="center"/>
            <w:tcMar>
              <w:top w:w="85" w:type="dxa"/>
              <w:left w:w="85" w:type="dxa"/>
              <w:bottom w:w="85" w:type="dxa"/>
              <w:right w:w="85" w:type="dxa"/>
            </w:tcMar>
          </w:tcPr>
          <w:p>
            <w:pPr>
              <w:spacing w:after="40" w:before="40" w:line="259" w:lineRule="auto"/>
              <w:ind w:firstLine="0"/>
              <w:jc w:val="left"/>
            </w:pPr>
            <w:r>
              <w:rPr>
                <w:b w:val="0"/>
                <w:sz w:val="23"/>
              </w:rPr>
              <w:t>Mỗi phát biểu trọng yếu gắn với nguồn, phiên bản và vị trí nội dung.</w:t>
            </w:r>
          </w:p>
        </w:tc>
      </w:tr>
      <w:tr>
        <w:trPr>
          <w:cantSplit/>
        </w:trPr>
        <w:tc>
          <w:tcPr>
            <w:tcW w:type="dxa" w:w="1531"/>
            <w:vAlign w:val="center"/>
            <w:tcMar>
              <w:top w:w="85" w:type="dxa"/>
              <w:left w:w="85" w:type="dxa"/>
              <w:bottom w:w="85" w:type="dxa"/>
              <w:right w:w="85" w:type="dxa"/>
            </w:tcMar>
          </w:tcPr>
          <w:p>
            <w:pPr>
              <w:spacing w:after="40" w:before="40" w:line="259" w:lineRule="auto"/>
              <w:ind w:firstLine="0"/>
              <w:jc w:val="left"/>
            </w:pPr>
            <w:r>
              <w:rPr>
                <w:b w:val="0"/>
                <w:sz w:val="23"/>
              </w:rPr>
              <w:t>FR07</w:t>
            </w:r>
          </w:p>
        </w:tc>
        <w:tc>
          <w:tcPr>
            <w:tcW w:type="dxa" w:w="2891"/>
            <w:vAlign w:val="center"/>
            <w:tcMar>
              <w:top w:w="85" w:type="dxa"/>
              <w:left w:w="85" w:type="dxa"/>
              <w:bottom w:w="85" w:type="dxa"/>
              <w:right w:w="85" w:type="dxa"/>
            </w:tcMar>
          </w:tcPr>
          <w:p>
            <w:pPr>
              <w:spacing w:after="40" w:before="40" w:line="259" w:lineRule="auto"/>
              <w:ind w:firstLine="0"/>
              <w:jc w:val="left"/>
            </w:pPr>
            <w:r>
              <w:rPr>
                <w:b w:val="0"/>
                <w:sz w:val="23"/>
              </w:rPr>
              <w:t>Trả lời có trích dẫn; xử lý thiếu dữ liệu hoặc xung đột.</w:t>
            </w:r>
          </w:p>
        </w:tc>
        <w:tc>
          <w:tcPr>
            <w:tcW w:type="dxa" w:w="4649"/>
            <w:vAlign w:val="center"/>
            <w:tcMar>
              <w:top w:w="85" w:type="dxa"/>
              <w:left w:w="85" w:type="dxa"/>
              <w:bottom w:w="85" w:type="dxa"/>
              <w:right w:w="85" w:type="dxa"/>
            </w:tcMar>
          </w:tcPr>
          <w:p>
            <w:pPr>
              <w:spacing w:after="40" w:before="40" w:line="259" w:lineRule="auto"/>
              <w:ind w:firstLine="0"/>
              <w:jc w:val="left"/>
            </w:pPr>
            <w:r>
              <w:rPr>
                <w:b w:val="0"/>
                <w:sz w:val="23"/>
              </w:rPr>
              <w:t>Không tự bổ sung một kết luận chắc chắn khi chưa đủ căn cứ.</w:t>
            </w:r>
          </w:p>
        </w:tc>
      </w:tr>
    </w:tbl>
    <w:p>
      <w:pPr>
        <w:spacing w:after="0" w:before="0" w:line="240" w:lineRule="auto"/>
      </w:pPr>
      <w:r>
        <w:rPr>
          <w:sz w:val="6"/>
        </w:rPr>
      </w:r>
    </w:p>
    <w:p>
      <w:pPr>
        <w:jc w:val="both"/>
      </w:pPr>
      <w:r>
        <w:t>Về phân loại câu hỏi, các yêu cầu liệt kê, đếm, xác định mã và truy vấn quan hệ phù hợp với KG khi schema có đủ thuộc tính. Câu hỏi yêu cầu giải thích, giới thiệu hoặc tóm tắt thường đi qua truy xuất văn bản. Câu hỏi “Hãy giới thiệu các di sản nằm trong đơn vị X tại thời điểm t” cần kết hợp hai nhánh: KG xác định tập di sản hợp lệ, sau đó truy xuất văn bản mô tả từng đối tượng. Một câu hỏi có từ “tại sao” vẫn có thể cần dữ kiện có cấu trúc; do đó không nên định tuyến chỉ dựa trên một từ khóa.</w:t>
      </w:r>
    </w:p>
    <w:p>
      <w:pPr>
        <w:jc w:val="both"/>
      </w:pPr>
      <w:r>
        <w:t>Yêu cầu trích xuất minh chứng phải được thực hiện ở cả KG và văn bản. Với KG, mỗi kết quả quan trọng cần truy được tài liệu đã tạo ra quan hệ. Với văn bản, hệ thống cần giữ đoạn trích, mã tài liệu, trang hoặc mục và phiên bản. PROV-O cung cấp nền tảng để biểu diễn nguồn gốc dữ liệu và quan hệ dẫn xuất [5]. Trong thiết kế này, một đường dẫn đặt cuối câu trả lời chỉ được xem là trích dẫn hợp lệ khi nội dung tại nguồn thực sự hỗ trợ phát biểu tương ứng.</w:t>
      </w:r>
    </w:p>
    <w:p>
      <w:pPr>
        <w:pStyle w:val="Heading2"/>
        <w:jc w:val="left"/>
      </w:pPr>
      <w:r>
        <w:t>2.1.2. Yêu cầu phi chức năng (Độ trễ, tính chính xác).</w:t>
      </w:r>
    </w:p>
    <w:p>
      <w:pPr>
        <w:jc w:val="both"/>
      </w:pPr>
      <w:r>
        <w:t>Độ trễ được đo từ khi hệ thống nhận câu hỏi đến khi trả về câu trả lời hoàn chỉnh. Các thành phần cần theo dõi riêng gồm chuẩn hóa và định tuyến, embedding câu hỏi, truy vấn KG, tìm kiếm vector, xếp hạng lại, sinh văn bản và kiểm tra đầu ra. Đối với giao diện truyền dần nội dung, thời gian xuất hiện token đầu tiên phải được báo cáo riêng, không thay thế thời gian hoàn tất câu trả lời đã kiểm chứng.</w:t>
      </w:r>
    </w:p>
    <w:p>
      <w:pPr>
        <w:jc w:val="both"/>
      </w:pPr>
      <w:r>
        <w:t>Trong thí nghiệm, đồ án cần công bố cấu hình CPU, RAM, thiết bị chạy mô hình, kích thước chỉ mục, số yêu cầu đồng thời và giới hạn độ dài đầu ra. Cần tách lần chạy đầu có tải mô hình khỏi các lần chạy khi mô hình đã sẵn sàng; báo cáo trung vị p50 và phân vị p95 thay vì chỉ lấy trung bình. Khi hai nhánh chạy độc lập có thể xử lý song song; nếu KG cung cấp tập thực thể để lọc RAG thì truy xuất phụ thuộc phải chờ KG hoàn tất. Không thể mặc định mọi truy vấn kết hợp đều có độ trễ bằng nhánh chậm hơn.</w:t>
      </w:r>
    </w:p>
    <w:p>
      <w:pPr>
        <w:jc w:val="both"/>
      </w:pPr>
      <w:r>
        <w:t>Đồ án đề xuất dùng p95 không quá 2 giây cho giai đoạn truy xuất và không quá 10 giây cho câu trả lời hoàn chỉnh làm mục tiêu thử nghiệm ban đầu trong chế độ một yêu cầu tại một thời điểm, mô hình đã được tải và giới hạn đầu ra 256 token. Đây là mục tiêu thiết kế cần kiểm chứng trên cấu hình triển khai, không phải số đo hiện có hoặc mức đảm bảo của FAISS, E5 hay LLM. Nếu cấu hình chạy LLM chưa đáp ứng, cần báo cáo kết quả thực tế và điều chỉnh phương án triển khai.</w:t>
      </w:r>
    </w:p>
    <w:p>
      <w:pPr>
        <w:jc w:val="both"/>
      </w:pPr>
      <w:r>
        <w:t>Tính chính xác cần được đánh giá theo từng khâu. Một câu trả lời có cách diễn đạt tốt vẫn có thể chứa sai lệch về thời gian, tên đơn vị hoặc căn cứ. Tương tự, một câu trả lời bám sát tài liệu chưa chắc đúng nếu tài liệu nguồn sai. Nghiên cứu ALCE phân biệt chất lượng câu trả lời với chất lượng trích dẫn [6]; RAGAs đề xuất các chỉ số tự động đánh giá hệ thống RAG [7]. Đồ án sử dụng các hướng đánh giá này để xây dựng bộ tiêu chí, đồng thời duy trì kiểm tra thủ công với những câu hỏi có dữ kiện quan trọng.</w:t>
      </w:r>
    </w:p>
    <w:p>
      <w:pPr>
        <w:pStyle w:val="Caption"/>
        <w:jc w:val="center"/>
      </w:pPr>
      <w:r>
        <w:t>Bảng 2.2. Các tiêu chí đánh giá được đề xuất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005"/>
        <w:gridCol w:w="4025"/>
      </w:tblGrid>
      <w:tr>
        <w:trPr>
          <w:cantSplit/>
          <w:tblHeader/>
        </w:trPr>
        <w:tc>
          <w:tcPr>
            <w:tcW w:type="dxa" w:w="2041"/>
            <w:vAlign w:val="center"/>
            <w:tcMar>
              <w:top w:w="85" w:type="dxa"/>
              <w:left w:w="85" w:type="dxa"/>
              <w:bottom w:w="85" w:type="dxa"/>
              <w:right w:w="85" w:type="dxa"/>
            </w:tcMar>
            <w:shd w:fill="E7E7E7"/>
          </w:tcPr>
          <w:p>
            <w:pPr>
              <w:spacing w:after="40" w:before="40" w:line="259" w:lineRule="auto"/>
              <w:ind w:firstLine="0"/>
              <w:jc w:val="left"/>
            </w:pPr>
            <w:r>
              <w:rPr>
                <w:b/>
                <w:sz w:val="23"/>
              </w:rPr>
              <w:t>Thành phần</w:t>
            </w:r>
          </w:p>
        </w:tc>
        <w:tc>
          <w:tcPr>
            <w:tcW w:type="dxa" w:w="3005"/>
            <w:vAlign w:val="center"/>
            <w:tcMar>
              <w:top w:w="85" w:type="dxa"/>
              <w:left w:w="85" w:type="dxa"/>
              <w:bottom w:w="85" w:type="dxa"/>
              <w:right w:w="85" w:type="dxa"/>
            </w:tcMar>
            <w:shd w:fill="E7E7E7"/>
          </w:tcPr>
          <w:p>
            <w:pPr>
              <w:spacing w:after="40" w:before="40" w:line="259" w:lineRule="auto"/>
              <w:ind w:firstLine="0"/>
              <w:jc w:val="left"/>
            </w:pPr>
            <w:r>
              <w:rPr>
                <w:b/>
                <w:sz w:val="23"/>
              </w:rPr>
              <w:t>Chỉ số</w:t>
            </w:r>
          </w:p>
        </w:tc>
        <w:tc>
          <w:tcPr>
            <w:tcW w:type="dxa" w:w="4025"/>
            <w:vAlign w:val="center"/>
            <w:tcMar>
              <w:top w:w="85" w:type="dxa"/>
              <w:left w:w="85" w:type="dxa"/>
              <w:bottom w:w="85" w:type="dxa"/>
              <w:right w:w="85" w:type="dxa"/>
            </w:tcMar>
            <w:shd w:fill="E7E7E7"/>
          </w:tcPr>
          <w:p>
            <w:pPr>
              <w:spacing w:after="40" w:before="40" w:line="259" w:lineRule="auto"/>
              <w:ind w:firstLine="0"/>
              <w:jc w:val="left"/>
            </w:pPr>
            <w:r>
              <w:rPr>
                <w:b/>
                <w:sz w:val="23"/>
              </w:rPr>
              <w:t>Cách diễn giải và lưu ý</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Định tuyến</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Macro-F1; ma trận nhầm lẫn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Đánh giá cân bằng các nhánh; phân tích riêng câu hỏi kết hợp và mơ hồ.</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Truy vấn KG</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Precision, Recall, Exact Match theo tập đáp án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Chỉ đánh giá đầy đủ khi tập đáp án chuẩn đã được xác minh là đầy đủ.</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Truy xuất</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Recall@k, Hit@k, MRR@k</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Recall đo độ bao phủ tài liệu liên quan; Hit đo có ít nhất một kết quả đúng; MRR xét vị trí đúng đầu tiên.</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Câu trả lời</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Độ đúng của dữ kiện; mức độ trả lời đủ</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Chấm từng phát biểu trọng yếu, đối chiếu đáp án và nguồn chuẩn.</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Trích dẫn</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Tỷ lệ trích dẫn hỗ trợ; độ bao phủ phát biểu</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Kiểm tra nội dung nguồn, không chỉ kiểm tra URL có mở được.</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Từ chối trả lời</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Độ đúng trên nhóm không đủ dữ liệu</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Kiểm tra cả từ chối đúng và từ chối nhầm câu hỏi có thể trả lời.</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Hiệu năng</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p50, p95; bộ nhớ cực đại</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Ghi rõ tải đồng thời, số lần chạy, trạng thái bộ nhớ đệm và phiên bản mô hình.</w:t>
            </w:r>
          </w:p>
        </w:tc>
      </w:tr>
    </w:tbl>
    <w:p>
      <w:pPr>
        <w:spacing w:after="0" w:before="0" w:line="240" w:lineRule="auto"/>
      </w:pPr>
      <w:r>
        <w:rPr>
          <w:sz w:val="6"/>
        </w:rPr>
      </w:r>
    </w:p>
    <w:p>
      <w:pPr>
        <w:jc w:val="both"/>
      </w:pPr>
      <w:r>
        <w:t>Với một câu hỏi có nhiều đoạn liên quan, Recall@k là số đoạn liên quan xuất hiện trong k kết quả chia cho tổng số đoạn liên quan trong bộ nhãn chuẩn. Hit@k chỉ nhận giá trị 1 khi có ít nhất một kết quả đúng, ngược lại bằng 0. Nếu mỗi câu hỏi mới được gán một đoạn đúng đã biết, phép đo chỉ phản ánh khả năng tìm lại đoạn đó; không nên kết luận đã đo độ bao phủ toàn bộ minh chứng trong kho. Kết quả BEIR cũng cho thấy cần kiểm tra truy xuất trên nhiều miền và giữ một phương pháp từ vựng như BM25 làm đối chứng, thay vì mặc định mô hình dense luôn tốt hơn [8].</w:t>
      </w:r>
    </w:p>
    <w:p>
      <w:pPr>
        <w:jc w:val="both"/>
      </w:pPr>
      <w:r>
        <w:t>Ngoài hai yêu cầu chính, hệ thống cần tái lập được phiên bản dữ liệu và mô hình, ghi nhật ký lỗi truy xuất, giới hạn thời gian chạy và phân quyền cập nhật kho tri thức. Tài liệu truy xuất phải được xem là dữ liệu tham khảo, không phải chỉ dẫn có quyền thay đổi nhiệm vụ của hệ thống. Việc các chỉ số trên đạt hay chưa đạt được trình bày ở chương thực nghiệm sau khi có bộ kiểm thử độc lập.</w:t>
      </w:r>
    </w:p>
    <w:p>
      <w:pPr>
        <w:pStyle w:val="Heading1"/>
        <w:jc w:val="left"/>
      </w:pPr>
      <w:r>
        <w:t>2.2. Thiết kế Data Pipeline và Tiền xử lý dữ liệu</w:t>
      </w:r>
    </w:p>
    <w:p>
      <w:pPr>
        <w:pStyle w:val="Heading2"/>
        <w:jc w:val="left"/>
      </w:pPr>
      <w:r>
        <w:t>2.2.1. Quy trình thu thập và làm sạch dữ liệu thô.</w:t>
      </w:r>
    </w:p>
    <w:p>
      <w:pPr>
        <w:jc w:val="both"/>
      </w:pPr>
      <w:r>
        <w:t>Pipeline dữ liệu cần tạo được hai dạng đầu ra nhất quán: các thực thể và quan hệ cho KG; các đoạn văn kèm metadata cho truy xuất. Nhóm đề xuất quản lý dữ liệu theo ba trạng thái: dữ liệu thô được giữ nguyên, dữ liệu đã chuẩn hóa và dữ liệu được chấp nhận để lập chỉ mục. Cách tách này cho phép kiểm tra lại nguồn khi phát hiện lỗi, đồng thời tránh việc bước làm sạch ghi đè mất thông tin gốc.</w:t>
      </w:r>
    </w:p>
    <w:p>
      <w:pPr>
        <w:jc w:val="both"/>
      </w:pPr>
      <w:r>
        <w:t>Nguồn thu thập được ưu tiên theo loại thông tin. Dữ kiện địa giới và thủ tục cần đối chiếu văn bản hoặc cổng thông tin của cơ quan có thẩm quyền. Thông tin ghi danh quốc tế cần đối chiếu hồ sơ UNESCO; thông tin mô tả di sản có thể bổ sung từ cơ quan quản lý, bảo tàng và đơn vị quản lý điểm đến. Nội dung giới thiệu du lịch hỗ trợ phần diễn giải nhưng không được dùng để thay thế căn cứ của một quyết định hành chính. Thứ tự này là chính sách lựa chọn nguồn của đồ án và phải được ghi trong hồ sơ dữ liệu.</w:t>
      </w:r>
    </w:p>
    <w:p>
      <w:pPr>
        <w:jc w:val="both"/>
      </w:pPr>
      <w:r>
        <w:t>Mỗi nguồn có một bản ghi mô tả gồm đơn vị phát hành, địa chỉ truy cập, loại tài liệu, thời điểm thu thập, điều kiện sử dụng, miền nội dung và các hạn chế đã biết. Datasheets for Datasets nhấn mạnh việc tài liệu hóa nguồn gốc, quá trình xây dựng và mục đích sử dụng dữ liệu [9]. Áp dụng vào đồ án, một tệp JSONL tổng hợp không đủ để chứng minh độ tin cậy nếu không còn khả năng truy ngược các bản ghi về tài liệu gốc.</w:t>
      </w:r>
    </w:p>
    <w:p>
      <w:pPr>
        <w:jc w:val="both"/>
      </w:pPr>
      <w:r>
        <w:t>Quy trình thu thập bắt đầu bằng việc lưu bản gốc và mã băm nội dung. Đối với HTML, bộ xử lý tách phần nội dung chính khỏi menu và quảng cáo. Đối với PDF có lớp văn bản, hệ thống trích xuất đồng thời số trang; PDF ảnh cần OCR và kiểm tra các trường nhạy cảm như tên riêng, mã số và ngày tháng. Bảng biểu cần được giữ cấu trúc hàng, cột vì việc ghép văn bản theo thứ tự đọc thông thường có thể làm sai quan hệ giữa một đơn vị và mã tương ứng.</w:t>
      </w:r>
    </w:p>
    <w:p>
      <w:pPr>
        <w:jc w:val="both"/>
      </w:pPr>
      <w:r>
        <w:t>Văn bản tiếng Việt được chuẩn hóa Unicode NFC để thống nhất các cách biểu diễn ký tự tương đương [10]. Các bước tiếp theo gồm sửa khoảng trắng thừa, loại dòng tiêu đề lặp, chuẩn hóa xuống dòng và nhận diện bản sao. Không loại bỏ dấu tiếng Việt trên bản lưu chuẩn; không xóa từ phủ định hoặc các số 0 đầu mã đơn vị. Bản không dấu và tên viết tắt, nếu cần, được lưu dưới dạng biến thể phục vụ tìm kiếm và không thay thế tên chuẩn.</w:t>
      </w:r>
    </w:p>
    <w:p>
      <w:pPr>
        <w:jc w:val="both"/>
      </w:pPr>
      <w:r>
        <w:t>Khử trùng lặp cần phân biệt bản sao kỹ thuật với phiên bản có thay đổi nội dung. Hai bản tải xuống có cùng mã băm có thể dùng chung phiên bản. Hai tài liệu cùng tiêu đề nhưng khác ngày hiệu lực không được gộp chỉ vì độ giống văn bản cao. Với các trang đăng lại, hệ thống lưu quan hệ dẫn xuất đến nguồn gốc để tránh xem nhiều bản sao là các xác nhận độc lập.</w:t>
      </w:r>
    </w:p>
    <w:p>
      <w:pPr>
        <w:jc w:val="both"/>
      </w:pPr>
      <w:r>
        <w:t>Trước khi đưa vào kho phục vụ hỏi đáp, dữ liệu được kiểm tra các lỗi bắt buộc: thiếu nội dung, thiếu định danh, mã trùng không có giải thích, ngày không hợp lệ và nguồn không truy nguyên được. Các bản ghi chưa đạt được chuyển vào vùng chờ xử lý cùng lý do. Dữ liệu hỏi đáp được tổng hợp hoặc câu trả lời do mô hình tạo ra cần có nhãn riêng; quá trình làm sạch định dạng không biến nội dung này thành nguồn xác thực cho quan hệ hành chính.</w:t>
      </w:r>
    </w:p>
    <w:p>
      <w:pPr>
        <w:keepNext/>
        <w:ind w:firstLine="0"/>
        <w:jc w:val="center"/>
      </w:pPr>
      <w:r>
        <w:drawing>
          <wp:inline xmlns:a="http://schemas.openxmlformats.org/drawingml/2006/main" xmlns:pic="http://schemas.openxmlformats.org/drawingml/2006/picture">
            <wp:extent cx="5688000" cy="2442494"/>
            <wp:docPr id="1" name="Picture 1" descr="Sơ đồ quy trình thu thập, kiểm tra và phân nhánh dữ liệu"/>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688000" cy="2442494"/>
                    </a:xfrm>
                    <a:prstGeom prst="rect"/>
                  </pic:spPr>
                </pic:pic>
              </a:graphicData>
            </a:graphic>
          </wp:inline>
        </w:drawing>
      </w:r>
    </w:p>
    <w:p>
      <w:pPr>
        <w:pStyle w:val="Caption"/>
        <w:keepNext w:val="0"/>
        <w:jc w:val="center"/>
      </w:pPr>
      <w:r>
        <w:t>Hình 2.1. Pipeline dữ liệu được đề xuất cho hai nhánh tri thức</w:t>
      </w:r>
    </w:p>
    <w:p>
      <w:pPr>
        <w:pStyle w:val="Heading2"/>
        <w:jc w:val="left"/>
      </w:pPr>
      <w:r>
        <w:t>2.2.2. Phân loại và định dạng dữ liệu (Có cấu trúc và phi cấu trúc).</w:t>
      </w:r>
    </w:p>
    <w:p>
      <w:pPr>
        <w:jc w:val="both"/>
      </w:pPr>
      <w:r>
        <w:t>Dữ liệu có cấu trúc gồm mã đơn vị, tên chuẩn, quan hệ quản lý, thông tin ghi danh, thời điểm hiệu lực và liên kết nguồn. Dữ liệu phi cấu trúc gồm phần mô tả, lịch sử, hướng dẫn tham quan và nội dung giải thích thủ tục. Một văn bản có thể cung cấp cả hai dạng: thông tin về quan hệ được trích xuất vào KG, trong khi đoạn văn gốc được lưu để làm minh chứng và truy xuất. Hai nhánh phải dùng chung định danh nguồn để tránh mất liên kết giữa kết quả logic và lời giải thích.</w:t>
      </w:r>
    </w:p>
    <w:p>
      <w:pPr>
        <w:jc w:val="both"/>
      </w:pPr>
      <w:r>
        <w:t>Các trường bắt buộc của hợp đồng dữ liệu được đề xuất trong Bảng 2.3. Tách định danh tài liệu và định danh phiên bản giúp hệ thống phân biệt việc cập nhật nội dung với việc tạo một tài liệu hoàn toàn mới. Mã băm được tính trên nội dung của phiên bản đã xác định; vị trí đoạn trích luôn tham chiếu đúng phiên bản này.</w:t>
      </w:r>
    </w:p>
    <w:p>
      <w:pPr>
        <w:pStyle w:val="Caption"/>
        <w:jc w:val="center"/>
      </w:pPr>
      <w:r>
        <w:t>Bảng 2.3. Các nhóm trường trong hợp đồng dữ liệu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005"/>
        <w:gridCol w:w="4025"/>
      </w:tblGrid>
      <w:tr>
        <w:trPr>
          <w:cantSplit/>
          <w:tblHeader/>
        </w:trPr>
        <w:tc>
          <w:tcPr>
            <w:tcW w:type="dxa" w:w="2041"/>
            <w:vAlign w:val="center"/>
            <w:tcMar>
              <w:top w:w="85" w:type="dxa"/>
              <w:left w:w="85" w:type="dxa"/>
              <w:bottom w:w="85" w:type="dxa"/>
              <w:right w:w="85" w:type="dxa"/>
            </w:tcMar>
            <w:shd w:fill="E7E7E7"/>
          </w:tcPr>
          <w:p>
            <w:pPr>
              <w:spacing w:after="40" w:before="40" w:line="259" w:lineRule="auto"/>
              <w:ind w:firstLine="0"/>
              <w:jc w:val="left"/>
            </w:pPr>
            <w:r>
              <w:rPr>
                <w:b/>
                <w:sz w:val="23"/>
              </w:rPr>
              <w:t>Nhóm</w:t>
            </w:r>
          </w:p>
        </w:tc>
        <w:tc>
          <w:tcPr>
            <w:tcW w:type="dxa" w:w="3005"/>
            <w:vAlign w:val="center"/>
            <w:tcMar>
              <w:top w:w="85" w:type="dxa"/>
              <w:left w:w="85" w:type="dxa"/>
              <w:bottom w:w="85" w:type="dxa"/>
              <w:right w:w="85" w:type="dxa"/>
            </w:tcMar>
            <w:shd w:fill="E7E7E7"/>
          </w:tcPr>
          <w:p>
            <w:pPr>
              <w:spacing w:after="40" w:before="40" w:line="259" w:lineRule="auto"/>
              <w:ind w:firstLine="0"/>
              <w:jc w:val="left"/>
            </w:pPr>
            <w:r>
              <w:rPr>
                <w:b/>
                <w:sz w:val="23"/>
              </w:rPr>
              <w:t>Trường chính</w:t>
            </w:r>
          </w:p>
        </w:tc>
        <w:tc>
          <w:tcPr>
            <w:tcW w:type="dxa" w:w="4025"/>
            <w:vAlign w:val="center"/>
            <w:tcMar>
              <w:top w:w="85" w:type="dxa"/>
              <w:left w:w="85" w:type="dxa"/>
              <w:bottom w:w="85" w:type="dxa"/>
              <w:right w:w="85" w:type="dxa"/>
            </w:tcMar>
            <w:shd w:fill="E7E7E7"/>
          </w:tcPr>
          <w:p>
            <w:pPr>
              <w:spacing w:after="40" w:before="40" w:line="259" w:lineRule="auto"/>
              <w:ind w:firstLine="0"/>
              <w:jc w:val="left"/>
            </w:pPr>
            <w:r>
              <w:rPr>
                <w:b/>
                <w:sz w:val="23"/>
              </w:rPr>
              <w:t>Ý nghĩa và ràng buộc</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Định danh</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doc_id, version_id, content_hash</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Ổn định, duy nhất theo quy tắc của kho; không dùng tiêu đề làm khóa.</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Nguồn</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source_id, source_uri, publisher, source_type</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Phân biệt nguồn gốc, bản đăng lại và nội dung được tạo tự động.</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Thời gian</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published_at, collected_at, valid_from, valid_to</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Không đồng nhất thời điểm thu thập với hiệu lực; giá trị chưa biết được ghi rõ.</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Nội dung</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title, text, domain, language</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Bản văn đã chuẩn hóa; miền có thể gồm hành chính, di sản, du lịch hoặc pháp luật.</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Liên kết</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entity_ids, assertion_ids</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Gắn đoạn văn với thực thể và phát biểu trong KG sau khi xác minh.</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Đoạn trích</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chunk_id, page, section, start_offset, end_offset</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Cho phép truy ngược vị trí; không suy ra số trang nếu nguồn không có trang.</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Chất lượng</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review_status, extraction_method</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Phân biệt dữ liệu đã duyệt với ứng viên trích xuất tự động.</w:t>
            </w:r>
          </w:p>
        </w:tc>
      </w:tr>
    </w:tbl>
    <w:p>
      <w:pPr>
        <w:spacing w:after="0" w:before="0" w:line="240" w:lineRule="auto"/>
      </w:pPr>
      <w:r>
        <w:rPr>
          <w:sz w:val="6"/>
        </w:rPr>
      </w:r>
    </w:p>
    <w:p>
      <w:pPr>
        <w:jc w:val="both"/>
      </w:pPr>
      <w:r>
        <w:t>Các bản ghi được trao đổi theo JSON/JSONL để giữ kiểu trường và dễ xử lý theo dòng. Bảng quan hệ ổn định có thể nhập từ CSV nhưng mã định danh cần đọc dưới dạng chuỗi. Dữ liệu KG được xuất RDF, trong khi phần văn bản dùng JSONL và metadata SQLite. Không cần ép toàn bộ nội dung mô tả thành các bộ ba vì cách làm này có thể mất ngữ cảnh và làm tăng số quan hệ chưa được kiểm chứng.</w:t>
      </w:r>
    </w:p>
    <w:p>
      <w:pPr>
        <w:jc w:val="both"/>
      </w:pPr>
      <w:r>
        <w:t>Với chunk văn bản, chunk_id được tạo từ định danh tài liệu, phiên bản và vị trí đoạn; vector_id là khóa số dùng trong FAISS. Hệ thống phải duy trì ánh xạ một-một giữa vector_id và chunk_id đang hoạt động. Khi tài liệu thay đổi, các đoạn thuộc phiên bản cũ được đánh dấu không còn dùng cho truy vấn hiện hành hoặc đưa vào kho lịch sử theo chính sách thời gian. Không tái sử dụng một vector cũ cho văn bản đã đổi.</w:t>
      </w:r>
    </w:p>
    <w:p>
      <w:pPr>
        <w:pStyle w:val="Heading2"/>
        <w:jc w:val="left"/>
      </w:pPr>
      <w:r>
        <w:t>2.2.3. Xây dựng tập câu hỏi mẫu (Queries).</w:t>
      </w:r>
    </w:p>
    <w:p>
      <w:pPr>
        <w:jc w:val="both"/>
      </w:pPr>
      <w:r>
        <w:t>Tập câu hỏi mẫu có hai vai trò: phát triển bộ định tuyến và đánh giá toàn bộ chuỗi trả lời. Nếu chỉ dùng các câu hỏi được viết theo mẫu của truy vấn SPARQL, đánh giá sẽ thiên về các cấu trúc đã biết. Vì vậy, tập dữ liệu cần bao phủ nhiều cách diễn đạt, mức độ cụ thể và tình huống thiếu thông tin. Mỗi mẫu gồm câu hỏi, ý định, thực thể, điều kiện không gian – thời gian, nhánh mong đợi, đáp án chuẩn, mã minh chứng và trạng thái có thể trả lời.</w:t>
      </w:r>
    </w:p>
    <w:p>
      <w:pPr>
        <w:pStyle w:val="Caption"/>
        <w:jc w:val="center"/>
      </w:pPr>
      <w:r>
        <w:t>Bảng 2.4. Ma trận câu hỏi mẫu dùng để xây dựng bộ kiểm thử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4139"/>
        <w:gridCol w:w="3231"/>
      </w:tblGrid>
      <w:tr>
        <w:trPr>
          <w:cantSplit/>
          <w:tblHeader/>
        </w:trPr>
        <w:tc>
          <w:tcPr>
            <w:tcW w:type="dxa" w:w="1701"/>
            <w:vAlign w:val="center"/>
            <w:tcMar>
              <w:top w:w="85" w:type="dxa"/>
              <w:left w:w="85" w:type="dxa"/>
              <w:bottom w:w="85" w:type="dxa"/>
              <w:right w:w="85" w:type="dxa"/>
            </w:tcMar>
            <w:shd w:fill="E7E7E7"/>
          </w:tcPr>
          <w:p>
            <w:pPr>
              <w:spacing w:after="40" w:before="40" w:line="259" w:lineRule="auto"/>
              <w:ind w:firstLine="0"/>
              <w:jc w:val="left"/>
            </w:pPr>
            <w:r>
              <w:rPr>
                <w:b/>
                <w:sz w:val="23"/>
              </w:rPr>
              <w:t>Nhóm</w:t>
            </w:r>
          </w:p>
        </w:tc>
        <w:tc>
          <w:tcPr>
            <w:tcW w:type="dxa" w:w="4139"/>
            <w:vAlign w:val="center"/>
            <w:tcMar>
              <w:top w:w="85" w:type="dxa"/>
              <w:left w:w="85" w:type="dxa"/>
              <w:bottom w:w="85" w:type="dxa"/>
              <w:right w:w="85" w:type="dxa"/>
            </w:tcMar>
            <w:shd w:fill="E7E7E7"/>
          </w:tcPr>
          <w:p>
            <w:pPr>
              <w:spacing w:after="40" w:before="40" w:line="259" w:lineRule="auto"/>
              <w:ind w:firstLine="0"/>
              <w:jc w:val="left"/>
            </w:pPr>
            <w:r>
              <w:rPr>
                <w:b/>
                <w:sz w:val="23"/>
              </w:rPr>
              <w:t>Câu hỏi minh họa</w:t>
            </w:r>
          </w:p>
        </w:tc>
        <w:tc>
          <w:tcPr>
            <w:tcW w:type="dxa" w:w="3231"/>
            <w:vAlign w:val="center"/>
            <w:tcMar>
              <w:top w:w="85" w:type="dxa"/>
              <w:left w:w="85" w:type="dxa"/>
              <w:bottom w:w="85" w:type="dxa"/>
              <w:right w:w="85" w:type="dxa"/>
            </w:tcMar>
            <w:shd w:fill="E7E7E7"/>
          </w:tcPr>
          <w:p>
            <w:pPr>
              <w:spacing w:after="40" w:before="40" w:line="259" w:lineRule="auto"/>
              <w:ind w:firstLine="0"/>
              <w:jc w:val="left"/>
            </w:pPr>
            <w:r>
              <w:rPr>
                <w:b/>
                <w:sz w:val="23"/>
              </w:rPr>
              <w:t>Kỳ vọng xử lý</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Quan hệ hiện hành</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Đơn vị X thuộc tỉnh nào theo dữ liệu có hiệu lực hôm nay?</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KG; chuyển “hôm nay” thành ngày cụ thể và kiểm tra độ mới.</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Quan hệ lịch sử</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Ngày t, đơn vị X thuộc đơn vị cấp trên nào?</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KG theo khoảng hiệu lực, không dùng quan hệ hiện tại thay thế.</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Liệt kê và đếm</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Tại thời điểm t, tỉnh Y có những đơn vị cấp xã nào?</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KG; tập kết quả đầy đủ, không lẫn các cấp hoặc phiên bản.</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Giải thích</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Giá trị văn hóa tiêu biểu của di sản X là gì?</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RAG; các đoạn mô tả phù hợp và có nguồn.</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Kết hợp</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Giới thiệu di sản trong vùng Y tại thời điểm t.</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KG lọc thực thể, RAG cung cấp mô tả có liên kết.</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Hình học</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Điểm di sản nào cách vị trí P không quá 5 km?</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Cần hình học, hệ quy chiếu và phép đo; thiếu dữ liệu phải nêu rõ.</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Mơ hồ</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Cho biết thông tin về xã X.</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Hỏi lại địa bàn hoặc thời điểm khi có nhiều đối tượng phù hợp.</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Không có căn cứ</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Di sản X có được ghi danh vào năm z không?</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Không suy từ việc KG thiếu quan hệ thành kết luận “không”.</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Nguồn xung đột</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Hai tài liệu ghi cấp quản lý của X khác nhau, thông tin nào áp dụng?</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Đối chiếu đối tượng, hiệu lực và nguồn; có thể chưa kết luận.</w:t>
            </w:r>
          </w:p>
        </w:tc>
      </w:tr>
      <w:tr>
        <w:trPr>
          <w:cantSplit/>
        </w:trPr>
        <w:tc>
          <w:tcPr>
            <w:tcW w:type="dxa" w:w="1701"/>
            <w:vAlign w:val="center"/>
            <w:tcMar>
              <w:top w:w="85" w:type="dxa"/>
              <w:left w:w="85" w:type="dxa"/>
              <w:bottom w:w="85" w:type="dxa"/>
              <w:right w:w="85" w:type="dxa"/>
            </w:tcMar>
          </w:tcPr>
          <w:p>
            <w:pPr>
              <w:spacing w:after="40" w:before="40" w:line="259" w:lineRule="auto"/>
              <w:ind w:firstLine="0"/>
              <w:jc w:val="left"/>
            </w:pPr>
            <w:r>
              <w:rPr>
                <w:b w:val="0"/>
                <w:sz w:val="23"/>
              </w:rPr>
              <w:t>Biến thể từ vựng</w:t>
            </w:r>
          </w:p>
        </w:tc>
        <w:tc>
          <w:tcPr>
            <w:tcW w:type="dxa" w:w="4139"/>
            <w:vAlign w:val="center"/>
            <w:tcMar>
              <w:top w:w="85" w:type="dxa"/>
              <w:left w:w="85" w:type="dxa"/>
              <w:bottom w:w="85" w:type="dxa"/>
              <w:right w:w="85" w:type="dxa"/>
            </w:tcMar>
          </w:tcPr>
          <w:p>
            <w:pPr>
              <w:spacing w:after="40" w:before="40" w:line="259" w:lineRule="auto"/>
              <w:ind w:firstLine="0"/>
              <w:jc w:val="left"/>
            </w:pPr>
            <w:r>
              <w:rPr>
                <w:b w:val="0"/>
                <w:sz w:val="23"/>
              </w:rPr>
              <w:t>Tên viết tắt hoặc tên cũ của địa điểm X.</w:t>
            </w:r>
          </w:p>
        </w:tc>
        <w:tc>
          <w:tcPr>
            <w:tcW w:type="dxa" w:w="3231"/>
            <w:vAlign w:val="center"/>
            <w:tcMar>
              <w:top w:w="85" w:type="dxa"/>
              <w:left w:w="85" w:type="dxa"/>
              <w:bottom w:w="85" w:type="dxa"/>
              <w:right w:w="85" w:type="dxa"/>
            </w:tcMar>
          </w:tcPr>
          <w:p>
            <w:pPr>
              <w:spacing w:after="40" w:before="40" w:line="259" w:lineRule="auto"/>
              <w:ind w:firstLine="0"/>
              <w:jc w:val="left"/>
            </w:pPr>
            <w:r>
              <w:rPr>
                <w:b w:val="0"/>
                <w:sz w:val="23"/>
              </w:rPr>
              <w:t>Chuẩn hóa và liên kết thực thể trước khi truy xuất.</w:t>
            </w:r>
          </w:p>
        </w:tc>
      </w:tr>
    </w:tbl>
    <w:p>
      <w:pPr>
        <w:spacing w:after="0" w:before="0" w:line="240" w:lineRule="auto"/>
      </w:pPr>
      <w:r>
        <w:rPr>
          <w:sz w:val="6"/>
        </w:rPr>
      </w:r>
    </w:p>
    <w:p>
      <w:pPr>
        <w:jc w:val="both"/>
      </w:pPr>
      <w:r>
        <w:t>Đáp án chuẩn cần được kiểm tra bằng nguồn gốc chứ không lấy trực tiếp đầu ra của chính hệ thống. Với câu hỏi dạng danh sách, người gán nhãn phải xác nhận mức độ đầy đủ của danh sách chuẩn. Với câu hỏi giải thích, cần ghi những ý bắt buộc và các đoạn hỗ trợ, thay vì yêu cầu mô hình lặp nguyên văn một câu trả lời cố định. Các câu không thể trả lời cũng cần có lý do, chẳng hạn thiếu thời điểm, tên mơ hồ hoặc chưa có nguồn đáng tin cậy.</w:t>
      </w:r>
    </w:p>
    <w:p>
      <w:pPr>
        <w:jc w:val="both"/>
      </w:pPr>
      <w:r>
        <w:t>Nhóm đề xuất chia dữ liệu thành tập huấn luyện, tập phát triển và tập kiểm thử theo nhóm tài liệu, thực thể hoặc cụm câu hỏi gần trùng. Các biến thể diễn đạt của cùng câu hỏi không được nằm ở cả tập huấn luyện và kiểm thử. Tập phát triển được dùng chọn ngưỡng, số lượng đoạn và cấu hình mô hình; tập kiểm thử được giữ riêng đến khi chốt cấu hình. Cần thêm một tập kiểm tra theo thời gian để quan sát khả năng xử lý dữ liệu mới và quan hệ đã thay đổi.</w:t>
      </w:r>
    </w:p>
    <w:p>
      <w:pPr>
        <w:jc w:val="both"/>
      </w:pPr>
      <w:r>
        <w:t>Quá trình gán nhãn nên có hai người kiểm tra độc lập đối với các dữ kiện hành chính và các trường hợp tranh chấp. Khi không thống nhất, bản ghi được xem lại với nguồn gốc và lưu lý do quyết định. Bộ câu hỏi hiện có của dự án còn nhỏ, phù hợp kiểm tra chức năng ban đầu hơn là kết luận khả năng tổng quát [28]. Vì vậy, mở rộng bộ nhãn chuẩn là một công việc riêng, không thể thay thế bằng việc tăng số đoạn trong chỉ mục.</w:t>
      </w:r>
    </w:p>
    <w:p>
      <w:pPr>
        <w:pStyle w:val="Heading1"/>
        <w:jc w:val="left"/>
      </w:pPr>
      <w:r>
        <w:t>2.3. Thiết kế Đồ thị Tri thức (Nhánh KG)</w:t>
      </w:r>
    </w:p>
    <w:p>
      <w:pPr>
        <w:pStyle w:val="Heading2"/>
        <w:jc w:val="left"/>
      </w:pPr>
      <w:r>
        <w:t>2.3.1. Thiết kế Schema Ontology cho dữ liệu địa giới và di sản.</w:t>
      </w:r>
    </w:p>
    <w:p>
      <w:pPr>
        <w:jc w:val="both"/>
      </w:pPr>
      <w:r>
        <w:t>KG được lựa chọn để biểu diễn các đối tượng và quan hệ có cấu trúc. RDF mô tả dữ liệu bằng bộ ba chủ thể, thuộc tính và đối tượng; IRI giúp định danh các tài nguyên độc lập với nhãn hiển thị [2]. OWL hỗ trợ khai báo lớp, thuộc tính và các ràng buộc ngữ nghĩa [12]. SPARQL được dùng để truy vấn dữ liệu đáp ứng điều kiện [16]. Những công nghệ này hỗ trợ tổ chức và truy vấn tri thức, nhưng không tự xác minh tính đúng của dữ liệu đầu vào.</w:t>
      </w:r>
    </w:p>
    <w:p>
      <w:pPr>
        <w:jc w:val="both"/>
      </w:pPr>
      <w:r>
        <w:t>Trong thiết kế, định danh thực thể phải ổn định khi tên thay đổi. Mã đơn vị là một thuộc tính có ngữ cảnh về cơ quan cấp mã và khoảng hiệu lực, không mặc định là khóa vĩnh viễn trên mọi tập dữ liệu lịch sử. Khi có sự kiện chia, nhập hoặc thay thế đơn vị, hệ thống lưu sự kiện và quan hệ tiền thân – kế thừa, đồng thời giữ các phiên bản trước đó. Không gộp hai thực thể chỉ vì chúng có cùng tên hoặc coi các đơn vị kế thừa là hoàn toàn đồng nhất.</w:t>
      </w:r>
    </w:p>
    <w:p>
      <w:pPr>
        <w:pStyle w:val="Caption"/>
        <w:jc w:val="center"/>
      </w:pPr>
      <w:r>
        <w:t>Bảng 2.5. Các nhóm lớp chính trong ontology đề xuất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005"/>
        <w:gridCol w:w="4025"/>
      </w:tblGrid>
      <w:tr>
        <w:trPr>
          <w:cantSplit/>
          <w:tblHeader/>
        </w:trPr>
        <w:tc>
          <w:tcPr>
            <w:tcW w:type="dxa" w:w="2041"/>
            <w:vAlign w:val="center"/>
            <w:tcMar>
              <w:top w:w="85" w:type="dxa"/>
              <w:left w:w="85" w:type="dxa"/>
              <w:bottom w:w="85" w:type="dxa"/>
              <w:right w:w="85" w:type="dxa"/>
            </w:tcMar>
            <w:shd w:fill="E7E7E7"/>
          </w:tcPr>
          <w:p>
            <w:pPr>
              <w:spacing w:after="40" w:before="40" w:line="259" w:lineRule="auto"/>
              <w:ind w:firstLine="0"/>
              <w:jc w:val="left"/>
            </w:pPr>
            <w:r>
              <w:rPr>
                <w:b/>
                <w:sz w:val="23"/>
              </w:rPr>
              <w:t>Lớp hoặc nhóm lớp</w:t>
            </w:r>
          </w:p>
        </w:tc>
        <w:tc>
          <w:tcPr>
            <w:tcW w:type="dxa" w:w="3005"/>
            <w:vAlign w:val="center"/>
            <w:tcMar>
              <w:top w:w="85" w:type="dxa"/>
              <w:left w:w="85" w:type="dxa"/>
              <w:bottom w:w="85" w:type="dxa"/>
              <w:right w:w="85" w:type="dxa"/>
            </w:tcMar>
            <w:shd w:fill="E7E7E7"/>
          </w:tcPr>
          <w:p>
            <w:pPr>
              <w:spacing w:after="40" w:before="40" w:line="259" w:lineRule="auto"/>
              <w:ind w:firstLine="0"/>
              <w:jc w:val="left"/>
            </w:pPr>
            <w:r>
              <w:rPr>
                <w:b/>
                <w:sz w:val="23"/>
              </w:rPr>
              <w:t>Vai trò</w:t>
            </w:r>
          </w:p>
        </w:tc>
        <w:tc>
          <w:tcPr>
            <w:tcW w:type="dxa" w:w="4025"/>
            <w:vAlign w:val="center"/>
            <w:tcMar>
              <w:top w:w="85" w:type="dxa"/>
              <w:left w:w="85" w:type="dxa"/>
              <w:bottom w:w="85" w:type="dxa"/>
              <w:right w:w="85" w:type="dxa"/>
            </w:tcMar>
            <w:shd w:fill="E7E7E7"/>
          </w:tcPr>
          <w:p>
            <w:pPr>
              <w:spacing w:after="40" w:before="40" w:line="259" w:lineRule="auto"/>
              <w:ind w:firstLine="0"/>
              <w:jc w:val="left"/>
            </w:pPr>
            <w:r>
              <w:rPr>
                <w:b/>
                <w:sz w:val="23"/>
              </w:rPr>
              <w:t>Thuộc tính hoặc quan hệ tiêu biểu</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AdministrativeUnit; UnitVersion</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Đơn vị và trạng thái của đơn vị theo thời gian.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Mã, tên, loại đơn vị, khoảng hiệu lực, phiên bản trước.</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AdministrativeMembership</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Phát biểu một đơn vị trực thuộc đơn vị khác.</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unit, parentUnit, validFrom, validTo, evidence.</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AdministrativeChangeEvent</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Sự kiện điều chỉnh địa giới hoặc tổ chức.</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Đơn vị trước/sau, loại thay đổi, ngày hiệu lực, văn bản căn cứ.</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HeritagePlace; HeritagePractice</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Phân biệt địa điểm di sản và thực hành di sản.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Tên, loại, nơi phân bố hoặc diễn ra; mô tả có nguồn.</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RecognitionEvent</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Sự kiện ghi danh hoặc công nhận.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Đối tượng, cơ quan, danh sách, ngày/năm và nguồn chứng minh.</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LegalDocument; LegalArticle; Procedure</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Văn bản, điều khoản và thông tin thủ tục.</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Cơ quan ban hành, hiệu lực, phiên bản và quan hệ dẫn chiếu.</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SourceDocument; EvidenceAssertion</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Nguồn và phát biểu được rút ra từ nguồn.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Tài liệu, vị trí, đoạn trích, phương pháp và trạng thái kiểm tra.</w:t>
            </w:r>
          </w:p>
        </w:tc>
      </w:tr>
    </w:tbl>
    <w:p>
      <w:pPr>
        <w:spacing w:after="0" w:before="0" w:line="240" w:lineRule="auto"/>
      </w:pPr>
      <w:r>
        <w:rPr>
          <w:sz w:val="6"/>
        </w:rPr>
      </w:r>
    </w:p>
    <w:p>
      <w:pPr>
        <w:jc w:val="both"/>
      </w:pPr>
      <w:r>
        <w:t>Đối với di sản, cần phân biệt đối tượng vật thể, di sản thiên nhiên và thực hành văn hóa phi vật thể. Công ước UNESCO 1972 và Công ước 2003 có phạm vi và cơ chế ghi danh khác nhau [14], [15]. Vì vậy, không dùng một thuộc tính nhị phân “UNESCO = có” để thay cho loại danh sách, đối tượng được ghi danh và thời điểm. Thiết kế RecognitionEvent cho phép một đối tượng có nhiều sự kiện ghi nhận mà không ghi đè lịch sử.</w:t>
      </w:r>
    </w:p>
    <w:p>
      <w:pPr>
        <w:jc w:val="both"/>
      </w:pPr>
      <w:r>
        <w:t>Quan hệ hành chính cũng phải tách khỏi quan hệ hình học. Một địa điểm có thể có tọa độ nằm trong một đa giác, trong khi quan hệ cơ quan quản lý được xác định bằng văn bản khác. Với di sản phi vật thể, phạm vi thực hành có thể trải trên nhiều địa bàn nên không nên ép về một điểm duy nhất. Bảo tàng có thể được mô hình hóa như địa điểm hoặc tổ chức; việc một bảo tàng lưu giữ hiện vật không tự làm cho toàn bộ tổ chức trở thành đối tượng đã được xếp hạng di sản.</w:t>
      </w:r>
    </w:p>
    <w:p>
      <w:pPr>
        <w:jc w:val="both"/>
      </w:pPr>
      <w:r>
        <w:t>RDF không tự gắn thời gian cho mọi bộ ba [2]. Do đó, đồ án đề xuất biểu diễn quan hệ trực thuộc bằng một bản ghi AdministrativeMembership có khoảng hiệu lực riêng. Khoảng được quy ước dạng nửa mở: ngày bắt đầu được tính, ngày kết thúc không được tính. Ví dụ, nếu một quan hệ chấm dứt ngay trước ngày 01/07 thì validTo được lưu là 01/07, sau khi đã đối chiếu đúng cách mô tả trong nguồn. Không tự cộng một ngày nếu nguồn chỉ cho biết tháng, năm hoặc mốc thời gian chưa rõ.</w:t>
      </w:r>
    </w:p>
    <w:p>
      <w:pPr>
        <w:jc w:val="both"/>
      </w:pPr>
      <w:r>
        <w:t>Một trường validTo bỏ trống có hai khả năng khác nhau: quan hệ được xác nhận chưa có mốc kết thúc trong phiên bản dữ liệu, hoặc hệ thống chưa biết mốc kết thúc. Thiết kế sử dụng cờ endOpen và trạng thái reviewStatus để phân biệt. Truy vấn theo thời điểm chỉ nhận các khoảng đã được xác minh; bản ghi chưa biết thời gian không được tự coi là có hiệu lực vô hạn. Ngày thu thập vẫn được lưu để người dùng biết giới hạn cập nhật của kho.</w:t>
      </w:r>
    </w:p>
    <w:p>
      <w:pPr>
        <w:jc w:val="both"/>
      </w:pPr>
      <w:r>
        <w:t>Ví dụ SPARQL dưới đây minh họa truy vấn cấp trên của một đơn vị tại ngày được cung cấp. IRI example.org, đơn vị X và ngày truy vấn là dữ liệu minh họa cho schema đề xuất. Trong triển khai, tham số phải được gán qua cơ chế binding hoặc kiểm tra kiểu, không ghép trực tiếp chuỗi người dùng vào truy vấn.</w:t>
      </w:r>
    </w:p>
    <w:p>
      <w:pPr>
        <w:keepLines/>
        <w:spacing w:after="160" w:line="252" w:lineRule="auto"/>
        <w:ind w:firstLine="0" w:left="142"/>
      </w:pPr>
      <w:r>
        <w:rPr>
          <w:rFonts w:ascii="Courier New" w:hAnsi="Courier New"/>
          <w:sz w:val="20"/>
        </w:rPr>
        <w:t>PREFIX vn:  &lt;https://example.org/vn/&gt;</w:t>
        <w:br/>
        <w:t>PREFIX xsd: &lt;http://www.w3.org/2001/XMLSchema#&gt;</w:t>
        <w:br/>
        <w:t>SELECT DISTINCT ?parent ?evidence</w:t>
        <w:br/>
        <w:t>WHERE {</w:t>
        <w:br/>
        <w:t xml:space="preserve">  VALUES (?unit ?at) {</w:t>
        <w:br/>
        <w:t xml:space="preserve">    (vn:unit_X "2025-08-01"^^xsd:date)</w:t>
        <w:br/>
        <w:t xml:space="preserve">  }</w:t>
        <w:br/>
        <w:t xml:space="preserve">  ?m a vn:AdministrativeMembership ;</w:t>
        <w:br/>
        <w:t xml:space="preserve">     vn:unit ?unit ; vn:parentUnit ?parent ;</w:t>
        <w:br/>
        <w:t xml:space="preserve">     vn:validFrom ?from ;</w:t>
        <w:br/>
        <w:t xml:space="preserve">     vn:reviewStatus vn:Verified ;</w:t>
        <w:br/>
        <w:t xml:space="preserve">     vn:evidence ?evidence .</w:t>
        <w:br/>
        <w:t xml:space="preserve">  OPTIONAL { ?m vn:validTo ?to }</w:t>
        <w:br/>
        <w:t xml:space="preserve">  OPTIONAL { ?m vn:endOpen ?open }</w:t>
        <w:br/>
        <w:t xml:space="preserve">  FILTER (?from &lt;= ?at)</w:t>
        <w:br/>
        <w:t xml:space="preserve">  FILTER ((BOUND(?to) &amp;&amp; ?at &lt; ?to) ||</w:t>
        <w:br/>
        <w:t xml:space="preserve">          (!BOUND(?to) &amp;&amp; ?open = true))</w:t>
        <w:br/>
        <w:t>}</w:t>
      </w:r>
    </w:p>
    <w:p>
      <w:pPr>
        <w:jc w:val="both"/>
      </w:pPr>
      <w:r>
        <w:t>SPARQL hỗ trợ các cấu trúc SELECT, FILTER, OPTIONAL và VALUES được sử dụng trong ví dụ [16]. Với câu hỏi đếm, cần dùng COUNT(DISTINCT ...) theo đúng định danh thực thể để tránh đếm nhiều phiên bản hoặc nhiều nguồn thành nhiều đơn vị. Với yêu cầu liệt kê đầy đủ, không dùng LIMIT âm thầm cắt kết quả; nếu phân trang thì phải công bố cơ chế phân trang. Tối ưu truy vấn bắt đầu từ ràng buộc thực thể, loại và thời gian đủ chọn lọc, sau đó đo lại thời gian và kiểm tra tập kết quả không thay đổi.</w:t>
      </w:r>
    </w:p>
    <w:p>
      <w:pPr>
        <w:jc w:val="both"/>
      </w:pPr>
      <w:r>
        <w:t>SHACL được đề xuất để kiểm tra kiểu dữ liệu, số lượng giá trị bắt buộc và cấu trúc quan hệ [13]. Đồ án cần bổ sung kiểm tra chéo khoảng thời gian và quan hệ cấp trên theo quy tắc của từng loại đơn vị; không áp một quy tắc độc quyền cho mọi quan hệ địa lý. OWL sử dụng giả định thế giới mở, nên việc chưa có một quan hệ không chứng minh quan hệ đó sai [12]. Ngoài ra, khai báo tính bắc cầu trong ontology chỉ có tác dụng truy vấn phù hợp khi bộ thực thi đã được cấu hình suy diễn hoặc truy vấn đường dẫn tương ứng.</w:t>
      </w:r>
    </w:p>
    <w:p>
      <w:pPr>
        <w:jc w:val="both"/>
      </w:pPr>
      <w:r>
        <w:t>Ontology hiện có đã biểu diễn nhiều lớp địa giới và di sản, nhưng thời gian chủ yếu được gắn trên nút; chưa có đầy đủ cơ chế kiểm chứng hiệu lực ở từng quan hệ. Thuộc tính năm ghi danh có trong schema nhưng chưa đồng nghĩa dữ liệu và truy vấn đã bao phủ mọi trường hợp. GeoSPARQL và schema quan hệ theo thời gian ở trên là phần mở rộng đề xuất, cần triển khai và kiểm thử riêng [28].</w:t>
      </w:r>
    </w:p>
    <w:p>
      <w:pPr>
        <w:pStyle w:val="Heading2"/>
        <w:jc w:val="left"/>
      </w:pPr>
      <w:r>
        <w:t>2.3.2. Phương pháp trích xuất thực thể và quan hệ.</w:t>
      </w:r>
    </w:p>
    <w:p>
      <w:pPr>
        <w:jc w:val="both"/>
      </w:pPr>
      <w:r>
        <w:t>Đối với dữ liệu có cấu trúc, phương pháp ưu tiên là ánh xạ trường nguồn sang schema. Ví dụ, cột mã đơn vị được chuyển thành thuộc tính mã, cột đơn vị cấp trên được dùng tạo ứng viên quan hệ trực thuộc và văn bản căn cứ được gắn thành minh chứng. Việc ánh xạ được khai báo trong cấu hình để có thể kiểm tra và chạy lại. Một dòng thiếu căn cứ thời gian vẫn có thể tạo ứng viên thực thể, nhưng chưa đủ để tạo quan hệ lịch sử đã xác minh.</w:t>
      </w:r>
    </w:p>
    <w:p>
      <w:pPr>
        <w:jc w:val="both"/>
      </w:pPr>
      <w:r>
        <w:t>Đối với văn bản, chuỗi xử lý gồm phân tách nội dung, nhận diện thực thể, chuẩn hóa tên, liên kết thực thể và trích xuất quan hệ. VnCoreNLP cung cấp các chức năng xử lý tiếng Việt như phân tách từ, gán nhãn từ loại và nhận diện thực thể [11]. Công cụ này có thể hỗ trợ xây dựng ứng viên, nhưng nhãn thực thể chung không tự phân biệt đầy đủ loại di sản, mã đơn vị hoặc vai trò pháp lý trong miền của đồ án. Cần bổ sung từ điển miền và bộ quy tắc được kiểm thử trên dữ liệu thực tế.</w:t>
      </w:r>
    </w:p>
    <w:p>
      <w:pPr>
        <w:jc w:val="both"/>
      </w:pPr>
      <w:r>
        <w:t>Liên kết thực thể được thực hiện sau nhận diện tên. Hệ thống tạo danh sách ứng viên theo tên chuẩn, tên cũ và tên viết tắt, sau đó đối chiếu địa bàn, loại thực thể, thời gian và mã. Trường hợp nhiều ứng viên cùng phù hợp được giữ là mơ hồ để xử lý tiếp. Không chọn bản ghi đầu tiên chỉ vì giống tên; đây là nguồn lỗi đặc biệt đáng chú ý khi có nhiều xã, phường hoặc di tích trùng tên.</w:t>
      </w:r>
    </w:p>
    <w:p>
      <w:pPr>
        <w:jc w:val="both"/>
      </w:pPr>
      <w:r>
        <w:t>Trích xuất quan hệ cần nhận biết cả vai trò ngữ pháp và bối cảnh phát biểu. Câu mô tả “đề nghị sáp nhập X vào Y” không tương đương với việc đã có quyết định có hiệu lực. Từ chỉ trạng thái dự kiến, phủ định, điều kiện và viện dẫn phải được giữ lại. Bộ trích xuất tạo phát biểu ứng viên kèm đoạn nguồn và phương pháp tạo; người kiểm tra hoặc quy tắc đủ tin cậy mới chuyển sang trạng thái được sử dụng cho trả lời chắc chắn.</w:t>
      </w:r>
    </w:p>
    <w:p>
      <w:pPr>
        <w:jc w:val="both"/>
      </w:pPr>
      <w:r>
        <w:t>Mô hình ngôn ngữ có thể hỗ trợ đề xuất thực thể và quan hệ theo JSON schema, nhưng kết quả sinh phải qua kiểm tra kiểu, liên kết định danh và đối chiếu đoạn nguồn. Không đưa trực tiếp bộ ba do LLM tạo vào kho đã xác minh. Độ tin cậy của bộ trích xuất là một thuộc tính về phương pháp; nó không thay thế thẩm quyền của nguồn hay hiệu lực của văn bản.</w:t>
      </w:r>
    </w:p>
    <w:p>
      <w:pPr>
        <w:jc w:val="both"/>
      </w:pPr>
      <w:r>
        <w:t>Đánh giá trích xuất gồm precision, recall và F1 cho thực thể, quan hệ và các thuộc tính thời gian. Một quan hệ chỉ được chấm đúng hoàn toàn khi đúng hai đầu quan hệ, loại quan hệ và điều kiện hiệu lực cần thiết. Ngoài chỉ số tổng hợp, cần phân tích lỗi liên kết nhầm tên, bỏ sót phủ định, nhầm ngày ban hành với ngày hiệu lực và thiếu nguồn. Các lỗi này được ưu tiên sửa vì có thể lan truyền sang cả KG và câu trả lời sinh.</w:t>
      </w:r>
    </w:p>
    <w:p>
      <w:pPr>
        <w:pStyle w:val="Heading1"/>
        <w:jc w:val="left"/>
      </w:pPr>
      <w:r>
        <w:t>2.4. Thiết kế hệ thống truy xuất RAG (Nhánh RAG)</w:t>
      </w:r>
    </w:p>
    <w:p>
      <w:pPr>
        <w:pStyle w:val="Heading2"/>
        <w:jc w:val="left"/>
      </w:pPr>
      <w:r>
        <w:t>2.4.1. Cấu hình mô hình Embedding và tối ưu lexical gap.</w:t>
      </w:r>
    </w:p>
    <w:p>
      <w:pPr>
        <w:jc w:val="both"/>
      </w:pPr>
      <w:r>
        <w:t>Lexical gap xuất hiện khi câu hỏi và tài liệu đề cập cùng một nội dung nhưng dùng từ khác nhau. Người dùng có thể hỏi bằng tên thông dụng, viết tắt hoặc diễn đạt gần nghĩa, trong khi tài liệu dùng tên chính thức. Dense retrieval biểu diễn câu hỏi và đoạn văn trong không gian vector để tìm mức độ gần nhau về biểu diễn; DPR là một nghiên cứu tiêu biểu cho mô hình mã hóa câu hỏi và đoạn văn trong truy xuất hỏi đáp [19]. Cách tiếp cận này bổ sung cho tìm kiếm từ vựng, nhưng vẫn cần kiểm tra đối với tên riêng, số hiệu và điều kiện thời gian.</w:t>
      </w:r>
    </w:p>
    <w:p>
      <w:pPr>
        <w:jc w:val="both"/>
      </w:pPr>
      <w:r>
        <w:t>Mô hình được sử dụng trong cấu hình hiện có là intfloat/multilingual-e5-base. Theo model card, mô hình tạo vector 768 chiều và xử lý đầu vào tối đa 512 token; đầu vào truy vấn và đoạn văn sử dụng tiền tố “query: ” và “passage: ”, kể cả với ngôn ngữ ngoài tiếng Anh [18]. Cấu hình dự án đã sử dụng hai tiền tố và chuẩn hóa vector. Điều này cần được giữ nhất quán giữa lúc lập chỉ mục và lúc tìm kiếm [28].</w:t>
      </w:r>
    </w:p>
    <w:p>
      <w:pPr>
        <w:jc w:val="both"/>
      </w:pPr>
      <w:r>
        <w:t>Đối với E5, văn bản được đưa qua tokenizer của chính mô hình. Không mặc định ghép từ tiếng Việt bằng dấu gạch dưới hoặc áp dụng một bộ phân tách từ khác trước tokenizer nếu chưa có thí nghiệm chứng minh lợi ích. Phân tách từ có thể hữu ích cho các thành phần từ vựng hoặc NER, nhưng không phải bước bắt buộc chung cho mọi Transformer. Các thay đổi tiền xử lý đều cần được lưu trong cấu hình để chỉ mục có thể tái lập.</w:t>
      </w:r>
    </w:p>
    <w:p>
      <w:pPr>
        <w:jc w:val="both"/>
      </w:pPr>
      <w:r>
        <w:t>Báo cáo Multilingual E5 mô tả quá trình huấn luyện tương phản trên cặp văn bản đa ngôn ngữ và bước tinh chỉnh có giám sát [17]. Ý tưởng là làm gần biểu diễn của cặp phù hợp và phân biệt với các cặp không phù hợp. Đối với đồ án, sử dụng mô hình đã huấn luyện sẵn không đồng nghĩa đã tinh chỉnh mô hình trên dữ liệu di sản – hành chính. Hai hoạt động này cần được phân biệt khi mô tả đóng góp thực nghiệm.</w:t>
      </w:r>
    </w:p>
    <w:p>
      <w:pPr>
        <w:jc w:val="both"/>
      </w:pPr>
      <w:r>
        <w:t>Để thu hẹp lexical gap, thiết kế ưu tiên ba mức cải tiến có thể đánh giá riêng. Mức đầu là chuẩn hóa tên viết tắt và alias có kiểm soát, giữ cả câu hỏi gốc để tránh mất ý nghĩa. Mức tiếp theo là kết hợp kết quả tìm kiếm từ vựng và tìm kiếm dense. Mức cuối là tinh chỉnh embedding bằng cặp câu hỏi – đoạn đúng và các đoạn âm khó. Chẳng hạn, đoạn nói về thực thể cùng tên nhưng khác tỉnh hoặc đúng thực thể nhưng sai giai đoạn là ứng viên âm khó sau khi đã kiểm tra nhãn.</w:t>
      </w:r>
    </w:p>
    <w:p>
      <w:pPr>
        <w:jc w:val="both"/>
      </w:pPr>
      <w:r>
        <w:t>Với kết hợp BM25 và dense retrieval, nhóm đề xuất thử Reciprocal Rank Fusion (RRF). Phương pháp gốc hợp nhất các danh sách theo thứ hạng, nhờ đó không cần cộng trực tiếp điểm BM25 với cosine vốn khác thang đo [20]. Hằng số làm trơn và số lượng ứng viên phải chọn trên tập phát triển. Phương án chỉ được chọn nếu cải thiện chất lượng hoặc độ ổn định trên tập phát triển với mức tăng độ trễ chấp nhận được; đây là hướng mở rộng, chưa phải tính năng đã xác nhận của hệ thống hiện có.</w:t>
      </w:r>
    </w:p>
    <w:p>
      <w:pPr>
        <w:jc w:val="both"/>
      </w:pPr>
      <w:r>
        <w:t>Nếu tinh chỉnh, dữ liệu huấn luyện không được chứa câu hỏi hoặc bản diễn đạt gần trùng của tập kiểm thử. Cần so sánh tối thiểu các cấu hình: E5 gốc, E5 kèm mở rộng từ, kết hợp từ vựng và cấu hình đã tinh chỉnh. Mỗi cấu hình dùng cùng kho dữ liệu và cùng bộ nhãn. Có thể bổ sung cross-encoder để xếp hạng lại tập ứng viên nhỏ, nhưng phải đo chi phí tăng thêm. Nghiên cứu về thực hành RAG cho thấy nhiều bước xử lý cần được cân nhắc đồng thời về chất lượng và hiệu năng [29]; cấu hình tốt trên nghiên cứu khác không thay thế kiểm chứng trong miền tiếng Việt của đồ án.</w:t>
      </w:r>
    </w:p>
    <w:p>
      <w:pPr>
        <w:pStyle w:val="Heading2"/>
        <w:jc w:val="left"/>
      </w:pPr>
      <w:r>
        <w:t>2.4.2. Lập chỉ mục (Indexing) và lưu trữ vector.</w:t>
      </w:r>
    </w:p>
    <w:p>
      <w:pPr>
        <w:jc w:val="both"/>
      </w:pPr>
      <w:r>
        <w:t>FAISS là thư viện tìm kiếm độ tương đồng và phân cụm vector, cung cấp nhiều cấu trúc chỉ mục với các đánh đổi về bộ nhớ và tốc độ [21]. Trong đồ án, FAISS đảm nhiệm chỉ mục vector, còn metadata được lưu trong SQLite. Cách gọi “cơ sở dữ liệu vector FAISS” được hiểu theo vai trò trong hệ thống; riêng thư viện FAISS không tự cung cấp toàn bộ chức năng quản lý tài liệu, nguồn gốc và phiên bản của một cơ sở dữ liệu ứng dụng.</w:t>
      </w:r>
    </w:p>
    <w:p>
      <w:pPr>
        <w:jc w:val="both"/>
      </w:pPr>
      <w:r>
        <w:t>Chỉ mục nền của dự án là IndexIDMap2 bao quanh IndexFlatIP. Vector đoạn văn và vector câu hỏi được chuẩn hóa L2 trước khi sử dụng tích vô hướng, để thứ tự tìm kiếm tương ứng với cosine similarity theo hướng dẫn của FAISS [22]. IndexFlatIP là tìm kiếm chính xác trên tập vector đang xét, không phải một thuật toán tìm kiếm lân cận gần đúng. Tính “chính xác” ở đây chỉ nói đến phép tìm kiếm vector theo metric, không bảo đảm các đoạn tìm được đúng sự thật hoặc đủ minh chứng.</w:t>
      </w:r>
    </w:p>
    <w:p>
      <w:pPr>
        <w:ind w:firstLine="0"/>
        <w:jc w:val="center"/>
      </w:pPr>
      <m:oMath>
        <m:r>
          <m:t>cos(q,d) = </m:t>
        </m:r>
        <m:f>
          <m:num>
            <m:sSup>
              <m:e>
                <m:r>
                  <m:t>q</m:t>
                </m:r>
              </m:e>
              <m:sup>
                <m:r>
                  <m:t>T</m:t>
                </m:r>
              </m:sup>
            </m:sSup>
            <m:r>
              <m:t>d</m:t>
            </m:r>
          </m:num>
          <m:den>
            <m:r>
              <m:t>‖q‖ ‖d‖</m:t>
            </m:r>
          </m:den>
        </m:f>
      </m:oMath>
    </w:p>
    <w:p>
      <w:pPr>
        <w:jc w:val="both"/>
      </w:pPr>
      <w:r>
        <w:t>Trong công thức, q là vector câu hỏi và d là vector đoạn văn. Khi cả hai đã có chuẩn L2 bằng 1, điểm cosine bằng tích vô hướng của hai vector. Điểm này được dùng để xếp hạng mức độ gần nhau trong không gian embedding; không diễn giải điểm 0,8 là xác suất 80% câu trả lời đúng. Ngưỡng giữ hoặc loại đoạn cần được chọn trên dữ liệu gán nhãn của bài toán.</w:t>
      </w:r>
    </w:p>
    <w:p>
      <w:pPr>
        <w:pStyle w:val="Caption"/>
        <w:jc w:val="center"/>
      </w:pPr>
      <w:r>
        <w:t>Bảng 2.6. Cấu hình chỉ mục hiện có và hướng kiểm chứng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005"/>
        <w:gridCol w:w="4025"/>
      </w:tblGrid>
      <w:tr>
        <w:trPr>
          <w:cantSplit/>
          <w:tblHeader/>
        </w:trPr>
        <w:tc>
          <w:tcPr>
            <w:tcW w:type="dxa" w:w="2041"/>
            <w:vAlign w:val="center"/>
            <w:tcMar>
              <w:top w:w="85" w:type="dxa"/>
              <w:left w:w="85" w:type="dxa"/>
              <w:bottom w:w="85" w:type="dxa"/>
              <w:right w:w="85" w:type="dxa"/>
            </w:tcMar>
            <w:shd w:fill="E7E7E7"/>
          </w:tcPr>
          <w:p>
            <w:pPr>
              <w:spacing w:after="40" w:before="40" w:line="259" w:lineRule="auto"/>
              <w:ind w:firstLine="0"/>
              <w:jc w:val="left"/>
            </w:pPr>
            <w:r>
              <w:rPr>
                <w:b/>
                <w:sz w:val="23"/>
              </w:rPr>
              <w:t>Hạng mục</w:t>
            </w:r>
          </w:p>
        </w:tc>
        <w:tc>
          <w:tcPr>
            <w:tcW w:type="dxa" w:w="3005"/>
            <w:vAlign w:val="center"/>
            <w:tcMar>
              <w:top w:w="85" w:type="dxa"/>
              <w:left w:w="85" w:type="dxa"/>
              <w:bottom w:w="85" w:type="dxa"/>
              <w:right w:w="85" w:type="dxa"/>
            </w:tcMar>
            <w:shd w:fill="E7E7E7"/>
          </w:tcPr>
          <w:p>
            <w:pPr>
              <w:spacing w:after="40" w:before="40" w:line="259" w:lineRule="auto"/>
              <w:ind w:firstLine="0"/>
              <w:jc w:val="left"/>
            </w:pPr>
            <w:r>
              <w:rPr>
                <w:b/>
                <w:sz w:val="23"/>
              </w:rPr>
              <w:t>Cấu hình hiện có [28]</w:t>
            </w:r>
          </w:p>
        </w:tc>
        <w:tc>
          <w:tcPr>
            <w:tcW w:type="dxa" w:w="4025"/>
            <w:vAlign w:val="center"/>
            <w:tcMar>
              <w:top w:w="85" w:type="dxa"/>
              <w:left w:w="85" w:type="dxa"/>
              <w:bottom w:w="85" w:type="dxa"/>
              <w:right w:w="85" w:type="dxa"/>
            </w:tcMar>
            <w:shd w:fill="E7E7E7"/>
          </w:tcPr>
          <w:p>
            <w:pPr>
              <w:spacing w:after="40" w:before="40" w:line="259" w:lineRule="auto"/>
              <w:ind w:firstLine="0"/>
              <w:jc w:val="left"/>
            </w:pPr>
            <w:r>
              <w:rPr>
                <w:b/>
                <w:sz w:val="23"/>
              </w:rPr>
              <w:t>Điểm cần đánh giá hoặc bổ sung</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Embedding</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multilingual-e5-base; 768 chiều</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Đánh giá tên riêng, số hiệu và truy vấn lịch sử.</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Số lượng</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130.999 tài liệu; 456.108 vector đoạn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Số lượng dữ liệu không chứng minh độ đúng hoặc độ bao phủ.</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Chia đoạn</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900 ký tự; chồng lấn 150 ký tự</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Đo phân bố token; thử chia theo mục và giới hạn tokenizer.</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Tìm kiếm</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IndexIDMap2(IndexFlatIP); vector chuẩn hóa</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Đối chứng với tìm kiếm từ vựng; chỉ thử ANN khi có nhu cầu hiệu năng.</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Metadata</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SQLite; liên kết vector với đoạn và nguồn</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Bổ sung phiên bản, thời gian, mã thực thể và vị trí minh chứng.</w:t>
            </w:r>
          </w:p>
        </w:tc>
      </w:tr>
      <w:tr>
        <w:trPr>
          <w:cantSplit/>
        </w:trPr>
        <w:tc>
          <w:tcPr>
            <w:tcW w:type="dxa" w:w="2041"/>
            <w:vAlign w:val="center"/>
            <w:tcMar>
              <w:top w:w="85" w:type="dxa"/>
              <w:left w:w="85" w:type="dxa"/>
              <w:bottom w:w="85" w:type="dxa"/>
              <w:right w:w="85" w:type="dxa"/>
            </w:tcMar>
          </w:tcPr>
          <w:p>
            <w:pPr>
              <w:spacing w:after="40" w:before="40" w:line="259" w:lineRule="auto"/>
              <w:ind w:firstLine="0"/>
              <w:jc w:val="left"/>
            </w:pPr>
            <w:r>
              <w:rPr>
                <w:b w:val="0"/>
                <w:sz w:val="23"/>
              </w:rPr>
              <w:t>Thiết bị</w:t>
            </w:r>
          </w:p>
        </w:tc>
        <w:tc>
          <w:tcPr>
            <w:tcW w:type="dxa" w:w="3005"/>
            <w:vAlign w:val="center"/>
            <w:tcMar>
              <w:top w:w="85" w:type="dxa"/>
              <w:left w:w="85" w:type="dxa"/>
              <w:bottom w:w="85" w:type="dxa"/>
              <w:right w:w="85" w:type="dxa"/>
            </w:tcMar>
          </w:tcPr>
          <w:p>
            <w:pPr>
              <w:spacing w:after="40" w:before="40" w:line="259" w:lineRule="auto"/>
              <w:ind w:firstLine="0"/>
              <w:jc w:val="left"/>
            </w:pPr>
            <w:r>
              <w:rPr>
                <w:b w:val="0"/>
                <w:sz w:val="23"/>
              </w:rPr>
              <w:t>Embedding dùng MPS trong cấu hình build</w:t>
            </w:r>
          </w:p>
        </w:tc>
        <w:tc>
          <w:tcPr>
            <w:tcW w:type="dxa" w:w="4025"/>
            <w:vAlign w:val="center"/>
            <w:tcMar>
              <w:top w:w="85" w:type="dxa"/>
              <w:left w:w="85" w:type="dxa"/>
              <w:bottom w:w="85" w:type="dxa"/>
              <w:right w:w="85" w:type="dxa"/>
            </w:tcMar>
          </w:tcPr>
          <w:p>
            <w:pPr>
              <w:spacing w:after="40" w:before="40" w:line="259" w:lineRule="auto"/>
              <w:ind w:firstLine="0"/>
              <w:jc w:val="left"/>
            </w:pPr>
            <w:r>
              <w:rPr>
                <w:b w:val="0"/>
                <w:sz w:val="23"/>
              </w:rPr>
              <w:t>FAISS hiện chạy CPU; không đồng nhất MPS với FAISS GPU.</w:t>
            </w:r>
          </w:p>
        </w:tc>
      </w:tr>
    </w:tbl>
    <w:p>
      <w:pPr>
        <w:spacing w:after="0" w:before="0" w:line="240" w:lineRule="auto"/>
      </w:pPr>
      <w:r>
        <w:rPr>
          <w:sz w:val="6"/>
        </w:rPr>
      </w:r>
    </w:p>
    <w:p>
      <w:pPr>
        <w:jc w:val="both"/>
      </w:pPr>
      <w:r>
        <w:t>Kích thước chunk trong cấu hình hiện có được tính theo ký tự, không phải token. Một đoạn 900 ký tự không được bảo đảm luôn nằm dưới 512 token của mô hình. Vì vậy, thiết kế đề xuất đếm token bằng đúng tokenizer sau khi thêm tiền tố, rồi chia đoạn theo ranh giới câu hoặc mục. Những điều khoản có điều kiện, ngoại lệ hoặc danh sách liên quan cần được giữ chung hoặc liên kết với đoạn kế tiếp để tránh mất ý nghĩa. Độ dài và độ chồng lấn được chọn bằng thí nghiệm truy xuất, không chỉ bằng quan sát số đoạn.</w:t>
      </w:r>
    </w:p>
    <w:p>
      <w:pPr>
        <w:jc w:val="both"/>
      </w:pPr>
      <w:r>
        <w:t>Với 456.108 vector, 768 chiều và kiểu float32, riêng dữ liệu vector chiếm khoảng 1,40 GB theo hệ thập phân, tương đương khoảng 1,30 GiB. Đây là phép tính dung lượng vector thô; bộ nhớ vận hành còn gồm ID, metadata, mô hình embedding và bộ đệm. Khi kho tăng lớn, có thể thử IVF hoặc PQ để giảm chi phí, nhưng cần đo độ mất mát truy xuất so với IndexFlatIP trước khi thay thế. Không coi chỉ mục gần đúng là một nâng cấp luôn có lợi trong mọi cấu hình.</w:t>
      </w:r>
    </w:p>
    <w:p>
      <w:pPr>
        <w:jc w:val="both"/>
      </w:pPr>
      <w:r>
        <w:t>Tìm kiếm top-k phải được thực hiện trong phạm vi dữ liệu hợp lệ. Lọc miền sau khi lấy một top-k nhỏ có thể làm mất các đoạn đúng nằm ngoài danh sách ban đầu. Cấu hình hiện tại đã có lọc miền ở bước tìm kiếm [28]. Đối với truy vấn kết hợp, thiết kế mở rộng tập lọc bằng entity_id và điều kiện thời gian; nếu metadata chưa đủ thì không được tuyên bố đã đáp ứng điều kiện. Có thể truy xuất nhiều ứng viên hơn số đoạn đưa vào LLM, sau đó loại trùng và xếp hạng lại để tăng độ đa dạng minh chứng.</w:t>
      </w:r>
    </w:p>
    <w:p>
      <w:pPr>
        <w:jc w:val="both"/>
      </w:pPr>
      <w:r>
        <w:t>Mỗi lần phát hành chỉ mục cần có manifest chứa phiên bản dữ liệu, mô hình, tiền xử lý, chiều vector, metric và quy tắc chia đoạn. Chỉ mục FAISS và SQLite phải được công bố đồng bộ sau khi kiểm tra ID, tổng số bản ghi và các câu hỏi kiểm tra mẫu. Thay đổi mô hình embedding hoặc cách chuẩn hóa thường yêu cầu tạo lại vector tương ứng. Cơ chế phiên bản và thay thế nguyên bộ giúp tránh lỗi trộn vector của các không gian biểu diễn khác nhau.</w:t>
      </w:r>
    </w:p>
    <w:p>
      <w:pPr>
        <w:pStyle w:val="Heading1"/>
        <w:jc w:val="left"/>
      </w:pPr>
      <w:r>
        <w:t>2.5. Thiết kế kiến trúc tổng thể liên thông 3 lớp (KG + RAG + LLM)</w:t>
      </w:r>
    </w:p>
    <w:p>
      <w:pPr>
        <w:jc w:val="both"/>
      </w:pPr>
      <w:r>
        <w:t>Kiến trúc tổng thể đặt bộ điều phối giữa câu hỏi người dùng và các thành phần tri thức. KG xử lý điều kiện có cấu trúc; nhánh truy xuất chọn đoạn văn; LLM nhận minh chứng đã chuẩn hóa để diễn đạt. Câu trả lời dự thảo tiếp tục qua bước kiểm tra phát biểu trước khi xuất ra. Với câu hỏi đơn giản có đáp án KG xác định, hệ thống có thể dùng mẫu trả lời để giảm chi phí sinh, nhưng vẫn phải giữ trích dẫn nguồn.</w:t>
      </w:r>
    </w:p>
    <w:p>
      <w:pPr>
        <w:keepNext/>
        <w:ind w:firstLine="0"/>
        <w:jc w:val="center"/>
      </w:pPr>
      <w:r>
        <w:drawing>
          <wp:inline xmlns:a="http://schemas.openxmlformats.org/drawingml/2006/main" xmlns:pic="http://schemas.openxmlformats.org/drawingml/2006/picture">
            <wp:extent cx="5688000" cy="4148894"/>
            <wp:docPr id="2" name="Picture 2" descr="Sơ đồ định tuyến KG và truy xuất, sinh và kiểm tra câu trả lời"/>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88000" cy="4148894"/>
                    </a:xfrm>
                    <a:prstGeom prst="rect"/>
                  </pic:spPr>
                </pic:pic>
              </a:graphicData>
            </a:graphic>
          </wp:inline>
        </w:drawing>
      </w:r>
    </w:p>
    <w:p>
      <w:pPr>
        <w:pStyle w:val="Caption"/>
        <w:keepNext w:val="0"/>
        <w:jc w:val="center"/>
      </w:pPr>
      <w:r>
        <w:t>Hình 2.2. Kiến trúc xử lý câu hỏi và kiểm tra minh chứng được đề xuất</w:t>
      </w:r>
    </w:p>
    <w:p>
      <w:pPr>
        <w:jc w:val="both"/>
      </w:pPr>
      <w:r>
        <w:t>LLaMA 2 là một họ mô hình ngôn ngữ được mô tả trong nghiên cứu của Touvron và cộng sự [26]. vLLM là hệ thống phục vụ suy luận với cơ chế quản lý bộ nhớ PagedAttention [27]. Hai thành phần không có cùng vai trò: chọn một mô hình không đồng nghĩa đã có hạ tầng phục vụ phù hợp. Nếu sử dụng phương án này, đồ án cần thử chất lượng tiếng Việt, khả năng làm theo minh chứng, bộ nhớ và độ trễ trên thiết bị thực tế. Cấu hình hiện có của kho chưa đủ để xác nhận đã tích hợp và đánh giá lớp LLM [28].</w:t>
      </w:r>
    </w:p>
    <w:p>
      <w:pPr>
        <w:pStyle w:val="Heading2"/>
        <w:jc w:val="left"/>
      </w:pPr>
      <w:r>
        <w:t>2.5.1. Module xử lý và phân loại câu hỏi đầu vào (Question Processing).</w:t>
      </w:r>
    </w:p>
    <w:p>
      <w:pPr>
        <w:jc w:val="both"/>
      </w:pPr>
      <w:r>
        <w:t>Module xử lý câu hỏi gồm chuẩn hóa, nhận diện ý định, trích xuất điều kiện và lập kế hoạch truy xuất. Chuẩn hóa cần bảo toàn thông tin định danh; một chuỗi bốn chữ số có thể là năm hoặc mã nên phải xét ngữ cảnh. Các biểu thức “hiện nay”, “trước khi” và “sau khi” cần được chuyển thành điều kiện rõ ràng hoặc yêu cầu bổ sung thông tin. Nếu người dùng hỏi một đơn vị trùng tên, hệ thống chỉ tiếp tục khi đã xác định đủ ngữ cảnh.</w:t>
      </w:r>
    </w:p>
    <w:p>
      <w:pPr>
        <w:jc w:val="both"/>
      </w:pPr>
      <w:r>
        <w:t>Định tuyến và lập kế hoạch là hai bước khác nhau. Nhãn “KG” chỉ xác định nơi xử lý chính; kế hoạch còn phải chọn mẫu truy vấn, gán thực thể và kiểm tra điều kiện có được hỗ trợ hay không. Hệ thống hiện sử dụng đặc trưng TF-IDF theo từ và ký tự kết hợp Logistic Regression cùng các quy tắc định tuyến [28]. Đây là phương án nền phù hợp để đo và phân tích lỗi, nhưng bộ quy tắc không thay thế được việc kiểm tra schema và chất lượng dữ liệu.</w:t>
      </w:r>
    </w:p>
    <w:p>
      <w:pPr>
        <w:jc w:val="both"/>
      </w:pPr>
      <w:r>
        <w:t>Các nhánh được điều phối theo ba tình huống. Nếu câu hỏi chỉ cần quan hệ có sẵn, hệ thống thực thi mẫu SPARQL đọc dữ liệu. Nếu chủ yếu cần giải thích, hệ thống truy xuất văn bản theo miền và đối tượng. Nếu câu hỏi kết hợp, KG xác định tập đối tượng thỏa điều kiện rồi nhánh văn bản bổ sung mô tả. Khi hai phần của câu hỏi độc lập, bộ điều phối có thể chạy song song và hợp nhất minh chứng sau đó; không áp dụng cách này khi một nhánh phụ thuộc kết quả nhánh kia.</w:t>
      </w:r>
    </w:p>
    <w:p>
      <w:pPr>
        <w:keepLines/>
        <w:spacing w:after="160" w:line="252" w:lineRule="auto"/>
        <w:ind w:firstLine="0" w:left="142"/>
      </w:pPr>
      <w:r>
        <w:rPr>
          <w:rFonts w:ascii="Courier New" w:hAnsi="Courier New"/>
          <w:sz w:val="20"/>
        </w:rPr>
        <w:t>{</w:t>
        <w:br/>
        <w:t xml:space="preserve">  "intent": "describe_filtered_heritage",</w:t>
        <w:br/>
        <w:t xml:space="preserve">  "route": "hybrid",</w:t>
        <w:br/>
        <w:t xml:space="preserve">  "entity_ids": ["province_Y"],</w:t>
        <w:br/>
        <w:t xml:space="preserve">  "temporal": {"as_of": "2025-08-01"},</w:t>
        <w:br/>
        <w:t xml:space="preserve">  "spatial": {"relation": "administrative_membership"},</w:t>
        <w:br/>
        <w:t xml:space="preserve">  "steps": ["kg_filter", "retrieve_descriptions", "verify"],</w:t>
        <w:br/>
        <w:t xml:space="preserve">  "requires_evidence": true,</w:t>
        <w:br/>
        <w:t xml:space="preserve">  "ambiguity": []</w:t>
        <w:br/>
        <w:t>}</w:t>
      </w:r>
    </w:p>
    <w:p>
      <w:pPr>
        <w:jc w:val="both"/>
      </w:pPr>
      <w:r>
        <w:t>Ví dụ trên là hợp đồng kế hoạch đề xuất, dùng định danh và ngày minh họa. Bộ điều phối phải kiểm tra thực thể có tồn tại, loại quan hệ có được hỗ trợ và phạm vi thời gian có dữ liệu trước khi thực thi. Nếu KG trả rỗng, hệ thống cần phân biệt không có kết quả với thiếu dữ liệu hoặc mẫu truy vấn chưa đáp ứng. Chuyển sang RAG có thể giúp tìm thêm minh chứng nhưng không tự xác nhận kết quả KG ban đầu đúng hay sai.</w:t>
      </w:r>
    </w:p>
    <w:p>
      <w:pPr>
        <w:jc w:val="both"/>
      </w:pPr>
      <w:r>
        <w:t>Điểm tin cậy của bộ phân loại cần được đánh giá về độ hiệu chuẩn trên tập phát triển. Nghiên cứu của Guo và cộng sự cho thấy độ chính xác phân loại và độ tin cậy dự đoán là hai vấn đề khác nhau [23]. Trong cấu hình hiện có, một số quy tắc trả điểm cố định; điểm này không phải xác suất đã được hiệu chuẩn [28]. Thiết kế vì vậy dùng cả kiểm tra mơ hồ, khả năng đáp ứng schema và chất lượng nguồn để quyết định hỏi lại, thay vì đặt một ngưỡng điểm duy nhất cho toàn bộ hệ thống.</w:t>
      </w:r>
    </w:p>
    <w:p>
      <w:pPr>
        <w:pStyle w:val="Heading2"/>
        <w:jc w:val="left"/>
      </w:pPr>
      <w:r>
        <w:t>2.5.2. Cơ chế kiểm tra chéo (Cross-check mechanism) để triệt tiêu ảo giác.</w:t>
      </w:r>
    </w:p>
    <w:p>
      <w:pPr>
        <w:jc w:val="both"/>
      </w:pPr>
      <w:r>
        <w:t>Mục tiêu của cơ chế kiểm tra chéo là giảm và kiểm soát các phát biểu không có căn cứ. Cụm từ “triệt tiêu ảo giác” được xem là định hướng của đề tài, không phải cam kết mọi câu trả lời đều đúng tuyệt đối. KG có thể chứa quan hệ sai, tài liệu có thể hết hiệu lực và LLM có thể diễn giải sai minh chứng. Ngay cả khi KG và RAG thống nhất, hai nhánh có thể cùng bắt nguồn từ một tài liệu sai nên sự đồng thuận chưa đủ để xác nhận tính đúng.</w:t>
      </w:r>
    </w:p>
    <w:p>
      <w:pPr>
        <w:jc w:val="both"/>
      </w:pPr>
      <w:r>
        <w:t>Bước thứ nhất là chuẩn hóa minh chứng. Mỗi kết quả KG được chuyển thành phát biểu có thực thể, quan hệ, giá trị, khoảng hiệu lực và nguồn. Mỗi đoạn văn được liên kết với các thực thể tương ứng và giữ nguyên phần trích dẫn liên quan. Bộ kiểm tra chỉ so sánh các phát biểu cùng đối tượng, cùng loại quan hệ và cùng phạm vi thời gian. Khác biệt giữa hai thời kỳ không được gán nhầm là mâu thuẫn.</w:t>
      </w:r>
    </w:p>
    <w:p>
      <w:pPr>
        <w:jc w:val="both"/>
      </w:pPr>
      <w:r>
        <w:t>Bước thứ hai là kiểm tra điều kiện cứng. Mã định danh, ngày, số lượng, thành viên của tập kết quả và phạm vi địa lý được đối chiếu bằng quy tắc hoặc truy vấn có cấu trúc khi dữ liệu cho phép. Với số lượng tổng hợp, kiểm tra phải dựa trên tập thực thể đã loại trùng và được xác nhận bao phủ đủ. Nếu nguồn chỉ nói một di sản “gắn với” địa bàn, hệ thống không tự chuyển thành quan hệ pháp lý “trực thuộc” địa bàn đó.</w:t>
      </w:r>
    </w:p>
    <w:p>
      <w:pPr>
        <w:jc w:val="both"/>
      </w:pPr>
      <w:r>
        <w:t>Bước thứ ba là xác định trạng thái hỗ trợ cho từng phát biểu dự kiến. Nhóm đề xuất ba trạng thái nội bộ: được hỗ trợ, bị mâu thuẫn và chưa đủ căn cứ. Thiếu một quan hệ trong KG thuộc trường hợp chưa đủ căn cứ, trừ khi nguồn và mô hình dữ liệu cho phép kết luận phủ định một cách rõ ràng. Khi có mâu thuẫn, hệ thống đối chiếu tài liệu gốc, hiệu lực, phiên bản và phạm vi áp dụng; không chọn KG thắng RAG một cách cố định.</w:t>
      </w:r>
    </w:p>
    <w:p>
      <w:pPr>
        <w:pStyle w:val="Caption"/>
        <w:jc w:val="center"/>
      </w:pPr>
      <w:r>
        <w:t>Bảng 2.7. Chính sách xử lý kết quả kiểm tra chéo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236"/>
      </w:tblGrid>
      <w:tr>
        <w:trPr>
          <w:cantSplit/>
          <w:tblHeader/>
        </w:trPr>
        <w:tc>
          <w:tcPr>
            <w:tcW w:type="dxa" w:w="2835"/>
            <w:vAlign w:val="center"/>
            <w:tcMar>
              <w:top w:w="85" w:type="dxa"/>
              <w:left w:w="85" w:type="dxa"/>
              <w:bottom w:w="85" w:type="dxa"/>
              <w:right w:w="85" w:type="dxa"/>
            </w:tcMar>
            <w:shd w:fill="E7E7E7"/>
          </w:tcPr>
          <w:p>
            <w:pPr>
              <w:spacing w:after="40" w:before="40" w:line="259" w:lineRule="auto"/>
              <w:ind w:firstLine="0"/>
              <w:jc w:val="left"/>
            </w:pPr>
            <w:r>
              <w:rPr>
                <w:b/>
                <w:sz w:val="23"/>
              </w:rPr>
              <w:t>Tình huống</w:t>
            </w:r>
          </w:p>
        </w:tc>
        <w:tc>
          <w:tcPr>
            <w:tcW w:type="dxa" w:w="6236"/>
            <w:vAlign w:val="center"/>
            <w:tcMar>
              <w:top w:w="85" w:type="dxa"/>
              <w:left w:w="85" w:type="dxa"/>
              <w:bottom w:w="85" w:type="dxa"/>
              <w:right w:w="85" w:type="dxa"/>
            </w:tcMar>
            <w:shd w:fill="E7E7E7"/>
          </w:tcPr>
          <w:p>
            <w:pPr>
              <w:spacing w:after="40" w:before="40" w:line="259" w:lineRule="auto"/>
              <w:ind w:firstLine="0"/>
              <w:jc w:val="left"/>
            </w:pPr>
            <w:r>
              <w:rPr>
                <w:b/>
                <w:sz w:val="23"/>
              </w:rPr>
              <w:t>Quyết định đề xuất</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KG và văn bản hỗ trợ cùng phát biểu, đúng ngữ cảnh</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Cho phép sử dụng; vẫn giữ nguồn và thời điểm của từng minh chứng.</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KG có kết quả nhưng thiếu nguồn gốc của quan hệ</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Tìm tài liệu gốc; chưa công bố như dữ kiện đã kiểm chứng.</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RAG có đoạn phù hợp, KG không có quan hệ</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Có thể trả lời phần được nguồn hỗ trợ; không xem KG thiếu là phủ định.</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Hai nguồn khác nhau do thời kỳ áp dụng</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Giải thích theo từng giai đoạn và chọn giai đoạn mà người dùng hỏi.</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Các nguồn đáng tin cậy mâu thuẫn chưa giải quyết được</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Nêu sự khác biệt, trích dẫn cả hai và tránh kết luận chắc chắn.</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Không có đủ minh chứng</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Hỏi lại hoặc từ chối phần chưa xác minh; không bù bằng kiến thức nhớ của LLM.</w:t>
            </w:r>
          </w:p>
        </w:tc>
      </w:tr>
    </w:tbl>
    <w:p>
      <w:pPr>
        <w:spacing w:after="0" w:before="0" w:line="240" w:lineRule="auto"/>
      </w:pPr>
      <w:r>
        <w:rPr>
          <w:sz w:val="6"/>
        </w:rPr>
      </w:r>
    </w:p>
    <w:p>
      <w:pPr>
        <w:jc w:val="both"/>
      </w:pPr>
      <w:r>
        <w:t>Bước thứ tư là sinh dự thảo từ tập minh chứng đã qua kiểm tra. Prompt yêu cầu mô hình chỉ đưa ra dữ kiện có căn cứ, phân biệt phần giải thích với thông tin xác định và sử dụng mã minh chứng do hệ thống cấp. Số đoạn đưa vào cần được kiểm soát để không làm loãng ngữ cảnh. Nghiên cứu Lost in the Middle cho thấy khả năng sử dụng thông tin của mô hình có thể phụ thuộc vị trí trong ngữ cảnh dài [25]. Do đó, tăng số đoạn không mặc định làm câu trả lời tốt hơn.</w:t>
      </w:r>
    </w:p>
    <w:p>
      <w:pPr>
        <w:jc w:val="both"/>
      </w:pPr>
      <w:r>
        <w:t>Bước thứ năm là tách các phát biểu trong dự thảo và kiểm tra lại liên kết đến minh chứng. Các phép kiểm tra xác định được thực hiện trước, còn phát biểu diễn giải có thể sử dụng bộ đánh giá quan hệ hỗ trợ giữa câu và đoạn nguồn. Nếu dùng LLM làm bộ đánh giá, cần đo lỗi của bộ đánh giá trên nhãn thủ công; không coi phán quyết của cùng một mô hình là kiểm chứng độc lập. Thiết kế đề xuất tối đa một lần truy xuất bổ sung và một lần sửa dự thảo để giới hạn độ trễ, sau đó trả lời phần đã xác minh hoặc thông báo thiếu căn cứ.</w:t>
      </w:r>
    </w:p>
    <w:p>
      <w:pPr>
        <w:jc w:val="both"/>
      </w:pPr>
      <w:r>
        <w:t>Self-RAG là một nghiên cứu về mô hình được huấn luyện để truy xuất, sinh và tự đánh giá thông qua các token phản tư [24]. Đồ án tham khảo ý tưởng đánh giá chất lượng đầu ra, nhưng một pipeline thêm bước kiểm tra sau sinh không đồng nghĩa đã triển khai đúng phương pháp Self-RAG. Phân biệt này giúp mô tả chính xác đóng góp kỹ thuật và tránh lấy kết quả của nghiên cứu khác làm thành tích của hệ thống.</w:t>
      </w:r>
    </w:p>
    <w:p>
      <w:pPr>
        <w:jc w:val="both"/>
      </w:pPr>
      <w:r>
        <w:t>Hiệu quả kiểm tra chéo cần được đánh giá bằng thí nghiệm loại bỏ thành phần: RAG đơn thuần, KG kết hợp RAG nhưng chưa kiểm tra, và hệ thống có kiểm tra phát biểu. Cả ba dùng cùng mô hình sinh, dữ liệu và tập câu hỏi. Ngoài độ đúng, cần báo cáo số câu bị từ chối, số câu đáng lẽ trả lời được nhưng bị từ chối và chi phí tăng thêm. Như vậy mới xác định được kiểm tra chéo thực sự cải thiện độ tin cậy hay chỉ làm hệ thống trả lời ít hơn.</w:t>
      </w:r>
    </w:p>
    <w:p>
      <w:pPr>
        <w:pStyle w:val="Heading2"/>
        <w:jc w:val="left"/>
      </w:pPr>
      <w:r>
        <w:t>2.5.3. Định dạng Output (Câu trả lời đàm thoại + Trích dẫn minh chứng).</w:t>
      </w:r>
    </w:p>
    <w:p>
      <w:pPr>
        <w:jc w:val="both"/>
      </w:pPr>
      <w:r>
        <w:t>Đầu ra cần phục vụ đồng thời người dùng và việc kiểm tra kỹ thuật. Người dùng nhận câu trả lời bằng tiếng Việt rõ ràng, có nêu thời điểm áp dụng khi cần và trích dẫn đặt gần phát biểu được hỗ trợ. Phía hệ thống lưu cấu trúc gồm câu trả lời, các phát biểu, danh sách minh chứng, trạng thái kiểm tra và mã truy vết. Nội dung kỹ thuật như điểm cosine hoặc tên mẫu SPARQL không cần đưa vào giao diện thông thường.</w:t>
      </w:r>
    </w:p>
    <w:p>
      <w:pPr>
        <w:jc w:val="both"/>
      </w:pPr>
      <w:r>
        <w:t>Mỗi minh chứng có mã do máy chủ cấp, tên tài liệu, địa chỉ nguồn, vị trí đoạn và phiên bản. LLM chỉ được lựa chọn mã từ tập đã cung cấp; bộ kết xuất tra cứu URL từ danh mục nguồn, không sử dụng URL do mô hình tự sáng tác. Với KG, liên kết cần dẫn đến tài liệu gốc hỗ trợ quan hệ. Nếu nguồn là tệp nội bộ, giao diện phải cho phép mở bản lưu và vị trí tương ứng, thay vì tạo một địa chỉ công khai không tồn tại.</w:t>
      </w:r>
    </w:p>
    <w:p>
      <w:pPr>
        <w:keepLines/>
        <w:spacing w:after="160" w:line="252" w:lineRule="auto"/>
        <w:ind w:firstLine="0" w:left="142"/>
      </w:pPr>
      <w:r>
        <w:rPr>
          <w:rFonts w:ascii="Courier New" w:hAnsi="Courier New"/>
          <w:sz w:val="20"/>
        </w:rPr>
        <w:t>{</w:t>
        <w:br/>
        <w:t xml:space="preserve">  "status": "partial",</w:t>
        <w:br/>
        <w:t xml:space="preserve">  "answer": "Thông tin đã xác minh... [E01]",</w:t>
        <w:br/>
        <w:t xml:space="preserve">  "claims": [</w:t>
        <w:br/>
        <w:t xml:space="preserve">    {"id": "C01", "evidence_ids": ["E01"],</w:t>
        <w:br/>
        <w:t xml:space="preserve">     "verification": "supported"}</w:t>
        <w:br/>
        <w:t xml:space="preserve">  ],</w:t>
        <w:br/>
        <w:t xml:space="preserve">  "evidence": [</w:t>
        <w:br/>
        <w:t xml:space="preserve">    {"id": "E01", "source_id": "source_001",</w:t>
        <w:br/>
        <w:t xml:space="preserve">     "version_id": "v1", "locator": "muc_2"}</w:t>
        <w:br/>
        <w:t xml:space="preserve">  ],</w:t>
        <w:br/>
        <w:t xml:space="preserve">  "unresolved": ["Chua du can cu cho phan con lai"],</w:t>
        <w:br/>
        <w:t xml:space="preserve">  "trace_id": "request_example"</w:t>
        <w:br/>
        <w:t>}</w:t>
      </w:r>
    </w:p>
    <w:p>
      <w:pPr>
        <w:jc w:val="both"/>
      </w:pPr>
      <w:r>
        <w:t>Ví dụ JSON trên chỉ minh họa cấu trúc, không phải một câu trả lời có dữ kiện thực tế. Trạng thái đầu ra được đề xuất gồm supported, partial, conflict và insufficient_evidence. Trạng thái partial yêu cầu tách rõ phần trả lời được và phần chưa đủ dữ liệu. Không hiển thị một điểm phần trăm “độ đúng” nếu hệ thống chưa có phương pháp hiệu chuẩn và kiểm chứng phù hợp.</w:t>
      </w:r>
    </w:p>
    <w:p>
      <w:pPr>
        <w:jc w:val="both"/>
      </w:pPr>
      <w:r>
        <w:t>Đánh giá trích dẫn cần thực hiện theo từng phát biểu. Một câu gồm cả vị trí, năm ghi danh và cơ quan quản lý có thể cần nhiều minh chứng; không mặc định một nguồn ở cuối câu hỗ trợ cả ba nội dung. Khi đo độ bao phủ trích dẫn, mẫu số là số phát biểu cần căn cứ; khi đo mức hỗ trợ của trích dẫn, cần đọc xem nguồn có thực sự xác nhận phát biểu hay không. Cách tổ chức này phù hợp với việc tách đánh giá câu trả lời và đánh giá trích dẫn trong ALCE [6].</w:t>
      </w:r>
    </w:p>
    <w:p>
      <w:pPr>
        <w:pStyle w:val="Caption"/>
        <w:jc w:val="center"/>
      </w:pPr>
      <w:r>
        <w:t>Bảng 2.8. Ranh giới giữa phần hiện có và thiết kế cần hoàn thiện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236"/>
      </w:tblGrid>
      <w:tr>
        <w:trPr>
          <w:cantSplit/>
          <w:tblHeader/>
        </w:trPr>
        <w:tc>
          <w:tcPr>
            <w:tcW w:type="dxa" w:w="2835"/>
            <w:vAlign w:val="center"/>
            <w:tcMar>
              <w:top w:w="85" w:type="dxa"/>
              <w:left w:w="85" w:type="dxa"/>
              <w:bottom w:w="85" w:type="dxa"/>
              <w:right w:w="85" w:type="dxa"/>
            </w:tcMar>
            <w:shd w:fill="E7E7E7"/>
          </w:tcPr>
          <w:p>
            <w:pPr>
              <w:spacing w:after="40" w:before="40" w:line="259" w:lineRule="auto"/>
              <w:ind w:firstLine="0"/>
              <w:jc w:val="left"/>
            </w:pPr>
            <w:r>
              <w:rPr>
                <w:b/>
                <w:sz w:val="23"/>
              </w:rPr>
              <w:t>Nội dung</w:t>
            </w:r>
          </w:p>
        </w:tc>
        <w:tc>
          <w:tcPr>
            <w:tcW w:type="dxa" w:w="6236"/>
            <w:vAlign w:val="center"/>
            <w:tcMar>
              <w:top w:w="85" w:type="dxa"/>
              <w:left w:w="85" w:type="dxa"/>
              <w:bottom w:w="85" w:type="dxa"/>
              <w:right w:w="85" w:type="dxa"/>
            </w:tcMar>
            <w:shd w:fill="E7E7E7"/>
          </w:tcPr>
          <w:p>
            <w:pPr>
              <w:spacing w:after="40" w:before="40" w:line="259" w:lineRule="auto"/>
              <w:ind w:firstLine="0"/>
              <w:jc w:val="left"/>
            </w:pPr>
            <w:r>
              <w:rPr>
                <w:b/>
                <w:sz w:val="23"/>
              </w:rPr>
              <w:t>Tình trạng làm cơ sở cho chương thiết kế [28]</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KG và truy vấn</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Đã có ontology, dữ liệu RDF và mẫu SPARQL qua RDFLib; cần mở rộng và kiểm chứng quan hệ theo thời gian.</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Embedding và FAISS</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Đã có E5, chỉ mục cosine và metadata SQLite; chưa có căn cứ coi là đã tinh chỉnh mô hình miền.</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Xử lý câu hỏi</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Đã có bộ định tuyến và fallback; fallback chưa phải kiểm tra mâu thuẫn ngữ nghĩa.</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Không gian hình học</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GeoSPARQL và dữ liệu hình học là thiết kế mở rộng, cần bộ thực thi và kiểm thử phù hợp.</w:t>
            </w:r>
          </w:p>
        </w:tc>
      </w:tr>
      <w:tr>
        <w:trPr>
          <w:cantSplit/>
        </w:trPr>
        <w:tc>
          <w:tcPr>
            <w:tcW w:type="dxa" w:w="2835"/>
            <w:vAlign w:val="center"/>
            <w:tcMar>
              <w:top w:w="85" w:type="dxa"/>
              <w:left w:w="85" w:type="dxa"/>
              <w:bottom w:w="85" w:type="dxa"/>
              <w:right w:w="85" w:type="dxa"/>
            </w:tcMar>
          </w:tcPr>
          <w:p>
            <w:pPr>
              <w:spacing w:after="40" w:before="40" w:line="259" w:lineRule="auto"/>
              <w:ind w:firstLine="0"/>
              <w:jc w:val="left"/>
            </w:pPr>
            <w:r>
              <w:rPr>
                <w:b w:val="0"/>
                <w:sz w:val="23"/>
              </w:rPr>
              <w:t>LLM và kiểm tra phát biểu</w:t>
            </w:r>
          </w:p>
        </w:tc>
        <w:tc>
          <w:tcPr>
            <w:tcW w:type="dxa" w:w="6236"/>
            <w:vAlign w:val="center"/>
            <w:tcMar>
              <w:top w:w="85" w:type="dxa"/>
              <w:left w:w="85" w:type="dxa"/>
              <w:bottom w:w="85" w:type="dxa"/>
              <w:right w:w="85" w:type="dxa"/>
            </w:tcMar>
          </w:tcPr>
          <w:p>
            <w:pPr>
              <w:spacing w:after="40" w:before="40" w:line="259" w:lineRule="auto"/>
              <w:ind w:firstLine="0"/>
              <w:jc w:val="left"/>
            </w:pPr>
            <w:r>
              <w:rPr>
                <w:b w:val="0"/>
                <w:sz w:val="23"/>
              </w:rPr>
              <w:t>Cần tích hợp mô hình sinh, registry minh chứng và bộ kiểm tra trước khi đánh giá toàn hệ thống.</w:t>
            </w:r>
          </w:p>
        </w:tc>
      </w:tr>
    </w:tbl>
    <w:p>
      <w:pPr>
        <w:spacing w:after="0" w:before="0" w:line="240" w:lineRule="auto"/>
      </w:pPr>
      <w:r>
        <w:rPr>
          <w:sz w:val="6"/>
        </w:rPr>
      </w:r>
    </w:p>
    <w:p>
      <w:pPr>
        <w:jc w:val="both"/>
      </w:pPr>
      <w:r>
        <w:t>Thiết kế của chương đặt nguồn gốc, hiệu lực và khả năng kiểm chứng dữ liệu làm điều kiện xuyên suốt từ thu thập đến trả lời. Việc triển khai tiếp theo cần giữ cùng hợp đồng dữ liệu giữa KG và nhánh văn bản, đồng thời đánh giá riêng từng thành phần trước khi đo toàn hệ thống. Các kết quả về độ đúng, độ trễ và mức giảm phát biểu không có căn cứ chỉ được kết luận sau thực nghiệm trên bộ câu hỏi độc lập.</w:t>
      </w:r>
    </w:p>
    <w:p>
      <w:r>
        <w:br w:type="page"/>
      </w:r>
    </w:p>
    <w:p>
      <w:pPr>
        <w:pStyle w:val="Heading1"/>
        <w:jc w:val="left"/>
      </w:pPr>
      <w:r>
        <w:t>TÀI LIỆU THAM KHẢO</w:t>
      </w:r>
    </w:p>
    <w:p>
      <w:pPr>
        <w:ind w:firstLine="0"/>
        <w:jc w:val="both"/>
      </w:pPr>
      <w:r>
        <w:t>Các tài liệu trực tuyến được đối chiếu ngày 28/09/2026. Tài liệu [28] được sử dụng để mô tả cấu hình triển khai; các mục còn lại là bài báo gốc, tiêu chuẩn hoặc tài liệu chính thức.</w:t>
      </w:r>
    </w:p>
    <w:p>
      <w:pPr>
        <w:keepLines/>
        <w:spacing w:line="269" w:lineRule="auto" w:after="180"/>
        <w:ind w:hanging="454" w:left="454"/>
      </w:pPr>
      <w:r>
        <w:rPr>
          <w:sz w:val="24"/>
        </w:rPr>
        <w:t>[1] P. Lewis và cộng sự (2020). Retrieval-Augmented Generation for Knowledge-Intensive NLP Tasks. Advances in Neural Information Processing Systems, 33, 9459–9474.</w:t>
      </w:r>
      <w:r>
        <w:t xml:space="preserve"> </w:t>
      </w:r>
      <w:hyperlink r:id="rId12">
        <w:r>
          <w:rPr>
            <w:color w:val="000000"/>
            <w:sz w:val="22"/>
          </w:rPr>
          <w:t>https://arxiv.org/abs/2005.11401</w:t>
        </w:r>
      </w:hyperlink>
    </w:p>
    <w:p>
      <w:pPr>
        <w:keepLines/>
        <w:spacing w:line="269" w:lineRule="auto" w:after="180"/>
        <w:ind w:hanging="454" w:left="454"/>
      </w:pPr>
      <w:r>
        <w:rPr>
          <w:sz w:val="24"/>
        </w:rPr>
        <w:t>[2] W3C (2014). RDF 1.1 Concepts and Abstract Syntax. W3C Recommendation, 25/02/2014.</w:t>
      </w:r>
      <w:r>
        <w:t xml:space="preserve"> </w:t>
      </w:r>
      <w:hyperlink r:id="rId13">
        <w:r>
          <w:rPr>
            <w:color w:val="000000"/>
            <w:sz w:val="22"/>
          </w:rPr>
          <w:t>https://www.w3.org/TR/rdf11-concepts/</w:t>
        </w:r>
      </w:hyperlink>
    </w:p>
    <w:p>
      <w:pPr>
        <w:keepLines/>
        <w:spacing w:line="269" w:lineRule="auto" w:after="180"/>
        <w:ind w:hanging="454" w:left="454"/>
      </w:pPr>
      <w:r>
        <w:rPr>
          <w:sz w:val="24"/>
        </w:rPr>
        <w:t>[3] Open Geospatial Consortium (2024). OGC GeoSPARQL – A Geographic Query Language for RDF Data, Version 1.1. OGC 22-047r1, công bố 29/01/2024.</w:t>
      </w:r>
      <w:r>
        <w:t xml:space="preserve"> </w:t>
      </w:r>
      <w:hyperlink r:id="rId14">
        <w:r>
          <w:rPr>
            <w:color w:val="000000"/>
            <w:sz w:val="22"/>
          </w:rPr>
          <w:t>https://docs.ogc.org/is/22-047r1/22-047r1.html</w:t>
        </w:r>
      </w:hyperlink>
    </w:p>
    <w:p>
      <w:pPr>
        <w:keepLines/>
        <w:spacing w:line="269" w:lineRule="auto" w:after="180"/>
        <w:ind w:hanging="454" w:left="454"/>
      </w:pPr>
      <w:r>
        <w:rPr>
          <w:sz w:val="24"/>
        </w:rPr>
        <w:t>[4] S. Cox và C. Little, biên tập (2017). Time Ontology in OWL. W3C Recommendation, 19/10/2017.</w:t>
      </w:r>
      <w:r>
        <w:t xml:space="preserve"> </w:t>
      </w:r>
      <w:hyperlink r:id="rId15">
        <w:r>
          <w:rPr>
            <w:color w:val="000000"/>
            <w:sz w:val="22"/>
          </w:rPr>
          <w:t>https://www.w3.org/TR/2017/REC-owl-time-20171019/</w:t>
        </w:r>
      </w:hyperlink>
    </w:p>
    <w:p>
      <w:pPr>
        <w:keepLines/>
        <w:spacing w:line="269" w:lineRule="auto" w:after="180"/>
        <w:ind w:hanging="454" w:left="454"/>
      </w:pPr>
      <w:r>
        <w:rPr>
          <w:sz w:val="24"/>
        </w:rPr>
        <w:t>[5] W3C (2013). PROV-O: The PROV Ontology. W3C Recommendation, 30/04/2013.</w:t>
      </w:r>
      <w:r>
        <w:t xml:space="preserve"> </w:t>
      </w:r>
      <w:hyperlink r:id="rId16">
        <w:r>
          <w:rPr>
            <w:color w:val="000000"/>
            <w:sz w:val="22"/>
          </w:rPr>
          <w:t>https://www.w3.org/TR/prov-o/</w:t>
        </w:r>
      </w:hyperlink>
    </w:p>
    <w:p>
      <w:pPr>
        <w:keepLines/>
        <w:spacing w:line="269" w:lineRule="auto" w:after="180"/>
        <w:ind w:hanging="454" w:left="454"/>
      </w:pPr>
      <w:r>
        <w:rPr>
          <w:sz w:val="24"/>
        </w:rPr>
        <w:t>[6] T. Gao, H. Yen, J. Yu và D. Chen (2023). Enabling Large Language Models to Generate Text with Citations. EMNLP, 6465–6488. DOI: 10.18653/v1/2023.emnlp-main.398.</w:t>
      </w:r>
      <w:r>
        <w:t xml:space="preserve"> </w:t>
      </w:r>
      <w:hyperlink r:id="rId17">
        <w:r>
          <w:rPr>
            <w:color w:val="000000"/>
            <w:sz w:val="22"/>
          </w:rPr>
          <w:t>https://aclanthology.org/2023.emnlp-main.398/</w:t>
        </w:r>
      </w:hyperlink>
    </w:p>
    <w:p>
      <w:pPr>
        <w:keepLines/>
        <w:spacing w:line="269" w:lineRule="auto" w:after="180"/>
        <w:ind w:hanging="454" w:left="454"/>
      </w:pPr>
      <w:r>
        <w:rPr>
          <w:sz w:val="24"/>
        </w:rPr>
        <w:t>[7] S. Es, J. James, L. Espinosa Anke và S. Schockaert (2024). RAGAs: Automated Evaluation of Retrieval Augmented Generation. EACL System Demonstrations, 150–158. DOI: 10.18653/v1/2024.eacl-demo.16.</w:t>
      </w:r>
      <w:r>
        <w:t xml:space="preserve"> </w:t>
      </w:r>
      <w:hyperlink r:id="rId18">
        <w:r>
          <w:rPr>
            <w:color w:val="000000"/>
            <w:sz w:val="22"/>
          </w:rPr>
          <w:t>https://aclanthology.org/2024.eacl-demo.16/</w:t>
        </w:r>
      </w:hyperlink>
    </w:p>
    <w:p>
      <w:pPr>
        <w:keepLines/>
        <w:spacing w:line="269" w:lineRule="auto" w:after="180"/>
        <w:ind w:hanging="454" w:left="454"/>
      </w:pPr>
      <w:r>
        <w:rPr>
          <w:sz w:val="24"/>
        </w:rPr>
        <w:t>[8] N. Thakur, N. Reimers, A. Rücklé, A. Srivastava và I. Gurevych (2021). BEIR: A Heterogeneous Benchmark for Zero-shot Evaluation of Information Retrieval Models. NeurIPS Datasets and Benchmarks.</w:t>
      </w:r>
      <w:r>
        <w:t xml:space="preserve"> </w:t>
      </w:r>
      <w:hyperlink r:id="rId19">
        <w:r>
          <w:rPr>
            <w:color w:val="000000"/>
            <w:sz w:val="22"/>
          </w:rPr>
          <w:t>https://arxiv.org/abs/2104.08663</w:t>
        </w:r>
      </w:hyperlink>
    </w:p>
    <w:p>
      <w:pPr>
        <w:keepLines/>
        <w:spacing w:line="269" w:lineRule="auto" w:after="180"/>
        <w:ind w:hanging="454" w:left="454"/>
      </w:pPr>
      <w:r>
        <w:rPr>
          <w:sz w:val="24"/>
        </w:rPr>
        <w:t>[9] T. Gebru và cộng sự (2021). Datasheets for Datasets. Communications of the ACM, 64(12), 86–92. Bản thảo công khai: arXiv:1803.09010.</w:t>
      </w:r>
      <w:r>
        <w:t xml:space="preserve"> </w:t>
      </w:r>
      <w:hyperlink r:id="rId20">
        <w:r>
          <w:rPr>
            <w:color w:val="000000"/>
            <w:sz w:val="22"/>
          </w:rPr>
          <w:t>https://arxiv.org/abs/1803.09010</w:t>
        </w:r>
      </w:hyperlink>
    </w:p>
    <w:p>
      <w:pPr>
        <w:keepLines/>
        <w:spacing w:line="269" w:lineRule="auto" w:after="180"/>
        <w:ind w:hanging="454" w:left="454"/>
      </w:pPr>
      <w:r>
        <w:rPr>
          <w:sz w:val="24"/>
        </w:rPr>
        <w:t>[10] The Unicode Consortium. Unicode Standard Annex #15: Unicode Normalization Forms. Tài liệu chuẩn kỹ thuật.</w:t>
      </w:r>
      <w:r>
        <w:t xml:space="preserve"> </w:t>
      </w:r>
      <w:hyperlink r:id="rId21">
        <w:r>
          <w:rPr>
            <w:color w:val="000000"/>
            <w:sz w:val="22"/>
          </w:rPr>
          <w:t>https://www.unicode.org/reports/tr15/</w:t>
        </w:r>
      </w:hyperlink>
    </w:p>
    <w:p>
      <w:pPr>
        <w:keepLines/>
        <w:spacing w:line="269" w:lineRule="auto" w:after="180"/>
        <w:ind w:hanging="454" w:left="454"/>
      </w:pPr>
      <w:r>
        <w:rPr>
          <w:sz w:val="24"/>
        </w:rPr>
        <w:t>[11] T. Vu, D. Q. Nguyen, D. Q. Nguyen, M. Dras và M. Johnson (2018). VnCoreNLP: A Vietnamese Natural Language Processing Toolkit. NAACL System Demonstrations, 56–60. DOI: 10.18653/v1/N18-5012.</w:t>
      </w:r>
      <w:r>
        <w:t xml:space="preserve"> </w:t>
      </w:r>
      <w:hyperlink r:id="rId22">
        <w:r>
          <w:rPr>
            <w:color w:val="000000"/>
            <w:sz w:val="22"/>
          </w:rPr>
          <w:t>https://aclanthology.org/N18-5012/</w:t>
        </w:r>
      </w:hyperlink>
    </w:p>
    <w:p>
      <w:pPr>
        <w:keepLines/>
        <w:spacing w:line="269" w:lineRule="auto" w:after="180"/>
        <w:ind w:hanging="454" w:left="454"/>
      </w:pPr>
      <w:r>
        <w:rPr>
          <w:sz w:val="24"/>
        </w:rPr>
        <w:t>[12] W3C (2012). OWL 2 Web Ontology Language Primer (Second Edition). W3C Recommendation, 11/12/2012.</w:t>
      </w:r>
      <w:r>
        <w:t xml:space="preserve"> </w:t>
      </w:r>
      <w:hyperlink r:id="rId23">
        <w:r>
          <w:rPr>
            <w:color w:val="000000"/>
            <w:sz w:val="22"/>
          </w:rPr>
          <w:t>https://www.w3.org/TR/owl2-primer/</w:t>
        </w:r>
      </w:hyperlink>
    </w:p>
    <w:p>
      <w:pPr>
        <w:keepLines/>
        <w:spacing w:line="269" w:lineRule="auto" w:after="180"/>
        <w:ind w:hanging="454" w:left="454"/>
      </w:pPr>
      <w:r>
        <w:rPr>
          <w:sz w:val="24"/>
        </w:rPr>
        <w:t>[13] H. Knublauch và D. Kontokostas, biên tập (2017). Shapes Constraint Language (SHACL). W3C Recommendation, 20/07/2017.</w:t>
      </w:r>
      <w:r>
        <w:t xml:space="preserve"> </w:t>
      </w:r>
      <w:hyperlink r:id="rId24">
        <w:r>
          <w:rPr>
            <w:color w:val="000000"/>
            <w:sz w:val="22"/>
          </w:rPr>
          <w:t>https://www.w3.org/TR/shacl/</w:t>
        </w:r>
      </w:hyperlink>
    </w:p>
    <w:p>
      <w:pPr>
        <w:keepLines/>
        <w:spacing w:line="269" w:lineRule="auto" w:after="180"/>
        <w:ind w:hanging="454" w:left="454"/>
      </w:pPr>
      <w:r>
        <w:rPr>
          <w:sz w:val="24"/>
        </w:rPr>
        <w:t>[14] UNESCO (1972). Convention concerning the Protection of the World Cultural and Natural Heritage. Thông qua ngày 16/11/1972.</w:t>
      </w:r>
      <w:r>
        <w:t xml:space="preserve"> </w:t>
      </w:r>
      <w:hyperlink r:id="rId25">
        <w:r>
          <w:rPr>
            <w:color w:val="000000"/>
            <w:sz w:val="22"/>
          </w:rPr>
          <w:t>https://whc.unesco.org/en/conventiontext/</w:t>
        </w:r>
      </w:hyperlink>
    </w:p>
    <w:p>
      <w:pPr>
        <w:keepLines/>
        <w:spacing w:line="269" w:lineRule="auto" w:after="180"/>
        <w:ind w:hanging="454" w:left="454"/>
      </w:pPr>
      <w:r>
        <w:rPr>
          <w:sz w:val="24"/>
        </w:rPr>
        <w:t>[15] UNESCO (2003). Convention for the Safeguarding of the Intangible Cultural Heritage. Thông qua ngày 17/10/2003, đặc biệt Điều 2.</w:t>
      </w:r>
      <w:r>
        <w:t xml:space="preserve"> </w:t>
      </w:r>
      <w:hyperlink r:id="rId26">
        <w:r>
          <w:rPr>
            <w:color w:val="000000"/>
            <w:sz w:val="22"/>
          </w:rPr>
          <w:t>https://www.unesco.org/en/legal-affairs/convention-safeguarding-intangible-cultural-heritage</w:t>
        </w:r>
      </w:hyperlink>
    </w:p>
    <w:p>
      <w:pPr>
        <w:keepLines/>
        <w:spacing w:line="269" w:lineRule="auto" w:after="180"/>
        <w:ind w:hanging="454" w:left="454"/>
      </w:pPr>
      <w:r>
        <w:rPr>
          <w:sz w:val="24"/>
        </w:rPr>
        <w:t>[16] W3C (2013). SPARQL 1.1 Query Language. W3C Recommendation, 21/03/2013.</w:t>
      </w:r>
      <w:r>
        <w:t xml:space="preserve"> </w:t>
      </w:r>
      <w:hyperlink r:id="rId27">
        <w:r>
          <w:rPr>
            <w:color w:val="000000"/>
            <w:sz w:val="22"/>
          </w:rPr>
          <w:t>https://www.w3.org/TR/sparql11-query/</w:t>
        </w:r>
      </w:hyperlink>
    </w:p>
    <w:p>
      <w:pPr>
        <w:keepLines/>
        <w:spacing w:line="269" w:lineRule="auto" w:after="180"/>
        <w:ind w:hanging="454" w:left="454"/>
      </w:pPr>
      <w:r>
        <w:rPr>
          <w:sz w:val="24"/>
        </w:rPr>
        <w:t>[17] L. Wang, N. Yang, X. Huang, L. Yang, R. Majumder và F. Wei (2024). Multilingual E5 Text Embeddings: A Technical Report. arXiv:2402.05672.</w:t>
      </w:r>
      <w:r>
        <w:t xml:space="preserve"> </w:t>
      </w:r>
      <w:hyperlink r:id="rId28">
        <w:r>
          <w:rPr>
            <w:color w:val="000000"/>
            <w:sz w:val="22"/>
          </w:rPr>
          <w:t>https://arxiv.org/abs/2402.05672</w:t>
        </w:r>
      </w:hyperlink>
    </w:p>
    <w:p>
      <w:pPr>
        <w:keepLines/>
        <w:spacing w:line="269" w:lineRule="auto" w:after="180"/>
        <w:ind w:hanging="454" w:left="454"/>
      </w:pPr>
      <w:r>
        <w:rPr>
          <w:sz w:val="24"/>
        </w:rPr>
        <w:t>[18] intfloat. multilingual-e5-base. Model card và hướng dẫn sử dụng mô hình trên Hugging Face.</w:t>
      </w:r>
      <w:r>
        <w:t xml:space="preserve"> </w:t>
      </w:r>
      <w:hyperlink r:id="rId29">
        <w:r>
          <w:rPr>
            <w:color w:val="000000"/>
            <w:sz w:val="22"/>
          </w:rPr>
          <w:t>https://huggingface.co/intfloat/multilingual-e5-base</w:t>
        </w:r>
      </w:hyperlink>
    </w:p>
    <w:p>
      <w:pPr>
        <w:keepLines/>
        <w:spacing w:line="269" w:lineRule="auto" w:after="180"/>
        <w:ind w:hanging="454" w:left="454"/>
      </w:pPr>
      <w:r>
        <w:rPr>
          <w:sz w:val="24"/>
        </w:rPr>
        <w:t>[19] V. Karpukhin và cộng sự (2020). Dense Passage Retrieval for Open-Domain Question Answering. EMNLP, 6769–6781. DOI: 10.18653/v1/2020.emnlp-main.550.</w:t>
      </w:r>
      <w:r>
        <w:t xml:space="preserve"> </w:t>
      </w:r>
      <w:hyperlink r:id="rId30">
        <w:r>
          <w:rPr>
            <w:color w:val="000000"/>
            <w:sz w:val="22"/>
          </w:rPr>
          <w:t>https://aclanthology.org/2020.emnlp-main.550/</w:t>
        </w:r>
      </w:hyperlink>
    </w:p>
    <w:p>
      <w:pPr>
        <w:keepLines/>
        <w:spacing w:line="269" w:lineRule="auto" w:after="180"/>
        <w:ind w:hanging="454" w:left="454"/>
      </w:pPr>
      <w:r>
        <w:rPr>
          <w:sz w:val="24"/>
        </w:rPr>
        <w:t>[20] G. V. Cormack, C. L. A. Clarke và S. Büttcher (2009). Reciprocal Rank Fusion outperforms Condorcet and individual Rank Learning Methods. SIGIR, 758–759. DOI: 10.1145/1571941.1572114.</w:t>
      </w:r>
      <w:r>
        <w:t xml:space="preserve"> </w:t>
      </w:r>
      <w:hyperlink r:id="rId31">
        <w:r>
          <w:rPr>
            <w:color w:val="000000"/>
            <w:sz w:val="22"/>
          </w:rPr>
          <w:t>https://cormack.uwaterloo.ca/cormacksigir09-rrf.pdf</w:t>
        </w:r>
      </w:hyperlink>
    </w:p>
    <w:p>
      <w:pPr>
        <w:keepLines/>
        <w:spacing w:line="269" w:lineRule="auto" w:after="180"/>
        <w:ind w:hanging="454" w:left="454"/>
      </w:pPr>
      <w:r>
        <w:rPr>
          <w:sz w:val="24"/>
        </w:rPr>
        <w:t>[21] M. Douze và cộng sự (2024). The Faiss library. arXiv:2401.08281.</w:t>
      </w:r>
      <w:r>
        <w:t xml:space="preserve"> </w:t>
      </w:r>
      <w:hyperlink r:id="rId32">
        <w:r>
          <w:rPr>
            <w:color w:val="000000"/>
            <w:sz w:val="22"/>
          </w:rPr>
          <w:t>https://arxiv.org/abs/2401.08281</w:t>
        </w:r>
      </w:hyperlink>
    </w:p>
    <w:p>
      <w:pPr>
        <w:keepLines/>
        <w:spacing w:line="269" w:lineRule="auto" w:after="180"/>
        <w:ind w:hanging="454" w:left="454"/>
      </w:pPr>
      <w:r>
        <w:rPr>
          <w:sz w:val="24"/>
        </w:rPr>
        <w:t>[22] Nhóm phát triển Faiss. MetricType and distances. Tài liệu chính thức của dự án Faiss.</w:t>
      </w:r>
      <w:r>
        <w:t xml:space="preserve"> </w:t>
      </w:r>
      <w:hyperlink r:id="rId33">
        <w:r>
          <w:rPr>
            <w:color w:val="000000"/>
            <w:sz w:val="22"/>
          </w:rPr>
          <w:t>https://github.com/facebookresearch/faiss/wiki/MetricType-and-distances</w:t>
        </w:r>
      </w:hyperlink>
    </w:p>
    <w:p>
      <w:pPr>
        <w:keepLines/>
        <w:spacing w:line="269" w:lineRule="auto" w:after="180"/>
        <w:ind w:hanging="454" w:left="454"/>
      </w:pPr>
      <w:r>
        <w:rPr>
          <w:sz w:val="24"/>
        </w:rPr>
        <w:t>[23] C. Guo, G. Pleiss, Y. Sun và K. Q. Weinberger (2017). On Calibration of Modern Neural Networks. ICML, Proceedings of Machine Learning Research, 70, 1321–1330.</w:t>
      </w:r>
      <w:r>
        <w:t xml:space="preserve"> </w:t>
      </w:r>
      <w:hyperlink r:id="rId34">
        <w:r>
          <w:rPr>
            <w:color w:val="000000"/>
            <w:sz w:val="22"/>
          </w:rPr>
          <w:t>https://proceedings.mlr.press/v70/guo17a.html</w:t>
        </w:r>
      </w:hyperlink>
    </w:p>
    <w:p>
      <w:pPr>
        <w:keepLines/>
        <w:spacing w:line="269" w:lineRule="auto" w:after="180"/>
        <w:ind w:hanging="454" w:left="454"/>
      </w:pPr>
      <w:r>
        <w:rPr>
          <w:sz w:val="24"/>
        </w:rPr>
        <w:t>[24] A. Asai, Z. Wu, Y. Wang, A. Sil và H. Hajishirzi (2024). Self-RAG: Learning to Retrieve, Generate, and Critique through Self-Reflection. ICLR 2024; bản thảo arXiv:2310.11511.</w:t>
      </w:r>
      <w:r>
        <w:t xml:space="preserve"> </w:t>
      </w:r>
      <w:hyperlink r:id="rId35">
        <w:r>
          <w:rPr>
            <w:color w:val="000000"/>
            <w:sz w:val="22"/>
          </w:rPr>
          <w:t>https://arxiv.org/abs/2310.11511</w:t>
        </w:r>
      </w:hyperlink>
    </w:p>
    <w:p>
      <w:pPr>
        <w:keepLines/>
        <w:spacing w:line="269" w:lineRule="auto" w:after="180"/>
        <w:ind w:hanging="454" w:left="454"/>
      </w:pPr>
      <w:r>
        <w:rPr>
          <w:sz w:val="24"/>
        </w:rPr>
        <w:t>[25] N. F. Liu và cộng sự (2024). Lost in the Middle: How Language Models Use Long Contexts. Transactions of the Association for Computational Linguistics, 12, 157–173. DOI: 10.1162/tacl_a_00638.</w:t>
      </w:r>
      <w:r>
        <w:t xml:space="preserve"> </w:t>
      </w:r>
      <w:hyperlink r:id="rId36">
        <w:r>
          <w:rPr>
            <w:color w:val="000000"/>
            <w:sz w:val="22"/>
          </w:rPr>
          <w:t>https://aclanthology.org/2024.tacl-1.9/</w:t>
        </w:r>
      </w:hyperlink>
    </w:p>
    <w:p>
      <w:pPr>
        <w:keepLines/>
        <w:spacing w:line="269" w:lineRule="auto" w:after="180"/>
        <w:ind w:hanging="454" w:left="454"/>
      </w:pPr>
      <w:r>
        <w:rPr>
          <w:sz w:val="24"/>
        </w:rPr>
        <w:t>[26] H. Touvron và cộng sự (2023). Llama 2: Open Foundation and Fine-Tuned Chat Models. arXiv:2307.09288.</w:t>
      </w:r>
      <w:r>
        <w:t xml:space="preserve"> </w:t>
      </w:r>
      <w:hyperlink r:id="rId37">
        <w:r>
          <w:rPr>
            <w:color w:val="000000"/>
            <w:sz w:val="22"/>
          </w:rPr>
          <w:t>https://arxiv.org/abs/2307.09288</w:t>
        </w:r>
      </w:hyperlink>
    </w:p>
    <w:p>
      <w:pPr>
        <w:keepLines/>
        <w:spacing w:line="269" w:lineRule="auto" w:after="180"/>
        <w:ind w:hanging="454" w:left="454"/>
      </w:pPr>
      <w:r>
        <w:rPr>
          <w:sz w:val="24"/>
        </w:rPr>
        <w:t>[27] W. Kwon và cộng sự (2023). Efficient Memory Management for Large Language Model Serving with PagedAttention. SOSP 2023; bản thảo arXiv:2309.06180.</w:t>
      </w:r>
      <w:r>
        <w:t xml:space="preserve"> </w:t>
      </w:r>
      <w:hyperlink r:id="rId38">
        <w:r>
          <w:rPr>
            <w:color w:val="000000"/>
            <w:sz w:val="22"/>
          </w:rPr>
          <w:t>https://arxiv.org/abs/2309.06180</w:t>
        </w:r>
      </w:hyperlink>
    </w:p>
    <w:p>
      <w:pPr>
        <w:keepLines/>
        <w:spacing w:line="269" w:lineRule="auto" w:after="180"/>
        <w:ind w:hanging="454" w:left="454"/>
      </w:pPr>
      <w:r>
        <w:rPr>
          <w:sz w:val="24"/>
        </w:rPr>
        <w:t>[28] Nhóm thực hiện đồ án (2026). VN_Hybrid_Assistant_Project. Mã nguồn và cấu hình đối chiếu ngày 28/09/2026: src/vn_assistant/embedding.py, faiss_store.py, router.py, question_processing.py, kg_builder.py, sparql_service.py; ontology/vn_heritage_admin.ttl; artifacts/faiss/index_config.json; artifacts/router/train_report.json. Tài liệu triển khai nội bộ, không phải nghiên cứu đánh giá độc lập.</w:t>
      </w:r>
    </w:p>
    <w:p>
      <w:pPr>
        <w:keepLines/>
        <w:spacing w:line="269" w:lineRule="auto" w:after="180"/>
        <w:ind w:hanging="454" w:left="454"/>
      </w:pPr>
      <w:r>
        <w:rPr>
          <w:sz w:val="24"/>
        </w:rPr>
        <w:t>[29] X. Wang và cộng sự (2024). Searching for Best Practices in Retrieval-Augmented Generation. EMNLP, 17716–17736. DOI: 10.18653/v1/2024.emnlp-main.981.</w:t>
      </w:r>
      <w:r>
        <w:t xml:space="preserve"> </w:t>
      </w:r>
      <w:hyperlink r:id="rId39">
        <w:r>
          <w:rPr>
            <w:color w:val="000000"/>
            <w:sz w:val="22"/>
          </w:rPr>
          <w:t>https://aclanthology.org/2024.emnlp-main.981/</w:t>
        </w:r>
      </w:hyperlink>
    </w:p>
    <w:sectPr w:rsidR="00FC693F" w:rsidRPr="0006063C" w:rsidSect="00034616">
      <w:footerReference w:type="default" r:id="rId9"/>
      <w:pgSz w:w="11906" w:h="16838"/>
      <w:pgMar w:top="1361" w:right="1134" w:bottom="1304" w:left="1701"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54"/>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76" w:lineRule="auto"/>
      <w:ind w:firstLine="0"/>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line="276" w:lineRule="auto"/>
      <w:ind w:firstLine="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6" w:lineRule="auto" w:before="0"/>
      <w:ind w:firstLine="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00"/>
      <w:ind w:firstLine="0"/>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abs/2005.11401" TargetMode="External"/><Relationship Id="rId13" Type="http://schemas.openxmlformats.org/officeDocument/2006/relationships/hyperlink" Target="https://www.w3.org/TR/rdf11-concepts/" TargetMode="External"/><Relationship Id="rId14" Type="http://schemas.openxmlformats.org/officeDocument/2006/relationships/hyperlink" Target="https://docs.ogc.org/is/22-047r1/22-047r1.html" TargetMode="External"/><Relationship Id="rId15" Type="http://schemas.openxmlformats.org/officeDocument/2006/relationships/hyperlink" Target="https://www.w3.org/TR/2017/REC-owl-time-20171019/" TargetMode="External"/><Relationship Id="rId16" Type="http://schemas.openxmlformats.org/officeDocument/2006/relationships/hyperlink" Target="https://www.w3.org/TR/prov-o/" TargetMode="External"/><Relationship Id="rId17" Type="http://schemas.openxmlformats.org/officeDocument/2006/relationships/hyperlink" Target="https://aclanthology.org/2023.emnlp-main.398/" TargetMode="External"/><Relationship Id="rId18" Type="http://schemas.openxmlformats.org/officeDocument/2006/relationships/hyperlink" Target="https://aclanthology.org/2024.eacl-demo.16/" TargetMode="External"/><Relationship Id="rId19" Type="http://schemas.openxmlformats.org/officeDocument/2006/relationships/hyperlink" Target="https://arxiv.org/abs/2104.08663" TargetMode="External"/><Relationship Id="rId20" Type="http://schemas.openxmlformats.org/officeDocument/2006/relationships/hyperlink" Target="https://arxiv.org/abs/1803.09010" TargetMode="External"/><Relationship Id="rId21" Type="http://schemas.openxmlformats.org/officeDocument/2006/relationships/hyperlink" Target="https://www.unicode.org/reports/tr15/" TargetMode="External"/><Relationship Id="rId22" Type="http://schemas.openxmlformats.org/officeDocument/2006/relationships/hyperlink" Target="https://aclanthology.org/N18-5012/" TargetMode="External"/><Relationship Id="rId23" Type="http://schemas.openxmlformats.org/officeDocument/2006/relationships/hyperlink" Target="https://www.w3.org/TR/owl2-primer/" TargetMode="External"/><Relationship Id="rId24" Type="http://schemas.openxmlformats.org/officeDocument/2006/relationships/hyperlink" Target="https://www.w3.org/TR/shacl/" TargetMode="External"/><Relationship Id="rId25" Type="http://schemas.openxmlformats.org/officeDocument/2006/relationships/hyperlink" Target="https://whc.unesco.org/en/conventiontext/" TargetMode="External"/><Relationship Id="rId26" Type="http://schemas.openxmlformats.org/officeDocument/2006/relationships/hyperlink" Target="https://www.unesco.org/en/legal-affairs/convention-safeguarding-intangible-cultural-heritage" TargetMode="External"/><Relationship Id="rId27" Type="http://schemas.openxmlformats.org/officeDocument/2006/relationships/hyperlink" Target="https://www.w3.org/TR/sparql11-query/" TargetMode="External"/><Relationship Id="rId28" Type="http://schemas.openxmlformats.org/officeDocument/2006/relationships/hyperlink" Target="https://arxiv.org/abs/2402.05672" TargetMode="External"/><Relationship Id="rId29" Type="http://schemas.openxmlformats.org/officeDocument/2006/relationships/hyperlink" Target="https://huggingface.co/intfloat/multilingual-e5-base" TargetMode="External"/><Relationship Id="rId30" Type="http://schemas.openxmlformats.org/officeDocument/2006/relationships/hyperlink" Target="https://aclanthology.org/2020.emnlp-main.550/" TargetMode="External"/><Relationship Id="rId31" Type="http://schemas.openxmlformats.org/officeDocument/2006/relationships/hyperlink" Target="https://cormack.uwaterloo.ca/cormacksigir09-rrf.pdf" TargetMode="External"/><Relationship Id="rId32" Type="http://schemas.openxmlformats.org/officeDocument/2006/relationships/hyperlink" Target="https://arxiv.org/abs/2401.08281" TargetMode="External"/><Relationship Id="rId33" Type="http://schemas.openxmlformats.org/officeDocument/2006/relationships/hyperlink" Target="https://github.com/facebookresearch/faiss/wiki/MetricType-and-distances" TargetMode="External"/><Relationship Id="rId34" Type="http://schemas.openxmlformats.org/officeDocument/2006/relationships/hyperlink" Target="https://proceedings.mlr.press/v70/guo17a.html" TargetMode="External"/><Relationship Id="rId35" Type="http://schemas.openxmlformats.org/officeDocument/2006/relationships/hyperlink" Target="https://arxiv.org/abs/2310.11511" TargetMode="External"/><Relationship Id="rId36" Type="http://schemas.openxmlformats.org/officeDocument/2006/relationships/hyperlink" Target="https://aclanthology.org/2024.tacl-1.9/" TargetMode="External"/><Relationship Id="rId37" Type="http://schemas.openxmlformats.org/officeDocument/2006/relationships/hyperlink" Target="https://arxiv.org/abs/2307.09288" TargetMode="External"/><Relationship Id="rId38" Type="http://schemas.openxmlformats.org/officeDocument/2006/relationships/hyperlink" Target="https://arxiv.org/abs/2309.06180" TargetMode="External"/><Relationship Id="rId39" Type="http://schemas.openxmlformats.org/officeDocument/2006/relationships/hyperlink" Target="https://aclanthology.org/2024.emnlp-main.9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 Phân tích và thiết kế hệ thống kiến trúc lai 3 lớp</dc:title>
  <dc:subject>Trợ lý ảo di sản, du lịch và hành chính Việt Nam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