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212080" cy="2084306"/>
            <wp:docPr id="1" name="Picture 1"/>
            <wp:cNvGraphicFramePr>
              <a:graphicFrameLocks noChangeAspect="1"/>
            </wp:cNvGraphicFramePr>
            <a:graphic>
              <a:graphicData uri="http://schemas.openxmlformats.org/drawingml/2006/picture">
                <pic:pic>
                  <pic:nvPicPr>
                    <pic:cNvPr id="0" name="cell-to-self-horizontal-logo.png"/>
                    <pic:cNvPicPr/>
                  </pic:nvPicPr>
                  <pic:blipFill>
                    <a:blip r:embed="rId9"/>
                    <a:stretch>
                      <a:fillRect/>
                    </a:stretch>
                  </pic:blipFill>
                  <pic:spPr>
                    <a:xfrm>
                      <a:off x="0" y="0"/>
                      <a:ext cx="5212080" cy="2084306"/>
                    </a:xfrm>
                    <a:prstGeom prst="rect"/>
                  </pic:spPr>
                </pic:pic>
              </a:graphicData>
            </a:graphic>
          </wp:inline>
        </w:drawing>
      </w:r>
    </w:p>
    <w:p/>
    <w:p>
      <w:pPr>
        <w:pStyle w:val="Title"/>
      </w:pPr>
      <w:r>
        <w:t>Cell to Self Brand and Website Style Guide</w:t>
      </w:r>
    </w:p>
    <w:p>
      <w:pPr>
        <w:pStyle w:val="Subtitle"/>
      </w:pPr>
      <w:r>
        <w:t>A practical system for keeping the site unmistakably Amy</w:t>
      </w:r>
    </w:p>
    <w:p>
      <w:r>
        <w:t>This guide defines the visual language, voice, photography, interface patterns, and editorial standards for Cell to Self. Use it whenever the website, social graphics, email, print materials, or future products are created or revised.</w:t>
      </w:r>
    </w:p>
    <w:p>
      <w:pPr>
        <w:jc w:val="center"/>
      </w:pPr>
      <w:r>
        <w:rPr>
          <w:rFonts w:ascii="Georgia" w:hAnsi="Georgia"/>
          <w:i/>
          <w:color w:val="194F49"/>
          <w:sz w:val="36"/>
        </w:rPr>
        <w:t>Real life after prison, written in real time.</w:t>
      </w:r>
    </w:p>
    <w:p>
      <w:pPr>
        <w:jc w:val="center"/>
      </w:pPr>
      <w:r>
        <w:t>Version 1.0  |  September 2026</w:t>
      </w:r>
    </w:p>
    <w:p>
      <w:r>
        <w:br w:type="page"/>
      </w:r>
    </w:p>
    <w:p>
      <w:pPr>
        <w:pStyle w:val="Title"/>
      </w:pPr>
      <w:r>
        <w:t>Brand foundation</w:t>
      </w:r>
    </w:p>
    <w:p>
      <w:pPr>
        <w:pStyle w:val="Heading1"/>
      </w:pPr>
      <w:r>
        <w:t>What Cell to Self is</w:t>
      </w:r>
    </w:p>
    <w:p>
      <w:r>
        <w:t>Cell to Self is Amy's living record of life after prison while she is still figuring it out. It holds recovery, reentry, family, faith, grief, work, relationships, humor, and the ordinary details of freedom in the same honest frame.</w:t>
      </w:r>
    </w:p>
    <w:p>
      <w:pPr>
        <w:pStyle w:val="Heading2"/>
      </w:pPr>
      <w:r>
        <w:t>Core promise</w:t>
      </w:r>
    </w:p>
    <w:p>
      <w:r>
        <w:t>Tell the truth from the middle of the story, before it has been polished into a lesson.</w:t>
      </w:r>
    </w:p>
    <w:p>
      <w:pPr>
        <w:pStyle w:val="Heading2"/>
      </w:pPr>
      <w:r>
        <w:t>Tagline</w:t>
      </w:r>
    </w:p>
    <w:p>
      <w:r>
        <w:t>Real life after prison, written in real time.</w:t>
      </w:r>
    </w:p>
    <w:p>
      <w:pPr>
        <w:pStyle w:val="Heading2"/>
      </w:pPr>
      <w:r>
        <w:t>Supporting language</w:t>
      </w:r>
    </w:p>
    <w:p>
      <w:pPr>
        <w:pStyle w:val="ListBullet"/>
      </w:pPr>
      <w:r>
        <w:t>Just figuring it out as I go.</w:t>
      </w:r>
    </w:p>
    <w:p>
      <w:pPr>
        <w:pStyle w:val="ListBullet"/>
      </w:pPr>
      <w:r>
        <w:t>This time, I tell the story.</w:t>
      </w:r>
    </w:p>
    <w:p>
      <w:pPr>
        <w:pStyle w:val="ListBullet"/>
      </w:pPr>
      <w:r>
        <w:t>Never underestimate the beauty of an ordinary day.</w:t>
      </w:r>
    </w:p>
    <w:p>
      <w:pPr>
        <w:pStyle w:val="ListBullet"/>
      </w:pPr>
      <w:r>
        <w:t>Messy. Beautiful. Chaotic. Hilarious. Grateful. Free.</w:t>
      </w:r>
    </w:p>
    <w:p>
      <w:pPr>
        <w:pStyle w:val="Heading2"/>
      </w:pPr>
      <w:r>
        <w:t>Brand qualities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4680"/>
            <w:shd w:fill="194F49"/>
            <w:vAlign w:val="center"/>
            <w:tcMar>
              <w:top w:w="100" w:type="dxa"/>
              <w:start w:w="120" w:type="dxa"/>
              <w:bottom w:w="100" w:type="dxa"/>
              <w:end w:w="120" w:type="dxa"/>
            </w:tcMar>
          </w:tcPr>
          <w:p>
            <w:r>
              <w:rPr>
                <w:b/>
                <w:color w:val="FFFFFF"/>
              </w:rPr>
              <w:t>The brand is</w:t>
            </w:r>
          </w:p>
        </w:tc>
        <w:tc>
          <w:tcPr>
            <w:tcW w:type="dxa" w:w="4680"/>
            <w:shd w:fill="194F49"/>
            <w:vAlign w:val="center"/>
            <w:tcMar>
              <w:top w:w="100" w:type="dxa"/>
              <w:start w:w="120" w:type="dxa"/>
              <w:bottom w:w="100" w:type="dxa"/>
              <w:end w:w="120" w:type="dxa"/>
            </w:tcMar>
          </w:tcPr>
          <w:p>
            <w:r>
              <w:rPr>
                <w:b/>
                <w:color w:val="FFFFFF"/>
              </w:rPr>
              <w:t>The brand is not</w:t>
            </w:r>
          </w:p>
        </w:tc>
      </w:tr>
      <w:tr>
        <w:tc>
          <w:tcPr>
            <w:tcW w:type="dxa" w:w="4680"/>
            <w:vAlign w:val="center"/>
            <w:tcMar>
              <w:top w:w="100" w:type="dxa"/>
              <w:start w:w="120" w:type="dxa"/>
              <w:bottom w:w="100" w:type="dxa"/>
              <w:end w:w="120" w:type="dxa"/>
            </w:tcMar>
          </w:tcPr>
          <w:p>
            <w:r>
              <w:t>Honest, specific, and emotionally alive</w:t>
            </w:r>
          </w:p>
        </w:tc>
        <w:tc>
          <w:tcPr>
            <w:tcW w:type="dxa" w:w="4680"/>
            <w:vAlign w:val="center"/>
            <w:tcMar>
              <w:top w:w="100" w:type="dxa"/>
              <w:start w:w="120" w:type="dxa"/>
              <w:bottom w:w="100" w:type="dxa"/>
              <w:end w:w="120" w:type="dxa"/>
            </w:tcMar>
          </w:tcPr>
          <w:p>
            <w:r>
              <w:t>Institutional or sanitized</w:t>
            </w:r>
          </w:p>
        </w:tc>
      </w:tr>
      <w:tr>
        <w:tc>
          <w:tcPr>
            <w:tcW w:type="dxa" w:w="4680"/>
            <w:vAlign w:val="center"/>
            <w:tcMar>
              <w:top w:w="100" w:type="dxa"/>
              <w:start w:w="120" w:type="dxa"/>
              <w:bottom w:w="100" w:type="dxa"/>
              <w:end w:w="120" w:type="dxa"/>
            </w:tcMar>
          </w:tcPr>
          <w:p>
            <w:r>
              <w:t>Funny beside painful</w:t>
            </w:r>
          </w:p>
        </w:tc>
        <w:tc>
          <w:tcPr>
            <w:tcW w:type="dxa" w:w="4680"/>
            <w:vAlign w:val="center"/>
            <w:tcMar>
              <w:top w:w="100" w:type="dxa"/>
              <w:start w:w="120" w:type="dxa"/>
              <w:bottom w:w="100" w:type="dxa"/>
              <w:end w:w="120" w:type="dxa"/>
            </w:tcMar>
          </w:tcPr>
          <w:p>
            <w:r>
              <w:t>Trauma packaged as inspiration</w:t>
            </w:r>
          </w:p>
        </w:tc>
      </w:tr>
      <w:tr>
        <w:tc>
          <w:tcPr>
            <w:tcW w:type="dxa" w:w="4680"/>
            <w:vAlign w:val="center"/>
            <w:tcMar>
              <w:top w:w="100" w:type="dxa"/>
              <w:start w:w="120" w:type="dxa"/>
              <w:bottom w:w="100" w:type="dxa"/>
              <w:end w:w="120" w:type="dxa"/>
            </w:tcMar>
          </w:tcPr>
          <w:p>
            <w:r>
              <w:t>Editorial and handmade</w:t>
            </w:r>
          </w:p>
        </w:tc>
        <w:tc>
          <w:tcPr>
            <w:tcW w:type="dxa" w:w="4680"/>
            <w:vAlign w:val="center"/>
            <w:tcMar>
              <w:top w:w="100" w:type="dxa"/>
              <w:start w:w="120" w:type="dxa"/>
              <w:bottom w:w="100" w:type="dxa"/>
              <w:end w:w="120" w:type="dxa"/>
            </w:tcMar>
          </w:tcPr>
          <w:p>
            <w:r>
              <w:t>Generic lifestyle branding</w:t>
            </w:r>
          </w:p>
        </w:tc>
      </w:tr>
      <w:tr>
        <w:tc>
          <w:tcPr>
            <w:tcW w:type="dxa" w:w="4680"/>
            <w:vAlign w:val="center"/>
            <w:tcMar>
              <w:top w:w="100" w:type="dxa"/>
              <w:start w:w="120" w:type="dxa"/>
              <w:bottom w:w="100" w:type="dxa"/>
              <w:end w:w="120" w:type="dxa"/>
            </w:tcMar>
          </w:tcPr>
          <w:p>
            <w:r>
              <w:t>Hopeful without pretending</w:t>
            </w:r>
          </w:p>
        </w:tc>
        <w:tc>
          <w:tcPr>
            <w:tcW w:type="dxa" w:w="4680"/>
            <w:vAlign w:val="center"/>
            <w:tcMar>
              <w:top w:w="100" w:type="dxa"/>
              <w:start w:w="120" w:type="dxa"/>
              <w:bottom w:w="100" w:type="dxa"/>
              <w:end w:w="120" w:type="dxa"/>
            </w:tcMar>
          </w:tcPr>
          <w:p>
            <w:r>
              <w:t>Perfect, preachy, or resolved</w:t>
            </w:r>
          </w:p>
        </w:tc>
      </w:tr>
    </w:tbl>
    <w:p>
      <w:r>
        <w:br w:type="page"/>
      </w:r>
    </w:p>
    <w:p>
      <w:pPr>
        <w:pStyle w:val="Title"/>
      </w:pPr>
      <w:r>
        <w:t>Voice and writing</w:t>
      </w:r>
    </w:p>
    <w:p>
      <w:pPr>
        <w:pStyle w:val="Heading1"/>
      </w:pPr>
      <w:r>
        <w:t>Voice principles</w:t>
      </w:r>
    </w:p>
    <w:p>
      <w:pPr>
        <w:ind w:left="403" w:hanging="403"/>
      </w:pPr>
      <w:r>
        <w:rPr>
          <w:b/>
        </w:rPr>
        <w:t xml:space="preserve">1.  </w:t>
      </w:r>
      <w:r>
        <w:t>Write as Amy, not as a brand department. Use first person, concrete details, and the words you would actually say.</w:t>
      </w:r>
    </w:p>
    <w:p>
      <w:pPr>
        <w:ind w:left="403" w:hanging="403"/>
      </w:pPr>
      <w:r>
        <w:rPr>
          <w:b/>
        </w:rPr>
        <w:t xml:space="preserve">2.  </w:t>
      </w:r>
      <w:r>
        <w:t>Let humor and pain coexist. Do not force a tidy moral onto an experience that is still unfolding.</w:t>
      </w:r>
    </w:p>
    <w:p>
      <w:pPr>
        <w:ind w:left="403" w:hanging="403"/>
      </w:pPr>
      <w:r>
        <w:rPr>
          <w:b/>
        </w:rPr>
        <w:t xml:space="preserve">3.  </w:t>
      </w:r>
      <w:r>
        <w:t>Name prison and reentry directly. Avoid euphemisms, spectacle, and language that turns people into case studies.</w:t>
      </w:r>
    </w:p>
    <w:p>
      <w:pPr>
        <w:ind w:left="403" w:hanging="403"/>
      </w:pPr>
      <w:r>
        <w:rPr>
          <w:b/>
        </w:rPr>
        <w:t xml:space="preserve">4.  </w:t>
      </w:r>
      <w:r>
        <w:t>Prefer specific scenes over broad claims. The ordinary details of freedom are part of the story.</w:t>
      </w:r>
    </w:p>
    <w:p>
      <w:pPr>
        <w:ind w:left="403" w:hanging="403"/>
      </w:pPr>
      <w:r>
        <w:rPr>
          <w:b/>
        </w:rPr>
        <w:t xml:space="preserve">5.  </w:t>
      </w:r>
      <w:r>
        <w:t>Keep calls to action plain and human: Read the Story, Explore All Stories, Meet Amy, Stay Connected.</w:t>
      </w:r>
    </w:p>
    <w:p>
      <w:pPr>
        <w:pStyle w:val="Heading2"/>
      </w:pPr>
      <w:r>
        <w:t>Editorial rhythm</w:t>
      </w:r>
    </w:p>
    <w:p>
      <w:r>
        <w:t>Use short sentences for impact, conversational paragraphs for movement, and occasional fragments when they sound natural. Profanity can stay when it is truthful to the moment. Preserve Amy's humor, timing, and emotional turns during editing.</w:t>
      </w:r>
    </w:p>
    <w:p>
      <w:pPr>
        <w:pStyle w:val="Heading2"/>
      </w:pPr>
      <w:r>
        <w:t>Language to avoid</w:t>
      </w:r>
    </w:p>
    <w:p>
      <w:pPr>
        <w:pStyle w:val="ListBullet"/>
      </w:pPr>
      <w:r>
        <w:t>Generic comeback-story language or redemption clichés</w:t>
      </w:r>
    </w:p>
    <w:p>
      <w:pPr>
        <w:pStyle w:val="ListBullet"/>
      </w:pPr>
      <w:r>
        <w:t>Clinical labels where a human description is clearer</w:t>
      </w:r>
    </w:p>
    <w:p>
      <w:pPr>
        <w:pStyle w:val="ListBullet"/>
      </w:pPr>
      <w:r>
        <w:t>Performative inspiration, pity, or false certainty</w:t>
      </w:r>
    </w:p>
    <w:p>
      <w:pPr>
        <w:pStyle w:val="ListBullet"/>
      </w:pPr>
      <w:r>
        <w:t>Corporate filler such as journey, empower, leverage, and impactful unless the sentence truly needs it</w:t>
      </w:r>
    </w:p>
    <w:p>
      <w:pPr>
        <w:pStyle w:val="ListBullet"/>
      </w:pPr>
      <w:r>
        <w:t>Overexplaining a joke or ending every post with a lesson</w:t>
      </w:r>
    </w:p>
    <w:p>
      <w:pPr>
        <w:pStyle w:val="Heading2"/>
      </w:pPr>
      <w:r>
        <w:t>Capitalization and punctuation</w:t>
      </w:r>
    </w:p>
    <w:p>
      <w:r>
        <w:t>Use sentence case for ordinary headings and title case for story titles. Use contractions. Use an em dash sparingly. Category names remain: Dear Prison Pals, After the Headline, Healing in Real Time, and Ink on the Inside.</w:t>
      </w:r>
    </w:p>
    <w:p>
      <w:r>
        <w:br w:type="page"/>
      </w:r>
    </w:p>
    <w:p>
      <w:pPr>
        <w:pStyle w:val="Title"/>
      </w:pPr>
      <w:r>
        <w:t>Color system</w:t>
      </w:r>
    </w:p>
    <w:p>
      <w:r>
        <w:t>The palette should feel warm, editorial, imperfect, and grounded. Turquoise carries movement and freedom; rose adds humanity and friction; ink and paper hold the system together.</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2232"/>
            <w:shd w:fill="11100E"/>
            <w:vAlign w:val="center"/>
            <w:tcMar>
              <w:top w:w="100" w:type="dxa"/>
              <w:start w:w="120" w:type="dxa"/>
              <w:bottom w:w="100" w:type="dxa"/>
              <w:end w:w="120" w:type="dxa"/>
            </w:tcMar>
          </w:tcPr>
          <w:p>
            <w:r>
              <w:rPr>
                <w:b/>
                <w:color w:val="FFFFFF"/>
              </w:rPr>
              <w:t>Color</w:t>
            </w:r>
          </w:p>
        </w:tc>
        <w:tc>
          <w:tcPr>
            <w:tcW w:type="dxa" w:w="1584"/>
            <w:shd w:fill="11100E"/>
            <w:vAlign w:val="center"/>
            <w:tcMar>
              <w:top w:w="100" w:type="dxa"/>
              <w:start w:w="120" w:type="dxa"/>
              <w:bottom w:w="100" w:type="dxa"/>
              <w:end w:w="120" w:type="dxa"/>
            </w:tcMar>
          </w:tcPr>
          <w:p>
            <w:r>
              <w:rPr>
                <w:b/>
                <w:color w:val="FFFFFF"/>
              </w:rPr>
              <w:t>Hex</w:t>
            </w:r>
          </w:p>
        </w:tc>
        <w:tc>
          <w:tcPr>
            <w:tcW w:type="dxa" w:w="5544"/>
            <w:shd w:fill="11100E"/>
            <w:vAlign w:val="center"/>
            <w:tcMar>
              <w:top w:w="100" w:type="dxa"/>
              <w:start w:w="120" w:type="dxa"/>
              <w:bottom w:w="100" w:type="dxa"/>
              <w:end w:w="120" w:type="dxa"/>
            </w:tcMar>
          </w:tcPr>
          <w:p>
            <w:r>
              <w:rPr>
                <w:b/>
                <w:color w:val="FFFFFF"/>
              </w:rPr>
              <w:t>Primary use</w:t>
            </w:r>
          </w:p>
        </w:tc>
      </w:tr>
      <w:tr>
        <w:tc>
          <w:tcPr>
            <w:tcW w:type="dxa" w:w="2232"/>
            <w:shd w:fill="11100E"/>
            <w:vAlign w:val="center"/>
            <w:tcMar>
              <w:top w:w="100" w:type="dxa"/>
              <w:start w:w="120" w:type="dxa"/>
              <w:bottom w:w="100" w:type="dxa"/>
              <w:end w:w="120" w:type="dxa"/>
            </w:tcMar>
          </w:tcPr>
          <w:p>
            <w:r>
              <w:rPr>
                <w:color w:val="FFFFFF"/>
              </w:rPr>
              <w:t>Ink</w:t>
            </w:r>
          </w:p>
        </w:tc>
        <w:tc>
          <w:tcPr>
            <w:tcW w:type="dxa" w:w="1584"/>
            <w:vAlign w:val="center"/>
            <w:tcMar>
              <w:top w:w="100" w:type="dxa"/>
              <w:start w:w="120" w:type="dxa"/>
              <w:bottom w:w="100" w:type="dxa"/>
              <w:end w:w="120" w:type="dxa"/>
            </w:tcMar>
          </w:tcPr>
          <w:p>
            <w:r>
              <w:t>#11100E</w:t>
            </w:r>
          </w:p>
        </w:tc>
        <w:tc>
          <w:tcPr>
            <w:tcW w:type="dxa" w:w="5544"/>
            <w:vAlign w:val="center"/>
            <w:tcMar>
              <w:top w:w="100" w:type="dxa"/>
              <w:start w:w="120" w:type="dxa"/>
              <w:bottom w:w="100" w:type="dxa"/>
              <w:end w:w="120" w:type="dxa"/>
            </w:tcMar>
          </w:tcPr>
          <w:p>
            <w:r>
              <w:t>Headlines, body copy, rules, borders, and dark backgrounds</w:t>
            </w:r>
          </w:p>
        </w:tc>
      </w:tr>
      <w:tr>
        <w:tc>
          <w:tcPr>
            <w:tcW w:type="dxa" w:w="2232"/>
            <w:shd w:fill="F3EFE4"/>
            <w:vAlign w:val="center"/>
            <w:tcMar>
              <w:top w:w="100" w:type="dxa"/>
              <w:start w:w="120" w:type="dxa"/>
              <w:bottom w:w="100" w:type="dxa"/>
              <w:end w:w="120" w:type="dxa"/>
            </w:tcMar>
          </w:tcPr>
          <w:p>
            <w:r>
              <w:t>Paper</w:t>
            </w:r>
          </w:p>
        </w:tc>
        <w:tc>
          <w:tcPr>
            <w:tcW w:type="dxa" w:w="1584"/>
            <w:vAlign w:val="center"/>
            <w:tcMar>
              <w:top w:w="100" w:type="dxa"/>
              <w:start w:w="120" w:type="dxa"/>
              <w:bottom w:w="100" w:type="dxa"/>
              <w:end w:w="120" w:type="dxa"/>
            </w:tcMar>
          </w:tcPr>
          <w:p>
            <w:r>
              <w:t>#F3EFE4</w:t>
            </w:r>
          </w:p>
        </w:tc>
        <w:tc>
          <w:tcPr>
            <w:tcW w:type="dxa" w:w="5544"/>
            <w:vAlign w:val="center"/>
            <w:tcMar>
              <w:top w:w="100" w:type="dxa"/>
              <w:start w:w="120" w:type="dxa"/>
              <w:bottom w:w="100" w:type="dxa"/>
              <w:end w:w="120" w:type="dxa"/>
            </w:tcMar>
          </w:tcPr>
          <w:p>
            <w:r>
              <w:t>Primary page background and editorial canvas</w:t>
            </w:r>
          </w:p>
        </w:tc>
      </w:tr>
      <w:tr>
        <w:tc>
          <w:tcPr>
            <w:tcW w:type="dxa" w:w="2232"/>
            <w:shd w:fill="FFF9EB"/>
            <w:vAlign w:val="center"/>
            <w:tcMar>
              <w:top w:w="100" w:type="dxa"/>
              <w:start w:w="120" w:type="dxa"/>
              <w:bottom w:w="100" w:type="dxa"/>
              <w:end w:w="120" w:type="dxa"/>
            </w:tcMar>
          </w:tcPr>
          <w:p>
            <w:r>
              <w:t>Cream</w:t>
            </w:r>
          </w:p>
        </w:tc>
        <w:tc>
          <w:tcPr>
            <w:tcW w:type="dxa" w:w="1584"/>
            <w:vAlign w:val="center"/>
            <w:tcMar>
              <w:top w:w="100" w:type="dxa"/>
              <w:start w:w="120" w:type="dxa"/>
              <w:bottom w:w="100" w:type="dxa"/>
              <w:end w:w="120" w:type="dxa"/>
            </w:tcMar>
          </w:tcPr>
          <w:p>
            <w:r>
              <w:t>#FFF9EB</w:t>
            </w:r>
          </w:p>
        </w:tc>
        <w:tc>
          <w:tcPr>
            <w:tcW w:type="dxa" w:w="5544"/>
            <w:vAlign w:val="center"/>
            <w:tcMar>
              <w:top w:w="100" w:type="dxa"/>
              <w:start w:w="120" w:type="dxa"/>
              <w:bottom w:w="100" w:type="dxa"/>
              <w:end w:w="120" w:type="dxa"/>
            </w:tcMar>
          </w:tcPr>
          <w:p>
            <w:r>
              <w:t>Light text and warm pale surfaces</w:t>
            </w:r>
          </w:p>
        </w:tc>
      </w:tr>
      <w:tr>
        <w:tc>
          <w:tcPr>
            <w:tcW w:type="dxa" w:w="2232"/>
            <w:shd w:fill="58B7AA"/>
            <w:vAlign w:val="center"/>
            <w:tcMar>
              <w:top w:w="100" w:type="dxa"/>
              <w:start w:w="120" w:type="dxa"/>
              <w:bottom w:w="100" w:type="dxa"/>
              <w:end w:w="120" w:type="dxa"/>
            </w:tcMar>
          </w:tcPr>
          <w:p>
            <w:r>
              <w:t>Light Turquoise</w:t>
            </w:r>
          </w:p>
        </w:tc>
        <w:tc>
          <w:tcPr>
            <w:tcW w:type="dxa" w:w="1584"/>
            <w:vAlign w:val="center"/>
            <w:tcMar>
              <w:top w:w="100" w:type="dxa"/>
              <w:start w:w="120" w:type="dxa"/>
              <w:bottom w:w="100" w:type="dxa"/>
              <w:end w:w="120" w:type="dxa"/>
            </w:tcMar>
          </w:tcPr>
          <w:p>
            <w:r>
              <w:t>#58B7AA</w:t>
            </w:r>
          </w:p>
        </w:tc>
        <w:tc>
          <w:tcPr>
            <w:tcW w:type="dxa" w:w="5544"/>
            <w:vAlign w:val="center"/>
            <w:tcMar>
              <w:top w:w="100" w:type="dxa"/>
              <w:start w:w="120" w:type="dxa"/>
              <w:bottom w:w="100" w:type="dxa"/>
              <w:end w:w="120" w:type="dxa"/>
            </w:tcMar>
          </w:tcPr>
          <w:p>
            <w:r>
              <w:t>Primary action color, feature surfaces, and handwritten emphasis</w:t>
            </w:r>
          </w:p>
        </w:tc>
      </w:tr>
      <w:tr>
        <w:tc>
          <w:tcPr>
            <w:tcW w:type="dxa" w:w="2232"/>
            <w:shd w:fill="194F49"/>
            <w:vAlign w:val="center"/>
            <w:tcMar>
              <w:top w:w="100" w:type="dxa"/>
              <w:start w:w="120" w:type="dxa"/>
              <w:bottom w:w="100" w:type="dxa"/>
              <w:end w:w="120" w:type="dxa"/>
            </w:tcMar>
          </w:tcPr>
          <w:p>
            <w:r>
              <w:rPr>
                <w:color w:val="FFFFFF"/>
              </w:rPr>
              <w:t>Dark Turquoise</w:t>
            </w:r>
          </w:p>
        </w:tc>
        <w:tc>
          <w:tcPr>
            <w:tcW w:type="dxa" w:w="1584"/>
            <w:vAlign w:val="center"/>
            <w:tcMar>
              <w:top w:w="100" w:type="dxa"/>
              <w:start w:w="120" w:type="dxa"/>
              <w:bottom w:w="100" w:type="dxa"/>
              <w:end w:w="120" w:type="dxa"/>
            </w:tcMar>
          </w:tcPr>
          <w:p>
            <w:r>
              <w:t>#194F49</w:t>
            </w:r>
          </w:p>
        </w:tc>
        <w:tc>
          <w:tcPr>
            <w:tcW w:type="dxa" w:w="5544"/>
            <w:vAlign w:val="center"/>
            <w:tcMar>
              <w:top w:w="100" w:type="dxa"/>
              <w:start w:w="120" w:type="dxa"/>
              <w:bottom w:w="100" w:type="dxa"/>
              <w:end w:w="120" w:type="dxa"/>
            </w:tcMar>
          </w:tcPr>
          <w:p>
            <w:r>
              <w:t>Deep brand sections, strong accents, and dark teal text</w:t>
            </w:r>
          </w:p>
        </w:tc>
      </w:tr>
      <w:tr>
        <w:tc>
          <w:tcPr>
            <w:tcW w:type="dxa" w:w="2232"/>
            <w:shd w:fill="B77D6B"/>
            <w:vAlign w:val="center"/>
            <w:tcMar>
              <w:top w:w="100" w:type="dxa"/>
              <w:start w:w="120" w:type="dxa"/>
              <w:bottom w:w="100" w:type="dxa"/>
              <w:end w:w="120" w:type="dxa"/>
            </w:tcMar>
          </w:tcPr>
          <w:p>
            <w:r>
              <w:t>Rose</w:t>
            </w:r>
          </w:p>
        </w:tc>
        <w:tc>
          <w:tcPr>
            <w:tcW w:type="dxa" w:w="1584"/>
            <w:vAlign w:val="center"/>
            <w:tcMar>
              <w:top w:w="100" w:type="dxa"/>
              <w:start w:w="120" w:type="dxa"/>
              <w:bottom w:w="100" w:type="dxa"/>
              <w:end w:w="120" w:type="dxa"/>
            </w:tcMar>
          </w:tcPr>
          <w:p>
            <w:r>
              <w:t>#B77D6B</w:t>
            </w:r>
          </w:p>
        </w:tc>
        <w:tc>
          <w:tcPr>
            <w:tcW w:type="dxa" w:w="5544"/>
            <w:vAlign w:val="center"/>
            <w:tcMar>
              <w:top w:w="100" w:type="dxa"/>
              <w:start w:w="120" w:type="dxa"/>
              <w:bottom w:w="100" w:type="dxa"/>
              <w:end w:w="120" w:type="dxa"/>
            </w:tcMar>
          </w:tcPr>
          <w:p>
            <w:r>
              <w:t>Emotional accents, stamps, selected surfaces, and details</w:t>
            </w:r>
          </w:p>
        </w:tc>
      </w:tr>
      <w:tr>
        <w:tc>
          <w:tcPr>
            <w:tcW w:type="dxa" w:w="2232"/>
            <w:shd w:fill="F0B7C1"/>
            <w:vAlign w:val="center"/>
            <w:tcMar>
              <w:top w:w="100" w:type="dxa"/>
              <w:start w:w="120" w:type="dxa"/>
              <w:bottom w:w="100" w:type="dxa"/>
              <w:end w:w="120" w:type="dxa"/>
            </w:tcMar>
          </w:tcPr>
          <w:p>
            <w:r>
              <w:t>Soft Pink</w:t>
            </w:r>
          </w:p>
        </w:tc>
        <w:tc>
          <w:tcPr>
            <w:tcW w:type="dxa" w:w="1584"/>
            <w:vAlign w:val="center"/>
            <w:tcMar>
              <w:top w:w="100" w:type="dxa"/>
              <w:start w:w="120" w:type="dxa"/>
              <w:bottom w:w="100" w:type="dxa"/>
              <w:end w:w="120" w:type="dxa"/>
            </w:tcMar>
          </w:tcPr>
          <w:p>
            <w:r>
              <w:t>#F0B7C1</w:t>
            </w:r>
          </w:p>
        </w:tc>
        <w:tc>
          <w:tcPr>
            <w:tcW w:type="dxa" w:w="5544"/>
            <w:vAlign w:val="center"/>
            <w:tcMar>
              <w:top w:w="100" w:type="dxa"/>
              <w:start w:w="120" w:type="dxa"/>
              <w:bottom w:w="100" w:type="dxa"/>
              <w:end w:w="120" w:type="dxa"/>
            </w:tcMar>
          </w:tcPr>
          <w:p>
            <w:r>
              <w:t>Occasional supporting editorial surface</w:t>
            </w:r>
          </w:p>
        </w:tc>
      </w:tr>
    </w:tbl>
    <w:p>
      <w:pPr>
        <w:pStyle w:val="Heading2"/>
      </w:pPr>
      <w:r>
        <w:t>Color rules</w:t>
      </w:r>
    </w:p>
    <w:p>
      <w:pPr>
        <w:pStyle w:val="ListBullet"/>
      </w:pPr>
      <w:r>
        <w:t>Use only #58B7AA and #194F49 for turquoise. Do not drift toward bright cyan or aqua.</w:t>
      </w:r>
    </w:p>
    <w:p>
      <w:pPr>
        <w:pStyle w:val="ListBullet"/>
      </w:pPr>
      <w:r>
        <w:t>Use #B77D6B through the --rose variable. Do not reintroduce --gold, --red, or --rose-gold.</w:t>
      </w:r>
    </w:p>
    <w:p>
      <w:pPr>
        <w:pStyle w:val="ListBullet"/>
      </w:pPr>
      <w:r>
        <w:t>Keep Paper as the default page background and Ink as the default text color.</w:t>
      </w:r>
    </w:p>
    <w:p>
      <w:pPr>
        <w:pStyle w:val="ListBullet"/>
      </w:pPr>
      <w:r>
        <w:t>Use Cream on dark backgrounds; test all combinations for readable contrast.</w:t>
      </w:r>
    </w:p>
    <w:p>
      <w:pPr>
        <w:pStyle w:val="ListBullet"/>
      </w:pPr>
      <w:r>
        <w:t>Soft Pink is supporting color, not a replacement for turquoise or rose.</w:t>
      </w:r>
    </w:p>
    <w:p>
      <w:pPr>
        <w:pStyle w:val="Heading2"/>
      </w:pPr>
      <w:r>
        <w:t>Canonical website variables</w:t>
      </w:r>
    </w:p>
    <w:p>
      <w:r>
        <w:rPr>
          <w:rFonts w:ascii="Courier New" w:hAnsi="Courier New"/>
          <w:sz w:val="18"/>
        </w:rPr>
        <w:t>:root {</w:t>
        <w:br/>
        <w:t xml:space="preserve">  --ink: #11100E;</w:t>
        <w:br/>
        <w:t xml:space="preserve">  --paper: #F3EFE4;</w:t>
        <w:br/>
        <w:t xml:space="preserve">  --cream: #FFF9EB;</w:t>
        <w:br/>
        <w:t xml:space="preserve">  --teal: #58B7AA;</w:t>
        <w:br/>
        <w:t xml:space="preserve">  --teal-dark: #194F49;</w:t>
        <w:br/>
        <w:t xml:space="preserve">  --rose: #B77D6B;</w:t>
        <w:br/>
        <w:t xml:space="preserve">  --pink: #F0B7C1;</w:t>
        <w:br/>
        <w:t>}</w:t>
      </w:r>
    </w:p>
    <w:p>
      <w:r>
        <w:br w:type="page"/>
      </w:r>
    </w:p>
    <w:p>
      <w:pPr>
        <w:pStyle w:val="Title"/>
      </w:pPr>
      <w:r>
        <w:t>Typography</w:t>
      </w:r>
    </w:p>
    <w:p>
      <w:pPr>
        <w:pStyle w:val="Heading1"/>
      </w:pPr>
      <w:r>
        <w:t>Type families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1872"/>
            <w:shd w:fill="194F49"/>
            <w:vAlign w:val="center"/>
            <w:tcMar>
              <w:top w:w="100" w:type="dxa"/>
              <w:start w:w="120" w:type="dxa"/>
              <w:bottom w:w="100" w:type="dxa"/>
              <w:end w:w="120" w:type="dxa"/>
            </w:tcMar>
          </w:tcPr>
          <w:p>
            <w:r>
              <w:rPr>
                <w:b/>
                <w:color w:val="FFFFFF"/>
              </w:rPr>
              <w:t>Role</w:t>
            </w:r>
          </w:p>
        </w:tc>
        <w:tc>
          <w:tcPr>
            <w:tcW w:type="dxa" w:w="2232"/>
            <w:shd w:fill="194F49"/>
            <w:vAlign w:val="center"/>
            <w:tcMar>
              <w:top w:w="100" w:type="dxa"/>
              <w:start w:w="120" w:type="dxa"/>
              <w:bottom w:w="100" w:type="dxa"/>
              <w:end w:w="120" w:type="dxa"/>
            </w:tcMar>
          </w:tcPr>
          <w:p>
            <w:r>
              <w:rPr>
                <w:b/>
                <w:color w:val="FFFFFF"/>
              </w:rPr>
              <w:t>Family</w:t>
            </w:r>
          </w:p>
        </w:tc>
        <w:tc>
          <w:tcPr>
            <w:tcW w:type="dxa" w:w="5256"/>
            <w:shd w:fill="194F49"/>
            <w:vAlign w:val="center"/>
            <w:tcMar>
              <w:top w:w="100" w:type="dxa"/>
              <w:start w:w="120" w:type="dxa"/>
              <w:bottom w:w="100" w:type="dxa"/>
              <w:end w:w="120" w:type="dxa"/>
            </w:tcMar>
          </w:tcPr>
          <w:p>
            <w:r>
              <w:rPr>
                <w:b/>
                <w:color w:val="FFFFFF"/>
              </w:rPr>
              <w:t>Use</w:t>
            </w:r>
          </w:p>
        </w:tc>
      </w:tr>
      <w:tr>
        <w:tc>
          <w:tcPr>
            <w:tcW w:type="dxa" w:w="1872"/>
            <w:vAlign w:val="center"/>
            <w:tcMar>
              <w:top w:w="100" w:type="dxa"/>
              <w:start w:w="120" w:type="dxa"/>
              <w:bottom w:w="100" w:type="dxa"/>
              <w:end w:w="120" w:type="dxa"/>
            </w:tcMar>
          </w:tcPr>
          <w:p>
            <w:r>
              <w:t>Primary sans</w:t>
            </w:r>
          </w:p>
        </w:tc>
        <w:tc>
          <w:tcPr>
            <w:tcW w:type="dxa" w:w="2232"/>
            <w:vAlign w:val="center"/>
            <w:tcMar>
              <w:top w:w="100" w:type="dxa"/>
              <w:start w:w="120" w:type="dxa"/>
              <w:bottom w:w="100" w:type="dxa"/>
              <w:end w:w="120" w:type="dxa"/>
            </w:tcMar>
          </w:tcPr>
          <w:p>
            <w:r>
              <w:t>Inter</w:t>
            </w:r>
          </w:p>
        </w:tc>
        <w:tc>
          <w:tcPr>
            <w:tcW w:type="dxa" w:w="5256"/>
            <w:vAlign w:val="center"/>
            <w:tcMar>
              <w:top w:w="100" w:type="dxa"/>
              <w:start w:w="120" w:type="dxa"/>
              <w:bottom w:w="100" w:type="dxa"/>
              <w:end w:w="120" w:type="dxa"/>
            </w:tcMar>
          </w:tcPr>
          <w:p>
            <w:r>
              <w:t>Navigation, bold display headlines, interface copy, labels</w:t>
            </w:r>
          </w:p>
        </w:tc>
      </w:tr>
      <w:tr>
        <w:tc>
          <w:tcPr>
            <w:tcW w:type="dxa" w:w="1872"/>
            <w:vAlign w:val="center"/>
            <w:tcMar>
              <w:top w:w="100" w:type="dxa"/>
              <w:start w:w="120" w:type="dxa"/>
              <w:bottom w:w="100" w:type="dxa"/>
              <w:end w:w="120" w:type="dxa"/>
            </w:tcMar>
          </w:tcPr>
          <w:p>
            <w:r>
              <w:t>Editorial serif</w:t>
            </w:r>
          </w:p>
        </w:tc>
        <w:tc>
          <w:tcPr>
            <w:tcW w:type="dxa" w:w="2232"/>
            <w:vAlign w:val="center"/>
            <w:tcMar>
              <w:top w:w="100" w:type="dxa"/>
              <w:start w:w="120" w:type="dxa"/>
              <w:bottom w:w="100" w:type="dxa"/>
              <w:end w:w="120" w:type="dxa"/>
            </w:tcMar>
          </w:tcPr>
          <w:p>
            <w:r>
              <w:t>Georgia</w:t>
            </w:r>
          </w:p>
        </w:tc>
        <w:tc>
          <w:tcPr>
            <w:tcW w:type="dxa" w:w="5256"/>
            <w:vAlign w:val="center"/>
            <w:tcMar>
              <w:top w:w="100" w:type="dxa"/>
              <w:start w:w="120" w:type="dxa"/>
              <w:bottom w:w="100" w:type="dxa"/>
              <w:end w:w="120" w:type="dxa"/>
            </w:tcMar>
          </w:tcPr>
          <w:p>
            <w:r>
              <w:t>Article body, quotes, reflective lines, italic accents</w:t>
            </w:r>
          </w:p>
        </w:tc>
      </w:tr>
      <w:tr>
        <w:tc>
          <w:tcPr>
            <w:tcW w:type="dxa" w:w="1872"/>
            <w:vAlign w:val="center"/>
            <w:tcMar>
              <w:top w:w="100" w:type="dxa"/>
              <w:start w:w="120" w:type="dxa"/>
              <w:bottom w:w="100" w:type="dxa"/>
              <w:end w:w="120" w:type="dxa"/>
            </w:tcMar>
          </w:tcPr>
          <w:p>
            <w:r>
              <w:t>Handwritten</w:t>
            </w:r>
          </w:p>
        </w:tc>
        <w:tc>
          <w:tcPr>
            <w:tcW w:type="dxa" w:w="2232"/>
            <w:vAlign w:val="center"/>
            <w:tcMar>
              <w:top w:w="100" w:type="dxa"/>
              <w:start w:w="120" w:type="dxa"/>
              <w:bottom w:w="100" w:type="dxa"/>
              <w:end w:w="120" w:type="dxa"/>
            </w:tcMar>
          </w:tcPr>
          <w:p>
            <w:r>
              <w:t>Qwitcher Grypen</w:t>
            </w:r>
          </w:p>
        </w:tc>
        <w:tc>
          <w:tcPr>
            <w:tcW w:type="dxa" w:w="5256"/>
            <w:vAlign w:val="center"/>
            <w:tcMar>
              <w:top w:w="100" w:type="dxa"/>
              <w:start w:w="120" w:type="dxa"/>
              <w:bottom w:w="100" w:type="dxa"/>
              <w:end w:w="120" w:type="dxa"/>
            </w:tcMar>
          </w:tcPr>
          <w:p>
            <w:r>
              <w:t>The word rewritten and rare expressive emphasis</w:t>
            </w:r>
          </w:p>
        </w:tc>
      </w:tr>
      <w:tr>
        <w:tc>
          <w:tcPr>
            <w:tcW w:type="dxa" w:w="1872"/>
            <w:vAlign w:val="center"/>
            <w:tcMar>
              <w:top w:w="100" w:type="dxa"/>
              <w:start w:w="120" w:type="dxa"/>
              <w:bottom w:w="100" w:type="dxa"/>
              <w:end w:w="120" w:type="dxa"/>
            </w:tcMar>
          </w:tcPr>
          <w:p>
            <w:r>
              <w:t>Utility mono</w:t>
            </w:r>
          </w:p>
        </w:tc>
        <w:tc>
          <w:tcPr>
            <w:tcW w:type="dxa" w:w="2232"/>
            <w:vAlign w:val="center"/>
            <w:tcMar>
              <w:top w:w="100" w:type="dxa"/>
              <w:start w:w="120" w:type="dxa"/>
              <w:bottom w:w="100" w:type="dxa"/>
              <w:end w:w="120" w:type="dxa"/>
            </w:tcMar>
          </w:tcPr>
          <w:p>
            <w:r>
              <w:t>Space Mono</w:t>
            </w:r>
          </w:p>
        </w:tc>
        <w:tc>
          <w:tcPr>
            <w:tcW w:type="dxa" w:w="5256"/>
            <w:vAlign w:val="center"/>
            <w:tcMar>
              <w:top w:w="100" w:type="dxa"/>
              <w:start w:w="120" w:type="dxa"/>
              <w:bottom w:w="100" w:type="dxa"/>
              <w:end w:w="120" w:type="dxa"/>
            </w:tcMar>
          </w:tcPr>
          <w:p>
            <w:r>
              <w:t>Dates, categories, metadata, compact editorial labels</w:t>
            </w:r>
          </w:p>
        </w:tc>
      </w:tr>
    </w:tbl>
    <w:p>
      <w:pPr>
        <w:pStyle w:val="Heading2"/>
      </w:pPr>
      <w:r>
        <w:t>Hierarchy</w:t>
      </w:r>
    </w:p>
    <w:p>
      <w:pPr>
        <w:pStyle w:val="ListBullet"/>
      </w:pPr>
      <w:r>
        <w:t>Display headlines: Inter, heavy weight, tightly tracked, with responsive sizing.</w:t>
      </w:r>
    </w:p>
    <w:p>
      <w:pPr>
        <w:pStyle w:val="ListBullet"/>
      </w:pPr>
      <w:r>
        <w:t>Page and card titles: Inter or Georgia according to the existing editorial composition.</w:t>
      </w:r>
    </w:p>
    <w:p>
      <w:pPr>
        <w:pStyle w:val="ListBullet"/>
      </w:pPr>
      <w:r>
        <w:t>Article copy: Georgia at a comfortable reading size with generous line height and a narrow measure.</w:t>
      </w:r>
    </w:p>
    <w:p>
      <w:pPr>
        <w:pStyle w:val="ListBullet"/>
      </w:pPr>
      <w:r>
        <w:t>Metadata and buttons: Space Mono or Inter, small but never below a readable mobile size; uppercase with modest tracking.</w:t>
      </w:r>
    </w:p>
    <w:p>
      <w:pPr>
        <w:pStyle w:val="ListBullet"/>
      </w:pPr>
      <w:r>
        <w:t>Handwritten type: one focal phrase at a time. Never use it for paragraphs or essential navigation.</w:t>
      </w:r>
    </w:p>
    <w:p>
      <w:pPr>
        <w:pStyle w:val="Heading2"/>
      </w:pPr>
      <w:r>
        <w:t>The rewritten treatment</w:t>
      </w:r>
    </w:p>
    <w:p>
      <w:r>
        <w:rPr>
          <w:rFonts w:ascii="Qwitcher Grypen" w:hAnsi="Qwitcher Grypen"/>
          <w:b/>
          <w:color w:val="58B7AA"/>
          <w:sz w:val="84"/>
        </w:rPr>
        <w:t>rewritten</w:t>
      </w:r>
    </w:p>
    <w:p>
      <w:r>
        <w:t>Set in Qwitcher Grypen Bold, Light Turquoise, slightly rotated, oversized, and overlapping with intention. It should feel handwritten and alive without covering a face or blocking required text.</w:t>
      </w:r>
    </w:p>
    <w:p>
      <w:r>
        <w:br w:type="page"/>
      </w:r>
    </w:p>
    <w:p>
      <w:pPr>
        <w:pStyle w:val="Title"/>
      </w:pPr>
      <w:r>
        <w:t>Logo system</w:t>
      </w:r>
    </w:p>
    <w:p>
      <w:pPr>
        <w:pStyle w:val="Heading1"/>
      </w:pPr>
      <w:r>
        <w:t>Primary horizontal logo</w:t>
      </w:r>
    </w:p>
    <w:p>
      <w:pPr>
        <w:jc w:val="center"/>
      </w:pPr>
      <w:r>
        <w:drawing>
          <wp:inline xmlns:a="http://schemas.openxmlformats.org/drawingml/2006/main" xmlns:pic="http://schemas.openxmlformats.org/drawingml/2006/picture">
            <wp:extent cx="5303520" cy="2120873"/>
            <wp:docPr id="2" name="Picture 2"/>
            <wp:cNvGraphicFramePr>
              <a:graphicFrameLocks noChangeAspect="1"/>
            </wp:cNvGraphicFramePr>
            <a:graphic>
              <a:graphicData uri="http://schemas.openxmlformats.org/drawingml/2006/picture">
                <pic:pic>
                  <pic:nvPicPr>
                    <pic:cNvPr id="0" name="cell-to-self-horizontal-logo.png"/>
                    <pic:cNvPicPr/>
                  </pic:nvPicPr>
                  <pic:blipFill>
                    <a:blip r:embed="rId9"/>
                    <a:stretch>
                      <a:fillRect/>
                    </a:stretch>
                  </pic:blipFill>
                  <pic:spPr>
                    <a:xfrm>
                      <a:off x="0" y="0"/>
                      <a:ext cx="5303520" cy="2120873"/>
                    </a:xfrm>
                    <a:prstGeom prst="rect"/>
                  </pic:spPr>
                </pic:pic>
              </a:graphicData>
            </a:graphic>
          </wp:inline>
        </w:drawing>
      </w:r>
    </w:p>
    <w:p>
      <w:r>
        <w:t>Use the horizontal logo in the global header and footer when horizontal space allows. Preserve its aspect ratio and keep the artwork legible against the background.</w:t>
      </w:r>
    </w:p>
    <w:p>
      <w:pPr>
        <w:pStyle w:val="Heading2"/>
      </w:pPr>
      <w:r>
        <w:t>Seal</w:t>
      </w:r>
    </w:p>
    <w:p>
      <w:pPr>
        <w:jc w:val="center"/>
      </w:pPr>
      <w:r>
        <w:drawing>
          <wp:inline xmlns:a="http://schemas.openxmlformats.org/drawingml/2006/main" xmlns:pic="http://schemas.openxmlformats.org/drawingml/2006/picture">
            <wp:extent cx="1234440" cy="1234440"/>
            <wp:docPr id="3" name="Picture 3"/>
            <wp:cNvGraphicFramePr>
              <a:graphicFrameLocks noChangeAspect="1"/>
            </wp:cNvGraphicFramePr>
            <a:graphic>
              <a:graphicData uri="http://schemas.openxmlformats.org/drawingml/2006/picture">
                <pic:pic>
                  <pic:nvPicPr>
                    <pic:cNvPr id="0" name="cs-seal-rose-gold.png"/>
                    <pic:cNvPicPr/>
                  </pic:nvPicPr>
                  <pic:blipFill>
                    <a:blip r:embed="rId10"/>
                    <a:stretch>
                      <a:fillRect/>
                    </a:stretch>
                  </pic:blipFill>
                  <pic:spPr>
                    <a:xfrm>
                      <a:off x="0" y="0"/>
                      <a:ext cx="1234440" cy="1234440"/>
                    </a:xfrm>
                    <a:prstGeom prst="rect"/>
                  </pic:spPr>
                </pic:pic>
              </a:graphicData>
            </a:graphic>
          </wp:inline>
        </w:drawing>
      </w:r>
    </w:p>
    <w:p>
      <w:r>
        <w:t>Use the CS seal for favicons, social avatars, small stamps, and compact placements. It may support the wordmark, but should not compete with a full logo in the same small area.</w:t>
      </w:r>
    </w:p>
    <w:p>
      <w:pPr>
        <w:pStyle w:val="Heading2"/>
      </w:pPr>
      <w:r>
        <w:t>Clear space and minimum size</w:t>
      </w:r>
    </w:p>
    <w:p>
      <w:pPr>
        <w:pStyle w:val="ListBullet"/>
      </w:pPr>
      <w:r>
        <w:t>Leave clear space around the logo equal to at least the height of the small tagline letters.</w:t>
      </w:r>
    </w:p>
    <w:p>
      <w:pPr>
        <w:pStyle w:val="ListBullet"/>
      </w:pPr>
      <w:r>
        <w:t>Do not compress, stretch, redraw, recolor, crop through, or add shadows to the logo artwork.</w:t>
      </w:r>
    </w:p>
    <w:p>
      <w:pPr>
        <w:pStyle w:val="ListBullet"/>
      </w:pPr>
      <w:r>
        <w:t>Use the horizontal logo at 180 px wide or larger on screen when the full signature must remain readable.</w:t>
      </w:r>
    </w:p>
    <w:p>
      <w:pPr>
        <w:pStyle w:val="ListBullet"/>
      </w:pPr>
      <w:r>
        <w:t>At smaller sizes, switch to the seal or an accessible text wordmark.</w:t>
      </w:r>
    </w:p>
    <w:p>
      <w:pPr>
        <w:pStyle w:val="ListBullet"/>
      </w:pPr>
      <w:r>
        <w:t>On dark sections, use the prepared asset treatment that visually fades into the background; do not place a visible gray checkerboard or rectangle behind it.</w:t>
      </w:r>
    </w:p>
    <w:p>
      <w:r>
        <w:br w:type="page"/>
      </w:r>
    </w:p>
    <w:p>
      <w:pPr>
        <w:pStyle w:val="Title"/>
      </w:pPr>
      <w:r>
        <w:t>Photography and imagery</w:t>
      </w:r>
    </w:p>
    <w:p>
      <w:pPr>
        <w:pStyle w:val="Heading1"/>
      </w:pPr>
      <w:r>
        <w:t>Photography direction</w:t>
      </w:r>
    </w:p>
    <w:p>
      <w:r>
        <w:t>Choose images that feel lived-in, personal, and specific. Amy should look like a real person inside a real day, not a stock spokesperson. The visual story can move from darkness toward light, but it should not turn incarceration into decoration.</w:t>
      </w:r>
    </w:p>
    <w:p>
      <w:pPr>
        <w:jc w:val="center"/>
      </w:pPr>
      <w:r>
        <w:drawing>
          <wp:inline xmlns:a="http://schemas.openxmlformats.org/drawingml/2006/main" xmlns:pic="http://schemas.openxmlformats.org/drawingml/2006/picture">
            <wp:extent cx="2468880" cy="2468880"/>
            <wp:docPr id="4" name="Picture 4"/>
            <wp:cNvGraphicFramePr>
              <a:graphicFrameLocks noChangeAspect="1"/>
            </wp:cNvGraphicFramePr>
            <a:graphic>
              <a:graphicData uri="http://schemas.openxmlformats.org/drawingml/2006/picture">
                <pic:pic>
                  <pic:nvPicPr>
                    <pic:cNvPr id="0" name="amy-about-transparent.png"/>
                    <pic:cNvPicPr/>
                  </pic:nvPicPr>
                  <pic:blipFill>
                    <a:blip r:embed="rId11"/>
                    <a:stretch>
                      <a:fillRect/>
                    </a:stretch>
                  </pic:blipFill>
                  <pic:spPr>
                    <a:xfrm>
                      <a:off x="0" y="0"/>
                      <a:ext cx="2468880" cy="2468880"/>
                    </a:xfrm>
                    <a:prstGeom prst="rect"/>
                  </pic:spPr>
                </pic:pic>
              </a:graphicData>
            </a:graphic>
          </wp:inline>
        </w:drawing>
      </w:r>
    </w:p>
    <w:p>
      <w:pPr>
        <w:pStyle w:val="Heading2"/>
      </w:pPr>
      <w:r>
        <w:t>Use</w:t>
      </w:r>
    </w:p>
    <w:p>
      <w:pPr>
        <w:pStyle w:val="ListBullet"/>
      </w:pPr>
      <w:r>
        <w:t>Real photographs of Amy and meaningful places, objects, letters, and ordinary freedoms</w:t>
      </w:r>
    </w:p>
    <w:p>
      <w:pPr>
        <w:pStyle w:val="ListBullet"/>
      </w:pPr>
      <w:r>
        <w:t>Natural expressions, humor, movement, work, family, and imperfect moments</w:t>
      </w:r>
    </w:p>
    <w:p>
      <w:pPr>
        <w:pStyle w:val="ListBullet"/>
      </w:pPr>
      <w:r>
        <w:t>Editorial crops with a clear focal point and enough negative space for nearby typography</w:t>
      </w:r>
    </w:p>
    <w:p>
      <w:pPr>
        <w:pStyle w:val="ListBullet"/>
      </w:pPr>
      <w:r>
        <w:t>Color photography by default; selective monochrome only when it serves the story</w:t>
      </w:r>
    </w:p>
    <w:p>
      <w:pPr>
        <w:pStyle w:val="ListBullet"/>
      </w:pPr>
      <w:r>
        <w:t>Transparent or softly faded cutouts only when the edge treatment is clean at full size</w:t>
      </w:r>
    </w:p>
    <w:p>
      <w:pPr>
        <w:pStyle w:val="Heading2"/>
      </w:pPr>
      <w:r>
        <w:t>Avoid</w:t>
      </w:r>
    </w:p>
    <w:p>
      <w:pPr>
        <w:pStyle w:val="ListBullet"/>
      </w:pPr>
      <w:r>
        <w:t>Generic prison bars, handcuffs, courtroom stock photography, or sensational crime imagery</w:t>
      </w:r>
    </w:p>
    <w:p>
      <w:pPr>
        <w:pStyle w:val="ListBullet"/>
      </w:pPr>
      <w:r>
        <w:t>Heavy beauty filtering that makes Amy look unlike herself</w:t>
      </w:r>
    </w:p>
    <w:p>
      <w:pPr>
        <w:pStyle w:val="ListBullet"/>
      </w:pPr>
      <w:r>
        <w:t>Text over faces, especially at tablet and narrow desktop widths</w:t>
      </w:r>
    </w:p>
    <w:p>
      <w:pPr>
        <w:pStyle w:val="ListBullet"/>
      </w:pPr>
      <w:r>
        <w:t>Visible transparency grids, hard rectangular halos, or poor background removal</w:t>
      </w:r>
    </w:p>
    <w:p>
      <w:pPr>
        <w:pStyle w:val="ListBullet"/>
      </w:pPr>
      <w:r>
        <w:t>Oversized source files when an optimized WebP can preserve the visible quality</w:t>
      </w:r>
    </w:p>
    <w:p>
      <w:pPr>
        <w:pStyle w:val="Heading2"/>
      </w:pPr>
      <w:r>
        <w:t>Alt text</w:t>
      </w:r>
    </w:p>
    <w:p>
      <w:r>
        <w:t>Describe what matters in the image and its purpose in the story. Keep decorative artwork alt text empty. Do not begin with image of or photograph of unless that distinction matters.</w:t>
      </w:r>
    </w:p>
    <w:p>
      <w:r>
        <w:br w:type="page"/>
      </w:r>
    </w:p>
    <w:p>
      <w:pPr>
        <w:pStyle w:val="Title"/>
      </w:pPr>
      <w:r>
        <w:t>Website experience</w:t>
      </w:r>
    </w:p>
    <w:p>
      <w:pPr>
        <w:pStyle w:val="Heading1"/>
      </w:pPr>
      <w:r>
        <w:t>Global navigation</w:t>
      </w:r>
    </w:p>
    <w:p>
      <w:r>
        <w:t>Use the same global header on every page: Home, Start Here, Stories, Dear Prison Pals, About Amy, and Stay Connected. Each destination must be a dedicated page, and the current page should be visibly identified.</w:t>
      </w:r>
    </w:p>
    <w:p>
      <w:pPr>
        <w:pStyle w:val="Heading2"/>
      </w:pPr>
      <w:r>
        <w:t>Calls to action</w:t>
      </w:r>
    </w:p>
    <w:p>
      <w:pPr>
        <w:pStyle w:val="ListBullet"/>
      </w:pPr>
      <w:r>
        <w:t>Use clear labels: Read the Story, Explore All Stories, Read Dear Prison Pals, Meet Amy, Stay Connected, and Back to Top.</w:t>
      </w:r>
    </w:p>
    <w:p>
      <w:pPr>
        <w:pStyle w:val="ListBullet"/>
      </w:pPr>
      <w:r>
        <w:t>Primary buttons use Light Turquoise with Ink text. Rose may identify a special or secondary action.</w:t>
      </w:r>
    </w:p>
    <w:p>
      <w:pPr>
        <w:pStyle w:val="ListBullet"/>
      </w:pPr>
      <w:r>
        <w:t>Do not rely on a repeated arrow by itself to explain where a link goes.</w:t>
      </w:r>
    </w:p>
    <w:p>
      <w:pPr>
        <w:pStyle w:val="ListBullet"/>
      </w:pPr>
      <w:r>
        <w:t>Buttons and links need visible hover and keyboard-focus states.</w:t>
      </w:r>
    </w:p>
    <w:p>
      <w:pPr>
        <w:pStyle w:val="Heading2"/>
      </w:pPr>
      <w:r>
        <w:t>Story cards</w:t>
      </w:r>
    </w:p>
    <w:p>
      <w:r>
        <w:t>Each archive card includes a title, date, category, short description, image when available, and a Read Story action. Card styles may vary in scale and color, but the information pattern must stay predictable.</w:t>
      </w:r>
    </w:p>
    <w:p>
      <w:pPr>
        <w:pStyle w:val="Heading2"/>
      </w:pPr>
      <w:r>
        <w:t>Story pages</w:t>
      </w:r>
    </w:p>
    <w:p>
      <w:pPr>
        <w:pStyle w:val="ListBullet"/>
      </w:pPr>
      <w:r>
        <w:t>Global header and footer</w:t>
      </w:r>
    </w:p>
    <w:p>
      <w:pPr>
        <w:pStyle w:val="ListBullet"/>
      </w:pPr>
      <w:r>
        <w:t>Title, date, and category</w:t>
      </w:r>
    </w:p>
    <w:p>
      <w:pPr>
        <w:pStyle w:val="ListBullet"/>
      </w:pPr>
      <w:r>
        <w:t>Readable article column with semantic headings</w:t>
      </w:r>
    </w:p>
    <w:p>
      <w:pPr>
        <w:pStyle w:val="ListBullet"/>
      </w:pPr>
      <w:r>
        <w:t>Back to Stories plus previous and next story navigation</w:t>
      </w:r>
    </w:p>
    <w:p>
      <w:pPr>
        <w:pStyle w:val="ListBullet"/>
      </w:pPr>
      <w:r>
        <w:t>Subscription or Stay Connected invitation</w:t>
      </w:r>
    </w:p>
    <w:p>
      <w:pPr>
        <w:pStyle w:val="ListBullet"/>
      </w:pPr>
      <w:r>
        <w:t>Chronological Read in Order sequence preserved independently from publication-date sorting</w:t>
      </w:r>
    </w:p>
    <w:p>
      <w:pPr>
        <w:pStyle w:val="Heading2"/>
      </w:pPr>
      <w:r>
        <w:t>Editorial texture</w:t>
      </w:r>
    </w:p>
    <w:p>
      <w:r>
        <w:t>Scrapbook details, tilted frames, underlines, stamps, and limited movement are welcome when they clarify hierarchy or add personality. Keep them rare enough to feel intentional. Avoid generic gradients, excessive animation, decorative icon clutter, and interchangeable template sections.</w:t>
      </w:r>
    </w:p>
    <w:p>
      <w:r>
        <w:br w:type="page"/>
      </w:r>
    </w:p>
    <w:p>
      <w:pPr>
        <w:pStyle w:val="Title"/>
      </w:pPr>
      <w:r>
        <w:t>Responsive and accessible design</w:t>
      </w:r>
    </w:p>
    <w:p>
      <w:pPr>
        <w:pStyle w:val="Heading1"/>
      </w:pPr>
      <w:r>
        <w:t>Responsive priorities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2232"/>
            <w:shd w:fill="11100E"/>
            <w:vAlign w:val="center"/>
            <w:tcMar>
              <w:top w:w="100" w:type="dxa"/>
              <w:start w:w="120" w:type="dxa"/>
              <w:bottom w:w="100" w:type="dxa"/>
              <w:end w:w="120" w:type="dxa"/>
            </w:tcMar>
          </w:tcPr>
          <w:p>
            <w:r>
              <w:rPr>
                <w:b/>
                <w:color w:val="FFFFFF"/>
              </w:rPr>
              <w:t>Range</w:t>
            </w:r>
          </w:p>
        </w:tc>
        <w:tc>
          <w:tcPr>
            <w:tcW w:type="dxa" w:w="2448"/>
            <w:shd w:fill="11100E"/>
            <w:vAlign w:val="center"/>
            <w:tcMar>
              <w:top w:w="100" w:type="dxa"/>
              <w:start w:w="120" w:type="dxa"/>
              <w:bottom w:w="100" w:type="dxa"/>
              <w:end w:w="120" w:type="dxa"/>
            </w:tcMar>
          </w:tcPr>
          <w:p>
            <w:r>
              <w:rPr>
                <w:b/>
                <w:color w:val="FFFFFF"/>
              </w:rPr>
              <w:t>Priority</w:t>
            </w:r>
          </w:p>
        </w:tc>
        <w:tc>
          <w:tcPr>
            <w:tcW w:type="dxa" w:w="4680"/>
            <w:shd w:fill="11100E"/>
            <w:vAlign w:val="center"/>
            <w:tcMar>
              <w:top w:w="100" w:type="dxa"/>
              <w:start w:w="120" w:type="dxa"/>
              <w:bottom w:w="100" w:type="dxa"/>
              <w:end w:w="120" w:type="dxa"/>
            </w:tcMar>
          </w:tcPr>
          <w:p>
            <w:r>
              <w:rPr>
                <w:b/>
                <w:color w:val="FFFFFF"/>
              </w:rPr>
              <w:t>Check</w:t>
            </w:r>
          </w:p>
        </w:tc>
      </w:tr>
      <w:tr>
        <w:tc>
          <w:tcPr>
            <w:tcW w:type="dxa" w:w="2232"/>
            <w:vAlign w:val="center"/>
            <w:tcMar>
              <w:top w:w="100" w:type="dxa"/>
              <w:start w:w="120" w:type="dxa"/>
              <w:bottom w:w="100" w:type="dxa"/>
              <w:end w:w="120" w:type="dxa"/>
            </w:tcMar>
          </w:tcPr>
          <w:p>
            <w:r>
              <w:t>Mobile up to 560 px</w:t>
            </w:r>
          </w:p>
        </w:tc>
        <w:tc>
          <w:tcPr>
            <w:tcW w:type="dxa" w:w="2448"/>
            <w:vAlign w:val="center"/>
            <w:tcMar>
              <w:top w:w="100" w:type="dxa"/>
              <w:start w:w="120" w:type="dxa"/>
              <w:bottom w:w="100" w:type="dxa"/>
              <w:end w:w="120" w:type="dxa"/>
            </w:tcMar>
          </w:tcPr>
          <w:p>
            <w:r>
              <w:t>Single-column clarity</w:t>
            </w:r>
          </w:p>
        </w:tc>
        <w:tc>
          <w:tcPr>
            <w:tcW w:type="dxa" w:w="4680"/>
            <w:vAlign w:val="center"/>
            <w:tcMar>
              <w:top w:w="100" w:type="dxa"/>
              <w:start w:w="120" w:type="dxa"/>
              <w:bottom w:w="100" w:type="dxa"/>
              <w:end w:w="120" w:type="dxa"/>
            </w:tcMar>
          </w:tcPr>
          <w:p>
            <w:r>
              <w:t>No overflow; menu works; faces and headline remain separate</w:t>
            </w:r>
          </w:p>
        </w:tc>
      </w:tr>
      <w:tr>
        <w:tc>
          <w:tcPr>
            <w:tcW w:type="dxa" w:w="2232"/>
            <w:vAlign w:val="center"/>
            <w:tcMar>
              <w:top w:w="100" w:type="dxa"/>
              <w:start w:w="120" w:type="dxa"/>
              <w:bottom w:w="100" w:type="dxa"/>
              <w:end w:w="120" w:type="dxa"/>
            </w:tcMar>
          </w:tcPr>
          <w:p>
            <w:r>
              <w:t>Tablet 561 to 900 px</w:t>
            </w:r>
          </w:p>
        </w:tc>
        <w:tc>
          <w:tcPr>
            <w:tcW w:type="dxa" w:w="2448"/>
            <w:vAlign w:val="center"/>
            <w:tcMar>
              <w:top w:w="100" w:type="dxa"/>
              <w:start w:w="120" w:type="dxa"/>
              <w:bottom w:w="100" w:type="dxa"/>
              <w:end w:w="120" w:type="dxa"/>
            </w:tcMar>
          </w:tcPr>
          <w:p>
            <w:r>
              <w:t>Reflow before shrinking</w:t>
            </w:r>
          </w:p>
        </w:tc>
        <w:tc>
          <w:tcPr>
            <w:tcW w:type="dxa" w:w="4680"/>
            <w:vAlign w:val="center"/>
            <w:tcMar>
              <w:top w:w="100" w:type="dxa"/>
              <w:start w:w="120" w:type="dxa"/>
              <w:bottom w:w="100" w:type="dxa"/>
              <w:end w:w="120" w:type="dxa"/>
            </w:tcMar>
          </w:tcPr>
          <w:p>
            <w:r>
              <w:t>Cards stack cleanly; type remains readable; controls have room</w:t>
            </w:r>
          </w:p>
        </w:tc>
      </w:tr>
      <w:tr>
        <w:tc>
          <w:tcPr>
            <w:tcW w:type="dxa" w:w="2232"/>
            <w:vAlign w:val="center"/>
            <w:tcMar>
              <w:top w:w="100" w:type="dxa"/>
              <w:start w:w="120" w:type="dxa"/>
              <w:bottom w:w="100" w:type="dxa"/>
              <w:end w:w="120" w:type="dxa"/>
            </w:tcMar>
          </w:tcPr>
          <w:p>
            <w:r>
              <w:t>Narrow desktop 901 to 1180 px</w:t>
            </w:r>
          </w:p>
        </w:tc>
        <w:tc>
          <w:tcPr>
            <w:tcW w:type="dxa" w:w="2448"/>
            <w:vAlign w:val="center"/>
            <w:tcMar>
              <w:top w:w="100" w:type="dxa"/>
              <w:start w:w="120" w:type="dxa"/>
              <w:bottom w:w="100" w:type="dxa"/>
              <w:end w:w="120" w:type="dxa"/>
            </w:tcMar>
          </w:tcPr>
          <w:p>
            <w:r>
              <w:t>Protect hero composition</w:t>
            </w:r>
          </w:p>
        </w:tc>
        <w:tc>
          <w:tcPr>
            <w:tcW w:type="dxa" w:w="4680"/>
            <w:vAlign w:val="center"/>
            <w:tcMar>
              <w:top w:w="100" w:type="dxa"/>
              <w:start w:w="120" w:type="dxa"/>
              <w:bottom w:w="100" w:type="dxa"/>
              <w:end w:w="120" w:type="dxa"/>
            </w:tcMar>
          </w:tcPr>
          <w:p>
            <w:r>
              <w:t>Portrait does not cover Time; header does not run together</w:t>
            </w:r>
          </w:p>
        </w:tc>
      </w:tr>
      <w:tr>
        <w:tc>
          <w:tcPr>
            <w:tcW w:type="dxa" w:w="2232"/>
            <w:vAlign w:val="center"/>
            <w:tcMar>
              <w:top w:w="100" w:type="dxa"/>
              <w:start w:w="120" w:type="dxa"/>
              <w:bottom w:w="100" w:type="dxa"/>
              <w:end w:w="120" w:type="dxa"/>
            </w:tcMar>
          </w:tcPr>
          <w:p>
            <w:r>
              <w:t>Wide desktop above 1180 px</w:t>
            </w:r>
          </w:p>
        </w:tc>
        <w:tc>
          <w:tcPr>
            <w:tcW w:type="dxa" w:w="2448"/>
            <w:vAlign w:val="center"/>
            <w:tcMar>
              <w:top w:w="100" w:type="dxa"/>
              <w:start w:w="120" w:type="dxa"/>
              <w:bottom w:w="100" w:type="dxa"/>
              <w:end w:w="120" w:type="dxa"/>
            </w:tcMar>
          </w:tcPr>
          <w:p>
            <w:r>
              <w:t>Preserve editorial scale</w:t>
            </w:r>
          </w:p>
        </w:tc>
        <w:tc>
          <w:tcPr>
            <w:tcW w:type="dxa" w:w="4680"/>
            <w:vAlign w:val="center"/>
            <w:tcMar>
              <w:top w:w="100" w:type="dxa"/>
              <w:start w:w="120" w:type="dxa"/>
              <w:bottom w:w="100" w:type="dxa"/>
              <w:end w:w="120" w:type="dxa"/>
            </w:tcMar>
          </w:tcPr>
          <w:p>
            <w:r>
              <w:t>Intentional whitespace; comfortable reading measure</w:t>
            </w:r>
          </w:p>
        </w:tc>
      </w:tr>
    </w:tbl>
    <w:p>
      <w:pPr>
        <w:pStyle w:val="Heading2"/>
      </w:pPr>
      <w:r>
        <w:t>Accessibility baseline</w:t>
      </w:r>
    </w:p>
    <w:p>
      <w:pPr>
        <w:pStyle w:val="ListBullet"/>
      </w:pPr>
      <w:r>
        <w:t>Use one H1 per page, then semantic H2 and H3 levels in order.</w:t>
      </w:r>
    </w:p>
    <w:p>
      <w:pPr>
        <w:pStyle w:val="ListBullet"/>
      </w:pPr>
      <w:r>
        <w:t>All navigation and menus must work by keyboard and expose correct expanded states.</w:t>
      </w:r>
    </w:p>
    <w:p>
      <w:pPr>
        <w:pStyle w:val="ListBullet"/>
      </w:pPr>
      <w:r>
        <w:t>Focus indicators must be clearly visible against every background.</w:t>
      </w:r>
    </w:p>
    <w:p>
      <w:pPr>
        <w:pStyle w:val="ListBullet"/>
      </w:pPr>
      <w:r>
        <w:t>Color cannot be the only signal for state, category, or required information.</w:t>
      </w:r>
    </w:p>
    <w:p>
      <w:pPr>
        <w:pStyle w:val="ListBullet"/>
      </w:pPr>
      <w:r>
        <w:t>Maintain adequate color contrast and readable type sizes; never sacrifice readability for the collage effect.</w:t>
      </w:r>
    </w:p>
    <w:p>
      <w:pPr>
        <w:pStyle w:val="ListBullet"/>
      </w:pPr>
      <w:r>
        <w:t>Use descriptive link text and alt text, labels for form controls, and error messages connected to their fields.</w:t>
      </w:r>
    </w:p>
    <w:p>
      <w:pPr>
        <w:pStyle w:val="Heading2"/>
      </w:pPr>
      <w:r>
        <w:t>Performance</w:t>
      </w:r>
    </w:p>
    <w:p>
      <w:r>
        <w:t>Prefer optimized WebP images sized for their actual display. Keep original masters outside the production path. Avoid unnecessary scripts, duplicate fonts, autoplay media, and animation that runs continuously without purpose. Respect reduced-motion preferences.</w:t>
      </w:r>
    </w:p>
    <w:p>
      <w:r>
        <w:br w:type="page"/>
      </w:r>
    </w:p>
    <w:p>
      <w:pPr>
        <w:pStyle w:val="Title"/>
      </w:pPr>
      <w:r>
        <w:t>Content and publishing checklist</w:t>
      </w:r>
    </w:p>
    <w:p>
      <w:pPr>
        <w:pStyle w:val="Heading1"/>
      </w:pPr>
      <w:r>
        <w:t>Before publishing a page or story</w:t>
      </w:r>
    </w:p>
    <w:p>
      <w:pPr>
        <w:ind w:left="403" w:hanging="403"/>
      </w:pPr>
      <w:r>
        <w:rPr>
          <w:b/>
        </w:rPr>
        <w:t xml:space="preserve">1.  </w:t>
      </w:r>
      <w:r>
        <w:t>Confirm the title, date, category, excerpt, image, and alt text.</w:t>
      </w:r>
    </w:p>
    <w:p>
      <w:pPr>
        <w:ind w:left="403" w:hanging="403"/>
      </w:pPr>
      <w:r>
        <w:rPr>
          <w:b/>
        </w:rPr>
        <w:t xml:space="preserve">2.  </w:t>
      </w:r>
      <w:r>
        <w:t>Check the story's place in the preserved Read in Order sequence when applicable.</w:t>
      </w:r>
    </w:p>
    <w:p>
      <w:pPr>
        <w:ind w:left="403" w:hanging="403"/>
      </w:pPr>
      <w:r>
        <w:rPr>
          <w:b/>
        </w:rPr>
        <w:t xml:space="preserve">3.  </w:t>
      </w:r>
      <w:r>
        <w:t>Test every internal and external link, including previous and next story links.</w:t>
      </w:r>
    </w:p>
    <w:p>
      <w:pPr>
        <w:ind w:left="403" w:hanging="403"/>
      </w:pPr>
      <w:r>
        <w:rPr>
          <w:b/>
        </w:rPr>
        <w:t xml:space="preserve">4.  </w:t>
      </w:r>
      <w:r>
        <w:t>Preview mobile, tablet, narrow desktop, and wide desktop layouts.</w:t>
      </w:r>
    </w:p>
    <w:p>
      <w:pPr>
        <w:ind w:left="403" w:hanging="403"/>
      </w:pPr>
      <w:r>
        <w:rPr>
          <w:b/>
        </w:rPr>
        <w:t xml:space="preserve">5.  </w:t>
      </w:r>
      <w:r>
        <w:t>Confirm no image covers essential text or a face and no element extends beyond the viewport.</w:t>
      </w:r>
    </w:p>
    <w:p>
      <w:pPr>
        <w:ind w:left="403" w:hanging="403"/>
      </w:pPr>
      <w:r>
        <w:rPr>
          <w:b/>
        </w:rPr>
        <w:t xml:space="preserve">6.  </w:t>
      </w:r>
      <w:r>
        <w:t>Check keyboard navigation, focus states, headings, form labels, and color contrast.</w:t>
      </w:r>
    </w:p>
    <w:p>
      <w:pPr>
        <w:ind w:left="403" w:hanging="403"/>
      </w:pPr>
      <w:r>
        <w:rPr>
          <w:b/>
        </w:rPr>
        <w:t xml:space="preserve">7.  </w:t>
      </w:r>
      <w:r>
        <w:t>Optimize new media without visibly reducing quality.</w:t>
      </w:r>
    </w:p>
    <w:p>
      <w:pPr>
        <w:ind w:left="403" w:hanging="403"/>
      </w:pPr>
      <w:r>
        <w:rPr>
          <w:b/>
        </w:rPr>
        <w:t xml:space="preserve">8.  </w:t>
      </w:r>
      <w:r>
        <w:t>Run the site build and automated link and asset check before deployment.</w:t>
      </w:r>
    </w:p>
    <w:p>
      <w:pPr>
        <w:pStyle w:val="Heading2"/>
      </w:pPr>
      <w:r>
        <w:t>Ownership and updates</w:t>
      </w:r>
    </w:p>
    <w:p>
      <w:r>
        <w:t>Amy owns the voice and final editorial judgment. Update this guide when a new repeated design decision becomes part of the system. One-off experiments do not become standards until they prove useful across the site.</w:t>
      </w:r>
    </w:p>
    <w:p>
      <w:pPr>
        <w:pStyle w:val="Heading2"/>
      </w:pPr>
      <w:r>
        <w:t>Current decisions still to make</w:t>
      </w:r>
    </w:p>
    <w:p>
      <w:pPr>
        <w:pStyle w:val="ListBullet"/>
      </w:pPr>
      <w:r>
        <w:t>Choose and connect a long-term email subscription service.</w:t>
      </w:r>
    </w:p>
    <w:p>
      <w:pPr>
        <w:pStyle w:val="ListBullet"/>
      </w:pPr>
      <w:r>
        <w:t>Choose a donation or support platform and supply the final destination link.</w:t>
      </w:r>
    </w:p>
    <w:p>
      <w:pPr>
        <w:pStyle w:val="ListBullet"/>
      </w:pPr>
      <w:r>
        <w:t>Confirm any additional social profiles before adding them; do not invent URLs.</w:t>
      </w:r>
    </w:p>
    <w:p>
      <w:pPr>
        <w:pStyle w:val="ListBullet"/>
      </w:pPr>
      <w:r>
        <w:t>Define a privacy and data-retention policy for contact-form and subscription submissions.</w:t>
      </w:r>
    </w:p>
    <w:sectPr w:rsidR="00FC693F" w:rsidRPr="0006063C" w:rsidSect="00034616">
      <w:footerReference w:type="default" r:id="rId12"/>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Cell to Self Style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to Self Brand and Website Style Guide</dc:title>
  <dc:subject>Brand, editorial, visual, and website standards</dc:subject>
  <dc:creator>Cell to Self</dc:creator>
  <cp:keywords/>
  <dc:description>generated by python-docx</dc:description>
  <cp:lastModifiedBy/>
  <cp:revision>1</cp:revision>
  <dcterms:created xsi:type="dcterms:W3CDTF">2013-12-23T23:15:00Z</dcterms:created>
  <dcterms:modified xsi:type="dcterms:W3CDTF">2013-12-23T23:15:00Z</dcterms:modified>
  <cp:category/>
</cp:coreProperties>
</file>