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03B9B" w14:textId="77777777" w:rsidR="006961DE" w:rsidRDefault="006961DE">
      <w:pPr>
        <w:pBdr>
          <w:bottom w:val="single" w:sz="6" w:space="0" w:color="1F3864"/>
        </w:pBdr>
        <w:spacing w:before="240" w:after="240"/>
      </w:pPr>
    </w:p>
    <w:p w14:paraId="510BA71D" w14:textId="474AFFE5" w:rsidR="006961DE" w:rsidRDefault="003D5CCF">
      <w:pPr>
        <w:pStyle w:val="Heading1"/>
        <w:spacing w:before="160" w:after="80" w:line="288" w:lineRule="auto"/>
      </w:pPr>
      <w:r>
        <w:rPr>
          <w:rFonts w:ascii="Calibri" w:eastAsia="Calibri" w:hAnsi="Calibri" w:cs="Calibri"/>
          <w:color w:val="1F3864"/>
          <w:sz w:val="52"/>
          <w:szCs w:val="52"/>
        </w:rPr>
        <w:t xml:space="preserve">Product Manager </w:t>
      </w:r>
      <w:r w:rsidR="009C3FBB">
        <w:rPr>
          <w:rFonts w:ascii="Calibri" w:eastAsia="Calibri" w:hAnsi="Calibri" w:cs="Calibri"/>
          <w:color w:val="1F3864"/>
          <w:sz w:val="52"/>
          <w:szCs w:val="52"/>
        </w:rPr>
        <w:t xml:space="preserve">Feature Walk Through </w:t>
      </w:r>
      <w:r>
        <w:rPr>
          <w:rFonts w:ascii="Calibri" w:eastAsia="Calibri" w:hAnsi="Calibri" w:cs="Calibri"/>
          <w:color w:val="1F3864"/>
          <w:sz w:val="52"/>
          <w:szCs w:val="52"/>
        </w:rPr>
        <w:t>Example</w:t>
      </w:r>
    </w:p>
    <w:p w14:paraId="4716DC7A" w14:textId="30B08961" w:rsidR="006961DE" w:rsidRDefault="003D5CCF">
      <w:pPr>
        <w:spacing w:before="80" w:after="120" w:line="360" w:lineRule="auto"/>
      </w:pPr>
      <w:r>
        <w:rPr>
          <w:rFonts w:ascii="Calibri" w:eastAsia="Calibri" w:hAnsi="Calibri" w:cs="Calibri"/>
          <w:i/>
          <w:iCs/>
          <w:color w:val="2E74B5"/>
          <w:sz w:val="26"/>
          <w:szCs w:val="26"/>
        </w:rPr>
        <w:t xml:space="preserve">How cross-functional </w:t>
      </w:r>
      <w:r w:rsidR="009E521B">
        <w:rPr>
          <w:rFonts w:ascii="Calibri" w:eastAsia="Calibri" w:hAnsi="Calibri" w:cs="Calibri"/>
          <w:i/>
          <w:iCs/>
          <w:color w:val="2E74B5"/>
          <w:sz w:val="26"/>
          <w:szCs w:val="26"/>
        </w:rPr>
        <w:t>product manager</w:t>
      </w:r>
      <w:r>
        <w:rPr>
          <w:rFonts w:ascii="Calibri" w:eastAsia="Calibri" w:hAnsi="Calibri" w:cs="Calibri"/>
          <w:i/>
          <w:iCs/>
          <w:color w:val="2E74B5"/>
          <w:sz w:val="26"/>
          <w:szCs w:val="26"/>
        </w:rPr>
        <w:t>s deliver a unified customer outcome</w:t>
      </w:r>
    </w:p>
    <w:p w14:paraId="678B468F" w14:textId="77777777" w:rsidR="006961DE" w:rsidRDefault="006961DE">
      <w:pPr>
        <w:pBdr>
          <w:bottom w:val="single" w:sz="6" w:space="0" w:color="2E74B5"/>
        </w:pBdr>
        <w:spacing w:before="240" w:after="240"/>
      </w:pPr>
    </w:p>
    <w:p w14:paraId="651ECC0A" w14:textId="77777777" w:rsidR="006961DE" w:rsidRDefault="006961DE">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6961DE" w14:paraId="6A8E4400" w14:textId="77777777">
        <w:tc>
          <w:tcPr>
            <w:tcW w:w="0" w:type="auto"/>
            <w:tcBorders>
              <w:top w:val="nil"/>
              <w:left w:val="single" w:sz="24" w:space="0" w:color="2E74B5"/>
              <w:bottom w:val="nil"/>
              <w:right w:val="nil"/>
            </w:tcBorders>
            <w:shd w:val="clear" w:color="auto" w:fill="EEF3FB"/>
            <w:tcMar>
              <w:top w:w="180" w:type="dxa"/>
              <w:left w:w="240" w:type="dxa"/>
              <w:bottom w:w="180" w:type="dxa"/>
              <w:right w:w="240" w:type="dxa"/>
            </w:tcMar>
          </w:tcPr>
          <w:p w14:paraId="698691A5" w14:textId="131EDD82" w:rsidR="006961DE" w:rsidRDefault="003D5CCF">
            <w:pPr>
              <w:spacing w:line="360" w:lineRule="auto"/>
            </w:pPr>
            <w:r>
              <w:rPr>
                <w:rFonts w:ascii="Calibri" w:eastAsia="Calibri" w:hAnsi="Calibri" w:cs="Calibri"/>
                <w:b/>
                <w:bCs/>
                <w:color w:val="000000"/>
                <w:sz w:val="22"/>
                <w:szCs w:val="22"/>
              </w:rPr>
              <w:t>Summary:</w:t>
            </w:r>
            <w:r>
              <w:rPr>
                <w:rFonts w:ascii="Calibri" w:eastAsia="Calibri" w:hAnsi="Calibri" w:cs="Calibri"/>
                <w:color w:val="000000"/>
                <w:sz w:val="22"/>
                <w:szCs w:val="22"/>
              </w:rPr>
              <w:t xml:space="preserve"> In enterprise software, no single product manager owns the full customer journey. This document illustrates how four specialized PMs</w:t>
            </w:r>
            <w:r w:rsidR="005B188F">
              <w:rPr>
                <w:rFonts w:ascii="Calibri" w:eastAsia="Calibri" w:hAnsi="Calibri" w:cs="Calibri"/>
                <w:color w:val="000000"/>
                <w:sz w:val="22"/>
                <w:szCs w:val="22"/>
              </w:rPr>
              <w:t xml:space="preserve">: </w:t>
            </w:r>
            <w:r>
              <w:rPr>
                <w:rFonts w:ascii="Calibri" w:eastAsia="Calibri" w:hAnsi="Calibri" w:cs="Calibri"/>
                <w:color w:val="000000"/>
                <w:sz w:val="22"/>
                <w:szCs w:val="22"/>
              </w:rPr>
              <w:t xml:space="preserve">SKU, Analytics, Outbound, and Feature coordinated to enable an enterprise customer's expansion from one site to two sites, delivering a consistent end-to-end experience across the customer's new two-site deployment. It </w:t>
            </w:r>
            <w:r w:rsidR="00435F8D">
              <w:rPr>
                <w:rFonts w:ascii="Calibri" w:eastAsia="Calibri" w:hAnsi="Calibri" w:cs="Calibri"/>
                <w:color w:val="000000"/>
                <w:sz w:val="22"/>
                <w:szCs w:val="22"/>
              </w:rPr>
              <w:t>shows</w:t>
            </w:r>
            <w:r>
              <w:rPr>
                <w:rFonts w:ascii="Calibri" w:eastAsia="Calibri" w:hAnsi="Calibri" w:cs="Calibri"/>
                <w:color w:val="000000"/>
                <w:sz w:val="22"/>
                <w:szCs w:val="22"/>
              </w:rPr>
              <w:t xml:space="preserve"> the benefit of walking through the customer journey together, the early customer validation carried out by the Outbound PM, and a launch readiness summary that supports the PM group's recommendation to leadership.</w:t>
            </w:r>
          </w:p>
        </w:tc>
      </w:tr>
    </w:tbl>
    <w:p w14:paraId="6ED3A4C4" w14:textId="77777777" w:rsidR="006961DE" w:rsidRDefault="006961DE">
      <w:pPr>
        <w:spacing w:after="240"/>
      </w:pPr>
    </w:p>
    <w:p w14:paraId="4864DB34" w14:textId="5BA9EE89" w:rsidR="00490FD7" w:rsidRDefault="003D5CCF" w:rsidP="00B875B7">
      <w:pPr>
        <w:pStyle w:val="Heading2"/>
        <w:pBdr>
          <w:bottom w:val="single" w:sz="12" w:space="0" w:color="2E74B5"/>
        </w:pBdr>
        <w:shd w:val="clear" w:color="auto" w:fill="EEF3FB"/>
        <w:spacing w:before="440" w:after="100" w:line="312" w:lineRule="auto"/>
      </w:pPr>
      <w:r w:rsidRPr="00B875B7">
        <w:rPr>
          <w:rFonts w:ascii="Calibri" w:hAnsi="Calibri" w:cs="Calibri"/>
          <w:color w:val="1F3864"/>
          <w:sz w:val="30"/>
          <w:szCs w:val="30"/>
        </w:rPr>
        <w:t>1. Scenario Overview</w:t>
      </w:r>
    </w:p>
    <w:p w14:paraId="603A3839" w14:textId="77777777" w:rsidR="006961DE" w:rsidRDefault="006961DE">
      <w:pPr>
        <w:pBdr>
          <w:top w:val="single" w:sz="6" w:space="0" w:color="2E74B5"/>
        </w:pBdr>
        <w:spacing w:after="200"/>
      </w:pPr>
    </w:p>
    <w:p w14:paraId="348BD6D9" w14:textId="77777777" w:rsidR="006961DE" w:rsidRDefault="003D5CCF">
      <w:pPr>
        <w:spacing w:before="60" w:after="120" w:line="360" w:lineRule="auto"/>
      </w:pPr>
      <w:r>
        <w:rPr>
          <w:rFonts w:ascii="Calibri" w:eastAsia="Calibri" w:hAnsi="Calibri" w:cs="Calibri"/>
          <w:color w:val="000000"/>
          <w:sz w:val="22"/>
          <w:szCs w:val="22"/>
        </w:rPr>
        <w:t>This document describes a representative scenario in which an enterprise customer is expanding from one site to two sites, and four product management domains must coordinate to make that expansion successful. The customer's operational continuity depends on consistent data and workflow behavior across both of their sites from the moment the second site is enabled. The table below summarizes the key dimensions of this scenario.</w:t>
      </w:r>
    </w:p>
    <w:p w14:paraId="73BE0B23" w14:textId="77777777" w:rsidR="006961DE" w:rsidRDefault="006961DE">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4675"/>
        <w:gridCol w:w="4675"/>
      </w:tblGrid>
      <w:tr w:rsidR="006961DE" w14:paraId="4D4CDB83" w14:textId="77777777">
        <w:trPr>
          <w:tblHeader/>
        </w:trPr>
        <w:tc>
          <w:tcPr>
            <w:tcW w:w="2500" w:type="pct"/>
            <w:shd w:val="clear" w:color="auto" w:fill="DCE6F1"/>
            <w:tcMar>
              <w:top w:w="90" w:type="dxa"/>
              <w:left w:w="135" w:type="dxa"/>
              <w:bottom w:w="90" w:type="dxa"/>
              <w:right w:w="135" w:type="dxa"/>
            </w:tcMar>
          </w:tcPr>
          <w:p w14:paraId="5CBE226B" w14:textId="112A7AC6" w:rsidR="006961DE" w:rsidRPr="002E05C2" w:rsidRDefault="003D5CCF" w:rsidP="00CF1A31">
            <w:pPr>
              <w:rPr>
                <w:b/>
              </w:rPr>
            </w:pPr>
            <w:r w:rsidRPr="002E05C2">
              <w:rPr>
                <w:rFonts w:ascii="Calibri" w:hAnsi="Calibri" w:cs="Calibri"/>
                <w:b/>
                <w:color w:val="1F3864"/>
              </w:rPr>
              <w:t>Product Context</w:t>
            </w:r>
          </w:p>
        </w:tc>
        <w:tc>
          <w:tcPr>
            <w:tcW w:w="2500" w:type="pct"/>
            <w:shd w:val="clear" w:color="auto" w:fill="DCE6F1"/>
            <w:tcMar>
              <w:top w:w="90" w:type="dxa"/>
              <w:left w:w="135" w:type="dxa"/>
              <w:bottom w:w="90" w:type="dxa"/>
              <w:right w:w="135" w:type="dxa"/>
            </w:tcMar>
          </w:tcPr>
          <w:p w14:paraId="053B4182" w14:textId="73909892" w:rsidR="006961DE" w:rsidRPr="002E05C2" w:rsidRDefault="003D5CCF" w:rsidP="00326BBC">
            <w:pPr>
              <w:rPr>
                <w:b/>
              </w:rPr>
            </w:pPr>
            <w:r w:rsidRPr="002E05C2">
              <w:rPr>
                <w:rFonts w:ascii="Calibri" w:hAnsi="Calibri" w:cs="Calibri"/>
                <w:b/>
                <w:color w:val="1F3864"/>
              </w:rPr>
              <w:t>Enterprise software platform serving large B2B customers</w:t>
            </w:r>
          </w:p>
        </w:tc>
      </w:tr>
      <w:tr w:rsidR="006961DE" w14:paraId="6513F0E6" w14:textId="77777777">
        <w:tc>
          <w:tcPr>
            <w:tcW w:w="2500" w:type="pct"/>
            <w:shd w:val="clear" w:color="auto" w:fill="DCE6F1"/>
            <w:tcMar>
              <w:top w:w="90" w:type="dxa"/>
              <w:left w:w="135" w:type="dxa"/>
              <w:bottom w:w="90" w:type="dxa"/>
              <w:right w:w="135" w:type="dxa"/>
            </w:tcMar>
          </w:tcPr>
          <w:p w14:paraId="188E0EC7" w14:textId="77777777" w:rsidR="006961DE" w:rsidRDefault="003D5CCF">
            <w:r>
              <w:rPr>
                <w:rFonts w:ascii="Calibri" w:eastAsia="Calibri" w:hAnsi="Calibri" w:cs="Calibri"/>
                <w:b/>
                <w:bCs/>
                <w:color w:val="1F3864"/>
                <w:sz w:val="22"/>
                <w:szCs w:val="22"/>
              </w:rPr>
              <w:t>Deployment Model</w:t>
            </w:r>
          </w:p>
        </w:tc>
        <w:tc>
          <w:tcPr>
            <w:tcW w:w="2500" w:type="pct"/>
            <w:shd w:val="clear" w:color="auto" w:fill="DCE6F1"/>
            <w:tcMar>
              <w:top w:w="90" w:type="dxa"/>
              <w:left w:w="135" w:type="dxa"/>
              <w:bottom w:w="90" w:type="dxa"/>
              <w:right w:w="135" w:type="dxa"/>
            </w:tcMar>
          </w:tcPr>
          <w:p w14:paraId="1CD9A822" w14:textId="3FB200A6" w:rsidR="006961DE" w:rsidRPr="001F4720" w:rsidRDefault="003D5CCF">
            <w:r w:rsidRPr="001F4720">
              <w:rPr>
                <w:rFonts w:ascii="Calibri" w:eastAsia="Calibri" w:hAnsi="Calibri" w:cs="Calibri"/>
                <w:sz w:val="22"/>
                <w:szCs w:val="22"/>
              </w:rPr>
              <w:t>The customer's two-site deployment</w:t>
            </w:r>
            <w:r w:rsidR="001E45E8">
              <w:rPr>
                <w:rFonts w:ascii="Calibri" w:eastAsia="Calibri" w:hAnsi="Calibri" w:cs="Calibri"/>
                <w:sz w:val="22"/>
                <w:szCs w:val="22"/>
              </w:rPr>
              <w:t xml:space="preserve">: </w:t>
            </w:r>
            <w:r w:rsidRPr="001F4720">
              <w:rPr>
                <w:rFonts w:ascii="Calibri" w:eastAsia="Calibri" w:hAnsi="Calibri" w:cs="Calibri"/>
                <w:sz w:val="22"/>
                <w:szCs w:val="22"/>
              </w:rPr>
              <w:t>the customer's first site (already live) and the customer's second site (newly enabled as part of this feature)</w:t>
            </w:r>
          </w:p>
        </w:tc>
      </w:tr>
      <w:tr w:rsidR="006961DE" w14:paraId="54738D6A" w14:textId="77777777">
        <w:tc>
          <w:tcPr>
            <w:tcW w:w="2500" w:type="pct"/>
            <w:shd w:val="clear" w:color="auto" w:fill="DCE6F1"/>
            <w:tcMar>
              <w:top w:w="90" w:type="dxa"/>
              <w:left w:w="135" w:type="dxa"/>
              <w:bottom w:w="90" w:type="dxa"/>
              <w:right w:w="135" w:type="dxa"/>
            </w:tcMar>
          </w:tcPr>
          <w:p w14:paraId="490D8B82" w14:textId="77777777" w:rsidR="006961DE" w:rsidRDefault="003D5CCF">
            <w:r>
              <w:rPr>
                <w:rFonts w:ascii="Calibri" w:eastAsia="Calibri" w:hAnsi="Calibri" w:cs="Calibri"/>
                <w:b/>
                <w:bCs/>
                <w:color w:val="1F3864"/>
                <w:sz w:val="22"/>
                <w:szCs w:val="22"/>
              </w:rPr>
              <w:lastRenderedPageBreak/>
              <w:t>Goal</w:t>
            </w:r>
          </w:p>
        </w:tc>
        <w:tc>
          <w:tcPr>
            <w:tcW w:w="2500" w:type="pct"/>
            <w:shd w:val="clear" w:color="auto" w:fill="DCE6F1"/>
            <w:tcMar>
              <w:top w:w="90" w:type="dxa"/>
              <w:left w:w="135" w:type="dxa"/>
              <w:bottom w:w="90" w:type="dxa"/>
              <w:right w:w="135" w:type="dxa"/>
            </w:tcMar>
          </w:tcPr>
          <w:p w14:paraId="27ADDFE8" w14:textId="31528551" w:rsidR="006961DE" w:rsidRPr="001F4720" w:rsidRDefault="003D5CCF">
            <w:r w:rsidRPr="001F4720">
              <w:rPr>
                <w:rFonts w:ascii="Calibri" w:eastAsia="Calibri" w:hAnsi="Calibri" w:cs="Calibri"/>
                <w:sz w:val="22"/>
                <w:szCs w:val="22"/>
              </w:rPr>
              <w:t>Enable the customer to operate from two sites</w:t>
            </w:r>
            <w:r w:rsidR="001E45E8">
              <w:rPr>
                <w:rFonts w:ascii="Calibri" w:eastAsia="Calibri" w:hAnsi="Calibri" w:cs="Calibri"/>
                <w:sz w:val="22"/>
                <w:szCs w:val="22"/>
              </w:rPr>
              <w:t>. A</w:t>
            </w:r>
            <w:r w:rsidRPr="001F4720">
              <w:rPr>
                <w:rFonts w:ascii="Calibri" w:eastAsia="Calibri" w:hAnsi="Calibri" w:cs="Calibri"/>
                <w:sz w:val="22"/>
                <w:szCs w:val="22"/>
              </w:rPr>
              <w:t>nd to experience consistent, accurate data and workflows from both of their sites from day one of the second site being live</w:t>
            </w:r>
          </w:p>
        </w:tc>
      </w:tr>
      <w:tr w:rsidR="006961DE" w14:paraId="2F763407" w14:textId="77777777">
        <w:tc>
          <w:tcPr>
            <w:tcW w:w="2500" w:type="pct"/>
            <w:shd w:val="clear" w:color="auto" w:fill="DCE6F1"/>
            <w:tcMar>
              <w:top w:w="90" w:type="dxa"/>
              <w:left w:w="135" w:type="dxa"/>
              <w:bottom w:w="90" w:type="dxa"/>
              <w:right w:w="135" w:type="dxa"/>
            </w:tcMar>
          </w:tcPr>
          <w:p w14:paraId="7004F5F2" w14:textId="77777777" w:rsidR="006961DE" w:rsidRDefault="003D5CCF">
            <w:r>
              <w:rPr>
                <w:rFonts w:ascii="Calibri" w:eastAsia="Calibri" w:hAnsi="Calibri" w:cs="Calibri"/>
                <w:b/>
                <w:bCs/>
                <w:color w:val="1F3864"/>
                <w:sz w:val="22"/>
                <w:szCs w:val="22"/>
              </w:rPr>
              <w:t>Core Challenge</w:t>
            </w:r>
          </w:p>
        </w:tc>
        <w:tc>
          <w:tcPr>
            <w:tcW w:w="2500" w:type="pct"/>
            <w:shd w:val="clear" w:color="auto" w:fill="DCE6F1"/>
            <w:tcMar>
              <w:top w:w="90" w:type="dxa"/>
              <w:left w:w="135" w:type="dxa"/>
              <w:bottom w:w="90" w:type="dxa"/>
              <w:right w:w="135" w:type="dxa"/>
            </w:tcMar>
          </w:tcPr>
          <w:p w14:paraId="095C27F9" w14:textId="7DE7BD5E" w:rsidR="006961DE" w:rsidRPr="001F4720" w:rsidRDefault="003D5CCF">
            <w:r w:rsidRPr="001F4720">
              <w:rPr>
                <w:rFonts w:ascii="Calibri" w:eastAsia="Calibri" w:hAnsi="Calibri" w:cs="Calibri"/>
                <w:sz w:val="22"/>
                <w:szCs w:val="22"/>
              </w:rPr>
              <w:t>Multiple PM domains must stay coordinated so that the customer's second site is fully consistent with their first from the customer's perspective on day one</w:t>
            </w:r>
          </w:p>
        </w:tc>
      </w:tr>
    </w:tbl>
    <w:p w14:paraId="64B6CFB3" w14:textId="77777777" w:rsidR="006961DE" w:rsidRDefault="006961DE">
      <w:pPr>
        <w:spacing w:after="200"/>
      </w:pPr>
    </w:p>
    <w:p w14:paraId="544AFA17" w14:textId="77777777" w:rsidR="006961DE" w:rsidRDefault="006961DE">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6961DE" w14:paraId="68D8B1E7" w14:textId="77777777">
        <w:tc>
          <w:tcPr>
            <w:tcW w:w="0" w:type="auto"/>
            <w:tcBorders>
              <w:top w:val="single" w:sz="6" w:space="0" w:color="2E74B5"/>
              <w:left w:val="single" w:sz="6" w:space="0" w:color="2E74B5"/>
              <w:bottom w:val="single" w:sz="6" w:space="0" w:color="2E74B5"/>
              <w:right w:val="single" w:sz="6" w:space="0" w:color="2E74B5"/>
            </w:tcBorders>
            <w:shd w:val="clear" w:color="auto" w:fill="F0F4FA"/>
            <w:tcMar>
              <w:top w:w="180" w:type="dxa"/>
              <w:left w:w="240" w:type="dxa"/>
              <w:bottom w:w="180" w:type="dxa"/>
              <w:right w:w="240" w:type="dxa"/>
            </w:tcMar>
          </w:tcPr>
          <w:p w14:paraId="5B692C0E" w14:textId="77777777" w:rsidR="006961DE" w:rsidRDefault="003D5CCF">
            <w:pPr>
              <w:spacing w:after="120" w:line="360" w:lineRule="auto"/>
            </w:pPr>
            <w:r>
              <w:rPr>
                <w:rFonts w:ascii="Calibri" w:eastAsia="Calibri" w:hAnsi="Calibri" w:cs="Calibri"/>
                <w:b/>
                <w:bCs/>
                <w:color w:val="1F3864"/>
                <w:sz w:val="22"/>
                <w:szCs w:val="22"/>
              </w:rPr>
              <w:t>ⓘ Why This Matters</w:t>
            </w:r>
          </w:p>
          <w:p w14:paraId="6CCBFDE9" w14:textId="65883385" w:rsidR="006961DE" w:rsidRDefault="003D5CCF">
            <w:pPr>
              <w:spacing w:line="360" w:lineRule="auto"/>
            </w:pPr>
            <w:r>
              <w:rPr>
                <w:rFonts w:ascii="Calibri" w:eastAsia="Calibri" w:hAnsi="Calibri" w:cs="Calibri"/>
                <w:color w:val="000000"/>
                <w:sz w:val="22"/>
                <w:szCs w:val="22"/>
              </w:rPr>
              <w:t>When an enterprise customer expands from one site to two sites, even a brief misalignment between PM domains</w:t>
            </w:r>
            <w:r w:rsidR="005E2CFE">
              <w:rPr>
                <w:rFonts w:ascii="Calibri" w:eastAsia="Calibri" w:hAnsi="Calibri" w:cs="Calibri"/>
                <w:color w:val="000000"/>
                <w:sz w:val="22"/>
                <w:szCs w:val="22"/>
              </w:rPr>
              <w:t xml:space="preserve">, </w:t>
            </w:r>
            <w:r>
              <w:rPr>
                <w:rFonts w:ascii="Calibri" w:eastAsia="Calibri" w:hAnsi="Calibri" w:cs="Calibri"/>
                <w:color w:val="000000"/>
                <w:sz w:val="22"/>
                <w:szCs w:val="22"/>
              </w:rPr>
              <w:t>such as a data consistency gap between the customer's two sites or incomplete reporting coverage</w:t>
            </w:r>
            <w:r w:rsidR="005E2CFE">
              <w:rPr>
                <w:rFonts w:ascii="Calibri" w:eastAsia="Calibri" w:hAnsi="Calibri" w:cs="Calibri"/>
                <w:color w:val="000000"/>
                <w:sz w:val="22"/>
                <w:szCs w:val="22"/>
              </w:rPr>
              <w:t xml:space="preserve">, </w:t>
            </w:r>
            <w:r>
              <w:rPr>
                <w:rFonts w:ascii="Calibri" w:eastAsia="Calibri" w:hAnsi="Calibri" w:cs="Calibri"/>
                <w:color w:val="000000"/>
                <w:sz w:val="22"/>
                <w:szCs w:val="22"/>
              </w:rPr>
              <w:t>can produce a customer-visible incident on the day the second site goes live. The purpose of this collaboration model is to eliminate those gaps through deliberate coordination before that date.</w:t>
            </w:r>
          </w:p>
        </w:tc>
      </w:tr>
    </w:tbl>
    <w:p w14:paraId="5C2DD83D" w14:textId="77777777" w:rsidR="006961DE" w:rsidRDefault="006961DE">
      <w:pPr>
        <w:spacing w:after="240"/>
      </w:pPr>
    </w:p>
    <w:p w14:paraId="65CD7686" w14:textId="14AB1690" w:rsidR="00490FD7" w:rsidRDefault="003D5CCF" w:rsidP="003B06AD">
      <w:pPr>
        <w:pStyle w:val="Heading2"/>
        <w:pBdr>
          <w:bottom w:val="single" w:sz="12" w:space="0" w:color="2E74B5"/>
        </w:pBdr>
        <w:shd w:val="clear" w:color="auto" w:fill="EEF3FB"/>
        <w:spacing w:before="440" w:after="100" w:line="312" w:lineRule="auto"/>
      </w:pPr>
      <w:r w:rsidRPr="003B06AD">
        <w:rPr>
          <w:rFonts w:ascii="Calibri" w:hAnsi="Calibri" w:cs="Calibri"/>
          <w:color w:val="1F3864"/>
          <w:sz w:val="30"/>
          <w:szCs w:val="30"/>
        </w:rPr>
        <w:t>2. Participating Product Managers</w:t>
      </w:r>
    </w:p>
    <w:p w14:paraId="1648CEC5" w14:textId="77777777" w:rsidR="006961DE" w:rsidRDefault="006961DE">
      <w:pPr>
        <w:pBdr>
          <w:top w:val="single" w:sz="6" w:space="0" w:color="2E74B5"/>
        </w:pBdr>
        <w:spacing w:after="200"/>
      </w:pPr>
    </w:p>
    <w:p w14:paraId="0231181D" w14:textId="77777777" w:rsidR="006961DE" w:rsidRDefault="003D5CCF">
      <w:pPr>
        <w:spacing w:before="60" w:after="120" w:line="360" w:lineRule="auto"/>
      </w:pPr>
      <w:r>
        <w:rPr>
          <w:rFonts w:ascii="Calibri" w:eastAsia="Calibri" w:hAnsi="Calibri" w:cs="Calibri"/>
          <w:color w:val="000000"/>
          <w:sz w:val="22"/>
          <w:szCs w:val="22"/>
        </w:rPr>
        <w:t>The following four PM roles each own a distinct domain. Their responsibilities and interdependencies are summarized below.</w:t>
      </w:r>
    </w:p>
    <w:p w14:paraId="3076BB05" w14:textId="77777777" w:rsidR="006961DE" w:rsidRDefault="006961DE">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204"/>
        <w:gridCol w:w="1415"/>
        <w:gridCol w:w="3922"/>
        <w:gridCol w:w="2809"/>
      </w:tblGrid>
      <w:tr w:rsidR="006961DE" w14:paraId="74E07141" w14:textId="77777777">
        <w:trPr>
          <w:tblHeader/>
        </w:trPr>
        <w:tc>
          <w:tcPr>
            <w:tcW w:w="500" w:type="pct"/>
            <w:shd w:val="clear" w:color="auto" w:fill="1F3864"/>
            <w:tcMar>
              <w:top w:w="90" w:type="dxa"/>
              <w:left w:w="135" w:type="dxa"/>
              <w:bottom w:w="90" w:type="dxa"/>
              <w:right w:w="135" w:type="dxa"/>
            </w:tcMar>
          </w:tcPr>
          <w:p w14:paraId="55F18848" w14:textId="77777777" w:rsidR="006961DE" w:rsidRDefault="003D5CCF">
            <w:r>
              <w:rPr>
                <w:rFonts w:ascii="Calibri" w:eastAsia="Calibri" w:hAnsi="Calibri" w:cs="Calibri"/>
                <w:b/>
                <w:bCs/>
                <w:color w:val="FFFFFF"/>
                <w:sz w:val="22"/>
                <w:szCs w:val="22"/>
              </w:rPr>
              <w:t>Role</w:t>
            </w:r>
          </w:p>
        </w:tc>
        <w:tc>
          <w:tcPr>
            <w:tcW w:w="800" w:type="pct"/>
            <w:shd w:val="clear" w:color="auto" w:fill="1F3864"/>
            <w:tcMar>
              <w:top w:w="90" w:type="dxa"/>
              <w:left w:w="135" w:type="dxa"/>
              <w:bottom w:w="90" w:type="dxa"/>
              <w:right w:w="135" w:type="dxa"/>
            </w:tcMar>
          </w:tcPr>
          <w:p w14:paraId="2E061E5B" w14:textId="77777777" w:rsidR="006961DE" w:rsidRDefault="003D5CCF">
            <w:r>
              <w:rPr>
                <w:rFonts w:ascii="Calibri" w:eastAsia="Calibri" w:hAnsi="Calibri" w:cs="Calibri"/>
                <w:b/>
                <w:bCs/>
                <w:color w:val="FFFFFF"/>
                <w:sz w:val="22"/>
                <w:szCs w:val="22"/>
              </w:rPr>
              <w:t>Owner Area</w:t>
            </w:r>
          </w:p>
        </w:tc>
        <w:tc>
          <w:tcPr>
            <w:tcW w:w="2150" w:type="pct"/>
            <w:shd w:val="clear" w:color="auto" w:fill="1F3864"/>
            <w:tcMar>
              <w:top w:w="90" w:type="dxa"/>
              <w:left w:w="135" w:type="dxa"/>
              <w:bottom w:w="90" w:type="dxa"/>
              <w:right w:w="135" w:type="dxa"/>
            </w:tcMar>
          </w:tcPr>
          <w:p w14:paraId="3BC747A0" w14:textId="77777777" w:rsidR="006961DE" w:rsidRDefault="003D5CCF">
            <w:r>
              <w:rPr>
                <w:rFonts w:ascii="Calibri" w:eastAsia="Calibri" w:hAnsi="Calibri" w:cs="Calibri"/>
                <w:b/>
                <w:bCs/>
                <w:color w:val="FFFFFF"/>
                <w:sz w:val="22"/>
                <w:szCs w:val="22"/>
              </w:rPr>
              <w:t>Primary Responsibility</w:t>
            </w:r>
          </w:p>
        </w:tc>
        <w:tc>
          <w:tcPr>
            <w:tcW w:w="1550" w:type="pct"/>
            <w:shd w:val="clear" w:color="auto" w:fill="1F3864"/>
            <w:tcMar>
              <w:top w:w="90" w:type="dxa"/>
              <w:left w:w="135" w:type="dxa"/>
              <w:bottom w:w="90" w:type="dxa"/>
              <w:right w:w="135" w:type="dxa"/>
            </w:tcMar>
          </w:tcPr>
          <w:p w14:paraId="6713924D" w14:textId="77777777" w:rsidR="006961DE" w:rsidRDefault="003D5CCF">
            <w:r>
              <w:rPr>
                <w:rFonts w:ascii="Calibri" w:eastAsia="Calibri" w:hAnsi="Calibri" w:cs="Calibri"/>
                <w:b/>
                <w:bCs/>
                <w:color w:val="FFFFFF"/>
                <w:sz w:val="22"/>
                <w:szCs w:val="22"/>
              </w:rPr>
              <w:t>Key Dependency</w:t>
            </w:r>
          </w:p>
        </w:tc>
      </w:tr>
      <w:tr w:rsidR="006961DE" w14:paraId="57866443" w14:textId="77777777">
        <w:tc>
          <w:tcPr>
            <w:tcW w:w="500" w:type="pct"/>
            <w:tcMar>
              <w:top w:w="90" w:type="dxa"/>
              <w:left w:w="135" w:type="dxa"/>
              <w:bottom w:w="90" w:type="dxa"/>
              <w:right w:w="135" w:type="dxa"/>
            </w:tcMar>
          </w:tcPr>
          <w:p w14:paraId="6165D049" w14:textId="77777777" w:rsidR="006961DE" w:rsidRDefault="003D5CCF">
            <w:r>
              <w:rPr>
                <w:rFonts w:ascii="Calibri" w:eastAsia="Calibri" w:hAnsi="Calibri" w:cs="Calibri"/>
                <w:b/>
                <w:bCs/>
                <w:color w:val="000000"/>
                <w:sz w:val="22"/>
                <w:szCs w:val="22"/>
              </w:rPr>
              <w:t>SKU PM</w:t>
            </w:r>
          </w:p>
        </w:tc>
        <w:tc>
          <w:tcPr>
            <w:tcW w:w="800" w:type="pct"/>
            <w:tcMar>
              <w:top w:w="90" w:type="dxa"/>
              <w:left w:w="135" w:type="dxa"/>
              <w:bottom w:w="90" w:type="dxa"/>
              <w:right w:w="135" w:type="dxa"/>
            </w:tcMar>
          </w:tcPr>
          <w:p w14:paraId="19F45C29" w14:textId="77777777" w:rsidR="006961DE" w:rsidRDefault="003D5CCF">
            <w:r>
              <w:rPr>
                <w:rFonts w:ascii="Calibri" w:eastAsia="Calibri" w:hAnsi="Calibri" w:cs="Calibri"/>
                <w:color w:val="000000"/>
                <w:sz w:val="22"/>
                <w:szCs w:val="22"/>
              </w:rPr>
              <w:t>Product catalog &amp; second-site enablement</w:t>
            </w:r>
          </w:p>
        </w:tc>
        <w:tc>
          <w:tcPr>
            <w:tcW w:w="2150" w:type="pct"/>
            <w:tcMar>
              <w:top w:w="90" w:type="dxa"/>
              <w:left w:w="135" w:type="dxa"/>
              <w:bottom w:w="90" w:type="dxa"/>
              <w:right w:w="135" w:type="dxa"/>
            </w:tcMar>
          </w:tcPr>
          <w:p w14:paraId="4E8049FD" w14:textId="199A2FED" w:rsidR="006961DE" w:rsidRDefault="003D5CCF">
            <w:r>
              <w:rPr>
                <w:rFonts w:ascii="Calibri" w:eastAsia="Calibri" w:hAnsi="Calibri" w:cs="Calibri"/>
                <w:color w:val="000000"/>
                <w:sz w:val="22"/>
                <w:szCs w:val="22"/>
              </w:rPr>
              <w:t xml:space="preserve">Enables the customer's second site to serve consistent product data </w:t>
            </w:r>
          </w:p>
        </w:tc>
        <w:tc>
          <w:tcPr>
            <w:tcW w:w="1550" w:type="pct"/>
            <w:tcMar>
              <w:top w:w="90" w:type="dxa"/>
              <w:left w:w="135" w:type="dxa"/>
              <w:bottom w:w="90" w:type="dxa"/>
              <w:right w:w="135" w:type="dxa"/>
            </w:tcMar>
          </w:tcPr>
          <w:p w14:paraId="2AA3587C" w14:textId="4B2D5A88" w:rsidR="006961DE" w:rsidRDefault="003D5CCF">
            <w:r>
              <w:rPr>
                <w:rFonts w:ascii="Calibri" w:eastAsia="Calibri" w:hAnsi="Calibri" w:cs="Calibri"/>
                <w:color w:val="000000"/>
                <w:sz w:val="22"/>
                <w:szCs w:val="22"/>
              </w:rPr>
              <w:t>Coordinates with Feature PM on rollout for the customer's second site</w:t>
            </w:r>
          </w:p>
        </w:tc>
      </w:tr>
      <w:tr w:rsidR="006961DE" w14:paraId="43A6C36F" w14:textId="77777777">
        <w:tc>
          <w:tcPr>
            <w:tcW w:w="500" w:type="pct"/>
            <w:tcMar>
              <w:top w:w="90" w:type="dxa"/>
              <w:left w:w="135" w:type="dxa"/>
              <w:bottom w:w="90" w:type="dxa"/>
              <w:right w:w="135" w:type="dxa"/>
            </w:tcMar>
          </w:tcPr>
          <w:p w14:paraId="59C148A9" w14:textId="77777777" w:rsidR="006961DE" w:rsidRDefault="003D5CCF">
            <w:r>
              <w:rPr>
                <w:rFonts w:ascii="Calibri" w:eastAsia="Calibri" w:hAnsi="Calibri" w:cs="Calibri"/>
                <w:b/>
                <w:bCs/>
                <w:color w:val="000000"/>
                <w:sz w:val="22"/>
                <w:szCs w:val="22"/>
              </w:rPr>
              <w:t>Analytics PM</w:t>
            </w:r>
          </w:p>
        </w:tc>
        <w:tc>
          <w:tcPr>
            <w:tcW w:w="800" w:type="pct"/>
            <w:tcMar>
              <w:top w:w="90" w:type="dxa"/>
              <w:left w:w="135" w:type="dxa"/>
              <w:bottom w:w="90" w:type="dxa"/>
              <w:right w:w="135" w:type="dxa"/>
            </w:tcMar>
          </w:tcPr>
          <w:p w14:paraId="670D71EE" w14:textId="77777777" w:rsidR="006961DE" w:rsidRDefault="003D5CCF">
            <w:r>
              <w:rPr>
                <w:rFonts w:ascii="Calibri" w:eastAsia="Calibri" w:hAnsi="Calibri" w:cs="Calibri"/>
                <w:color w:val="000000"/>
                <w:sz w:val="22"/>
                <w:szCs w:val="22"/>
              </w:rPr>
              <w:t>Data pipelines &amp; reporting</w:t>
            </w:r>
          </w:p>
        </w:tc>
        <w:tc>
          <w:tcPr>
            <w:tcW w:w="2150" w:type="pct"/>
            <w:tcMar>
              <w:top w:w="90" w:type="dxa"/>
              <w:left w:w="135" w:type="dxa"/>
              <w:bottom w:w="90" w:type="dxa"/>
              <w:right w:w="135" w:type="dxa"/>
            </w:tcMar>
          </w:tcPr>
          <w:p w14:paraId="09D89EF1" w14:textId="77777777" w:rsidR="006961DE" w:rsidRDefault="003D5CCF">
            <w:r>
              <w:rPr>
                <w:rFonts w:ascii="Calibri" w:eastAsia="Calibri" w:hAnsi="Calibri" w:cs="Calibri"/>
                <w:color w:val="000000"/>
                <w:sz w:val="22"/>
                <w:szCs w:val="22"/>
              </w:rPr>
              <w:t>Ensures the customer's report is accurate and complete regardless of which of the customer's two sites served the order</w:t>
            </w:r>
          </w:p>
        </w:tc>
        <w:tc>
          <w:tcPr>
            <w:tcW w:w="1550" w:type="pct"/>
            <w:tcMar>
              <w:top w:w="90" w:type="dxa"/>
              <w:left w:w="135" w:type="dxa"/>
              <w:bottom w:w="90" w:type="dxa"/>
              <w:right w:w="135" w:type="dxa"/>
            </w:tcMar>
          </w:tcPr>
          <w:p w14:paraId="5656311B" w14:textId="77777777" w:rsidR="006961DE" w:rsidRDefault="003D5CCF">
            <w:r>
              <w:rPr>
                <w:rFonts w:ascii="Calibri" w:eastAsia="Calibri" w:hAnsi="Calibri" w:cs="Calibri"/>
                <w:color w:val="000000"/>
                <w:sz w:val="22"/>
                <w:szCs w:val="22"/>
              </w:rPr>
              <w:t>Works with SKU PM to confirm product data is consistent across the customer's two sites</w:t>
            </w:r>
          </w:p>
        </w:tc>
      </w:tr>
      <w:tr w:rsidR="006961DE" w14:paraId="4476359E" w14:textId="77777777">
        <w:tc>
          <w:tcPr>
            <w:tcW w:w="500" w:type="pct"/>
            <w:tcMar>
              <w:top w:w="90" w:type="dxa"/>
              <w:left w:w="135" w:type="dxa"/>
              <w:bottom w:w="90" w:type="dxa"/>
              <w:right w:w="135" w:type="dxa"/>
            </w:tcMar>
          </w:tcPr>
          <w:p w14:paraId="6FA43F01" w14:textId="77777777" w:rsidR="006961DE" w:rsidRDefault="003D5CCF">
            <w:r>
              <w:rPr>
                <w:rFonts w:ascii="Calibri" w:eastAsia="Calibri" w:hAnsi="Calibri" w:cs="Calibri"/>
                <w:b/>
                <w:bCs/>
                <w:color w:val="000000"/>
                <w:sz w:val="22"/>
                <w:szCs w:val="22"/>
              </w:rPr>
              <w:lastRenderedPageBreak/>
              <w:t>Outbound PM</w:t>
            </w:r>
          </w:p>
        </w:tc>
        <w:tc>
          <w:tcPr>
            <w:tcW w:w="800" w:type="pct"/>
            <w:tcMar>
              <w:top w:w="90" w:type="dxa"/>
              <w:left w:w="135" w:type="dxa"/>
              <w:bottom w:w="90" w:type="dxa"/>
              <w:right w:w="135" w:type="dxa"/>
            </w:tcMar>
          </w:tcPr>
          <w:p w14:paraId="0B1206B9" w14:textId="77777777" w:rsidR="006961DE" w:rsidRDefault="003D5CCF">
            <w:r>
              <w:rPr>
                <w:rFonts w:ascii="Calibri" w:eastAsia="Calibri" w:hAnsi="Calibri" w:cs="Calibri"/>
                <w:color w:val="000000"/>
                <w:sz w:val="22"/>
                <w:szCs w:val="22"/>
              </w:rPr>
              <w:t>Notifications &amp; customer validation</w:t>
            </w:r>
          </w:p>
        </w:tc>
        <w:tc>
          <w:tcPr>
            <w:tcW w:w="2150" w:type="pct"/>
            <w:tcMar>
              <w:top w:w="90" w:type="dxa"/>
              <w:left w:w="135" w:type="dxa"/>
              <w:bottom w:w="90" w:type="dxa"/>
              <w:right w:w="135" w:type="dxa"/>
            </w:tcMar>
          </w:tcPr>
          <w:p w14:paraId="7760A46D" w14:textId="77777777" w:rsidR="00BD75AF" w:rsidRPr="00BD75AF" w:rsidRDefault="003D5CCF" w:rsidP="00BD75AF">
            <w:pPr>
              <w:pStyle w:val="ListParagraph"/>
              <w:numPr>
                <w:ilvl w:val="0"/>
                <w:numId w:val="3"/>
              </w:numPr>
              <w:rPr>
                <w:rFonts w:ascii="Calibri" w:eastAsia="Calibri" w:hAnsi="Calibri" w:cs="Calibri"/>
                <w:color w:val="000000"/>
                <w:sz w:val="22"/>
                <w:szCs w:val="22"/>
              </w:rPr>
            </w:pPr>
            <w:r w:rsidRPr="00BD75AF">
              <w:rPr>
                <w:rFonts w:ascii="Calibri" w:eastAsia="Calibri" w:hAnsi="Calibri" w:cs="Calibri"/>
                <w:color w:val="000000"/>
                <w:sz w:val="22"/>
                <w:szCs w:val="22"/>
              </w:rPr>
              <w:t>Prepares the early customer invitation and brings it to the group walkthrough for review</w:t>
            </w:r>
          </w:p>
          <w:p w14:paraId="21A1E5B9" w14:textId="77777777" w:rsidR="00BD75AF" w:rsidRPr="00BD75AF" w:rsidRDefault="003D5CCF" w:rsidP="00BD75AF">
            <w:pPr>
              <w:pStyle w:val="ListParagraph"/>
              <w:numPr>
                <w:ilvl w:val="0"/>
                <w:numId w:val="3"/>
              </w:numPr>
            </w:pPr>
            <w:r w:rsidRPr="00BD75AF">
              <w:rPr>
                <w:rFonts w:ascii="Calibri" w:eastAsia="Calibri" w:hAnsi="Calibri" w:cs="Calibri"/>
                <w:color w:val="000000"/>
                <w:sz w:val="22"/>
                <w:szCs w:val="22"/>
              </w:rPr>
              <w:t>sends the invite to early customers once confirmed</w:t>
            </w:r>
          </w:p>
          <w:p w14:paraId="4D989656" w14:textId="33F6E452" w:rsidR="006961DE" w:rsidRDefault="003D5CCF" w:rsidP="00BD75AF">
            <w:pPr>
              <w:pStyle w:val="ListParagraph"/>
              <w:numPr>
                <w:ilvl w:val="0"/>
                <w:numId w:val="3"/>
              </w:numPr>
            </w:pPr>
            <w:r w:rsidRPr="00BD75AF">
              <w:rPr>
                <w:rFonts w:ascii="Calibri" w:eastAsia="Calibri" w:hAnsi="Calibri" w:cs="Calibri"/>
                <w:color w:val="000000"/>
                <w:sz w:val="22"/>
                <w:szCs w:val="22"/>
              </w:rPr>
              <w:t>collects their feedback on the feature</w:t>
            </w:r>
          </w:p>
        </w:tc>
        <w:tc>
          <w:tcPr>
            <w:tcW w:w="1550" w:type="pct"/>
            <w:tcMar>
              <w:top w:w="90" w:type="dxa"/>
              <w:left w:w="135" w:type="dxa"/>
              <w:bottom w:w="90" w:type="dxa"/>
              <w:right w:w="135" w:type="dxa"/>
            </w:tcMar>
          </w:tcPr>
          <w:p w14:paraId="71CC44BF" w14:textId="77777777" w:rsidR="006961DE" w:rsidRDefault="003D5CCF">
            <w:r>
              <w:rPr>
                <w:rFonts w:ascii="Calibri" w:eastAsia="Calibri" w:hAnsi="Calibri" w:cs="Calibri"/>
                <w:color w:val="000000"/>
                <w:sz w:val="22"/>
                <w:szCs w:val="22"/>
              </w:rPr>
              <w:t>Coordinates with the PM group to ensure the invitation accurately reflects the feature before it goes to customers</w:t>
            </w:r>
          </w:p>
        </w:tc>
      </w:tr>
      <w:tr w:rsidR="006961DE" w14:paraId="32C76876" w14:textId="77777777">
        <w:tc>
          <w:tcPr>
            <w:tcW w:w="500" w:type="pct"/>
            <w:tcMar>
              <w:top w:w="90" w:type="dxa"/>
              <w:left w:w="135" w:type="dxa"/>
              <w:bottom w:w="90" w:type="dxa"/>
              <w:right w:w="135" w:type="dxa"/>
            </w:tcMar>
          </w:tcPr>
          <w:p w14:paraId="05F3CD56" w14:textId="77777777" w:rsidR="006961DE" w:rsidRDefault="003D5CCF">
            <w:r>
              <w:rPr>
                <w:rFonts w:ascii="Calibri" w:eastAsia="Calibri" w:hAnsi="Calibri" w:cs="Calibri"/>
                <w:b/>
                <w:bCs/>
                <w:color w:val="000000"/>
                <w:sz w:val="22"/>
                <w:szCs w:val="22"/>
              </w:rPr>
              <w:t>Feature PM</w:t>
            </w:r>
          </w:p>
        </w:tc>
        <w:tc>
          <w:tcPr>
            <w:tcW w:w="800" w:type="pct"/>
            <w:tcMar>
              <w:top w:w="90" w:type="dxa"/>
              <w:left w:w="135" w:type="dxa"/>
              <w:bottom w:w="90" w:type="dxa"/>
              <w:right w:w="135" w:type="dxa"/>
            </w:tcMar>
          </w:tcPr>
          <w:p w14:paraId="75191509" w14:textId="77777777" w:rsidR="006961DE" w:rsidRDefault="003D5CCF">
            <w:r>
              <w:rPr>
                <w:rFonts w:ascii="Calibri" w:eastAsia="Calibri" w:hAnsi="Calibri" w:cs="Calibri"/>
                <w:color w:val="000000"/>
                <w:sz w:val="22"/>
                <w:szCs w:val="22"/>
              </w:rPr>
              <w:t>Rollout coordination</w:t>
            </w:r>
          </w:p>
        </w:tc>
        <w:tc>
          <w:tcPr>
            <w:tcW w:w="2150" w:type="pct"/>
            <w:tcMar>
              <w:top w:w="90" w:type="dxa"/>
              <w:left w:w="135" w:type="dxa"/>
              <w:bottom w:w="90" w:type="dxa"/>
              <w:right w:w="135" w:type="dxa"/>
            </w:tcMar>
          </w:tcPr>
          <w:p w14:paraId="2EB09916" w14:textId="77777777" w:rsidR="00BC3F9F" w:rsidRPr="00BC3F9F" w:rsidRDefault="003D5CCF" w:rsidP="00BC3F9F">
            <w:pPr>
              <w:pStyle w:val="ListParagraph"/>
              <w:numPr>
                <w:ilvl w:val="0"/>
                <w:numId w:val="5"/>
              </w:numPr>
              <w:rPr>
                <w:rFonts w:ascii="Calibri" w:eastAsia="Calibri" w:hAnsi="Calibri" w:cs="Calibri"/>
                <w:color w:val="000000"/>
                <w:sz w:val="22"/>
                <w:szCs w:val="22"/>
              </w:rPr>
            </w:pPr>
            <w:r w:rsidRPr="00BC3F9F">
              <w:rPr>
                <w:rFonts w:ascii="Calibri" w:eastAsia="Calibri" w:hAnsi="Calibri" w:cs="Calibri"/>
                <w:color w:val="000000"/>
                <w:sz w:val="22"/>
                <w:szCs w:val="22"/>
              </w:rPr>
              <w:t>Coordinates the sequence in which the customer's second site is enabled</w:t>
            </w:r>
          </w:p>
          <w:p w14:paraId="5E48EE55" w14:textId="4E585B3A" w:rsidR="006961DE" w:rsidRDefault="003D5CCF" w:rsidP="00BC3F9F">
            <w:pPr>
              <w:pStyle w:val="ListParagraph"/>
              <w:numPr>
                <w:ilvl w:val="0"/>
                <w:numId w:val="4"/>
              </w:numPr>
            </w:pPr>
            <w:r w:rsidRPr="00BC3F9F">
              <w:rPr>
                <w:rFonts w:ascii="Calibri" w:eastAsia="Calibri" w:hAnsi="Calibri" w:cs="Calibri"/>
                <w:color w:val="000000"/>
                <w:sz w:val="22"/>
                <w:szCs w:val="22"/>
              </w:rPr>
              <w:t>manages readiness across the PM group ahead of the second-site go-live</w:t>
            </w:r>
          </w:p>
        </w:tc>
        <w:tc>
          <w:tcPr>
            <w:tcW w:w="1550" w:type="pct"/>
            <w:tcMar>
              <w:top w:w="90" w:type="dxa"/>
              <w:left w:w="135" w:type="dxa"/>
              <w:bottom w:w="90" w:type="dxa"/>
              <w:right w:w="135" w:type="dxa"/>
            </w:tcMar>
          </w:tcPr>
          <w:p w14:paraId="2EEC1AA8" w14:textId="77777777" w:rsidR="006961DE" w:rsidRDefault="003D5CCF">
            <w:r>
              <w:rPr>
                <w:rFonts w:ascii="Calibri" w:eastAsia="Calibri" w:hAnsi="Calibri" w:cs="Calibri"/>
                <w:color w:val="000000"/>
                <w:sz w:val="22"/>
                <w:szCs w:val="22"/>
              </w:rPr>
              <w:t>Coordinates with all PMs to confirm readiness before the customer's second site is enabled</w:t>
            </w:r>
          </w:p>
        </w:tc>
      </w:tr>
    </w:tbl>
    <w:p w14:paraId="26FF5102" w14:textId="77777777" w:rsidR="006961DE" w:rsidRDefault="006961DE">
      <w:pPr>
        <w:spacing w:after="200"/>
      </w:pPr>
    </w:p>
    <w:p w14:paraId="2BD380E9" w14:textId="2C1E5C37" w:rsidR="00490FD7" w:rsidRDefault="003D5CCF" w:rsidP="00A72403">
      <w:pPr>
        <w:pStyle w:val="Heading2"/>
        <w:pBdr>
          <w:bottom w:val="single" w:sz="12" w:space="0" w:color="2E74B5"/>
        </w:pBdr>
        <w:shd w:val="clear" w:color="auto" w:fill="EEF3FB"/>
        <w:spacing w:before="440" w:after="100" w:line="312" w:lineRule="auto"/>
      </w:pPr>
      <w:r w:rsidRPr="00A72403">
        <w:rPr>
          <w:rFonts w:ascii="Calibri" w:hAnsi="Calibri" w:cs="Calibri"/>
          <w:color w:val="1F3864"/>
          <w:sz w:val="30"/>
          <w:szCs w:val="30"/>
        </w:rPr>
        <w:t>3. Use Case Flow — Normal Path</w:t>
      </w:r>
    </w:p>
    <w:p w14:paraId="6C05338C" w14:textId="77777777" w:rsidR="006961DE" w:rsidRDefault="006961DE">
      <w:pPr>
        <w:pBdr>
          <w:top w:val="single" w:sz="6" w:space="0" w:color="2E74B5"/>
        </w:pBdr>
        <w:spacing w:after="200"/>
      </w:pPr>
    </w:p>
    <w:p w14:paraId="1E9777F3" w14:textId="4184C86C" w:rsidR="006961DE" w:rsidRDefault="003D5CCF">
      <w:pPr>
        <w:spacing w:before="60" w:after="120" w:line="360" w:lineRule="auto"/>
      </w:pPr>
      <w:r>
        <w:rPr>
          <w:rFonts w:ascii="Calibri" w:eastAsia="Calibri" w:hAnsi="Calibri" w:cs="Calibri"/>
          <w:color w:val="000000"/>
          <w:sz w:val="22"/>
          <w:szCs w:val="22"/>
        </w:rPr>
        <w:t>The following sequence describes the end-to-end customer experience once both of the customer's sites are live and operating normally. PM accountability is noted in parentheses</w:t>
      </w:r>
      <w:r w:rsidR="002E445E">
        <w:rPr>
          <w:rFonts w:ascii="Calibri" w:eastAsia="Calibri" w:hAnsi="Calibri" w:cs="Calibri"/>
          <w:color w:val="000000"/>
          <w:sz w:val="22"/>
          <w:szCs w:val="22"/>
        </w:rPr>
        <w:t>:</w:t>
      </w:r>
    </w:p>
    <w:p w14:paraId="33E162F2" w14:textId="77777777" w:rsidR="006961DE" w:rsidRDefault="003D5CCF">
      <w:pPr>
        <w:pStyle w:val="ListParagraph"/>
        <w:numPr>
          <w:ilvl w:val="0"/>
          <w:numId w:val="2"/>
        </w:numPr>
        <w:spacing w:after="60" w:line="408" w:lineRule="auto"/>
      </w:pPr>
      <w:r>
        <w:rPr>
          <w:rFonts w:ascii="Calibri" w:eastAsia="Calibri" w:hAnsi="Calibri" w:cs="Calibri"/>
          <w:b/>
          <w:bCs/>
          <w:color w:val="2E74B5"/>
          <w:sz w:val="22"/>
          <w:szCs w:val="22"/>
        </w:rPr>
        <w:t>Customer places an order</w:t>
      </w:r>
      <w:r>
        <w:rPr>
          <w:rFonts w:ascii="Calibri" w:eastAsia="Calibri" w:hAnsi="Calibri" w:cs="Calibri"/>
          <w:color w:val="000000"/>
          <w:sz w:val="22"/>
          <w:szCs w:val="22"/>
        </w:rPr>
        <w:t xml:space="preserve"> — The customer selects items and completes checkout on the platform. Product information displayed is accurate and current across both of the customer's sites. </w:t>
      </w:r>
      <w:r>
        <w:rPr>
          <w:rFonts w:ascii="Calibri" w:eastAsia="Calibri" w:hAnsi="Calibri" w:cs="Calibri"/>
          <w:i/>
          <w:iCs/>
          <w:color w:val="000000"/>
          <w:sz w:val="22"/>
          <w:szCs w:val="22"/>
        </w:rPr>
        <w:t>(Second-site catalog: SKU PM)</w:t>
      </w:r>
    </w:p>
    <w:p w14:paraId="689DA432" w14:textId="77777777" w:rsidR="006961DE" w:rsidRDefault="003D5CCF">
      <w:pPr>
        <w:pStyle w:val="ListParagraph"/>
        <w:numPr>
          <w:ilvl w:val="0"/>
          <w:numId w:val="2"/>
        </w:numPr>
        <w:spacing w:after="60" w:line="408" w:lineRule="auto"/>
      </w:pPr>
      <w:r>
        <w:rPr>
          <w:rFonts w:ascii="Calibri" w:eastAsia="Calibri" w:hAnsi="Calibri" w:cs="Calibri"/>
          <w:b/>
          <w:bCs/>
          <w:color w:val="2E74B5"/>
          <w:sz w:val="22"/>
          <w:szCs w:val="22"/>
        </w:rPr>
        <w:t>Customer receives a confirmation</w:t>
      </w:r>
      <w:r>
        <w:rPr>
          <w:rFonts w:ascii="Calibri" w:eastAsia="Calibri" w:hAnsi="Calibri" w:cs="Calibri"/>
          <w:color w:val="000000"/>
          <w:sz w:val="22"/>
          <w:szCs w:val="22"/>
        </w:rPr>
        <w:t xml:space="preserve"> — After placing an order, the customer receives a confirmation email and, if they have a connected integration, a webhook notification. </w:t>
      </w:r>
      <w:r>
        <w:rPr>
          <w:rFonts w:ascii="Calibri" w:eastAsia="Calibri" w:hAnsi="Calibri" w:cs="Calibri"/>
          <w:i/>
          <w:iCs/>
          <w:color w:val="000000"/>
          <w:sz w:val="22"/>
          <w:szCs w:val="22"/>
        </w:rPr>
        <w:t>(Notifications: Outbound PM)</w:t>
      </w:r>
    </w:p>
    <w:p w14:paraId="02B0FA8B" w14:textId="77777777" w:rsidR="006961DE" w:rsidRDefault="003D5CCF">
      <w:pPr>
        <w:pStyle w:val="ListParagraph"/>
        <w:numPr>
          <w:ilvl w:val="0"/>
          <w:numId w:val="2"/>
        </w:numPr>
        <w:spacing w:after="60" w:line="408" w:lineRule="auto"/>
      </w:pPr>
      <w:r>
        <w:rPr>
          <w:rFonts w:ascii="Calibri" w:eastAsia="Calibri" w:hAnsi="Calibri" w:cs="Calibri"/>
          <w:b/>
          <w:bCs/>
          <w:color w:val="2E74B5"/>
          <w:sz w:val="22"/>
          <w:szCs w:val="22"/>
        </w:rPr>
        <w:t>Customer's report reflects the order accurately</w:t>
      </w:r>
      <w:r>
        <w:rPr>
          <w:rFonts w:ascii="Calibri" w:eastAsia="Calibri" w:hAnsi="Calibri" w:cs="Calibri"/>
          <w:color w:val="000000"/>
          <w:sz w:val="22"/>
          <w:szCs w:val="22"/>
        </w:rPr>
        <w:t xml:space="preserve"> — The customer's admin dashboard shows a complete, accurate view of their order regardless of which site served the transaction. </w:t>
      </w:r>
      <w:r>
        <w:rPr>
          <w:rFonts w:ascii="Calibri" w:eastAsia="Calibri" w:hAnsi="Calibri" w:cs="Calibri"/>
          <w:i/>
          <w:iCs/>
          <w:color w:val="000000"/>
          <w:sz w:val="22"/>
          <w:szCs w:val="22"/>
        </w:rPr>
        <w:t>(Report accuracy: Analytics PM)</w:t>
      </w:r>
    </w:p>
    <w:p w14:paraId="5A885AF2" w14:textId="77777777" w:rsidR="006961DE" w:rsidRDefault="003D5CCF">
      <w:pPr>
        <w:pStyle w:val="ListParagraph"/>
        <w:numPr>
          <w:ilvl w:val="0"/>
          <w:numId w:val="2"/>
        </w:numPr>
        <w:spacing w:after="60" w:line="408" w:lineRule="auto"/>
      </w:pPr>
      <w:r>
        <w:rPr>
          <w:rFonts w:ascii="Calibri" w:eastAsia="Calibri" w:hAnsi="Calibri" w:cs="Calibri"/>
          <w:b/>
          <w:bCs/>
          <w:color w:val="2E74B5"/>
          <w:sz w:val="22"/>
          <w:szCs w:val="22"/>
        </w:rPr>
        <w:t>Customer experiences continuity across their two sites</w:t>
      </w:r>
      <w:r>
        <w:rPr>
          <w:rFonts w:ascii="Calibri" w:eastAsia="Calibri" w:hAnsi="Calibri" w:cs="Calibri"/>
          <w:color w:val="000000"/>
          <w:sz w:val="22"/>
          <w:szCs w:val="22"/>
        </w:rPr>
        <w:t xml:space="preserve"> — If the customer's traffic is routed from their first site to their second site, the customer does not notice. Their session and order state are preserved. </w:t>
      </w:r>
      <w:r>
        <w:rPr>
          <w:rFonts w:ascii="Calibri" w:eastAsia="Calibri" w:hAnsi="Calibri" w:cs="Calibri"/>
          <w:i/>
          <w:iCs/>
          <w:color w:val="000000"/>
          <w:sz w:val="22"/>
          <w:szCs w:val="22"/>
        </w:rPr>
        <w:t>(Continuity across the customer's two sites: SKU PM + all PMs)</w:t>
      </w:r>
    </w:p>
    <w:p w14:paraId="3C15D573" w14:textId="77777777" w:rsidR="006961DE" w:rsidRDefault="003D5CCF">
      <w:pPr>
        <w:pStyle w:val="ListParagraph"/>
        <w:numPr>
          <w:ilvl w:val="0"/>
          <w:numId w:val="2"/>
        </w:numPr>
        <w:spacing w:after="60" w:line="408" w:lineRule="auto"/>
      </w:pPr>
      <w:r>
        <w:rPr>
          <w:rFonts w:ascii="Calibri" w:eastAsia="Calibri" w:hAnsi="Calibri" w:cs="Calibri"/>
          <w:b/>
          <w:bCs/>
          <w:color w:val="2E74B5"/>
          <w:sz w:val="22"/>
          <w:szCs w:val="22"/>
        </w:rPr>
        <w:lastRenderedPageBreak/>
        <w:t>Customer can get an accurate status update if something goes wrong</w:t>
      </w:r>
      <w:r>
        <w:rPr>
          <w:rFonts w:ascii="Calibri" w:eastAsia="Calibri" w:hAnsi="Calibri" w:cs="Calibri"/>
          <w:color w:val="000000"/>
          <w:sz w:val="22"/>
          <w:szCs w:val="22"/>
        </w:rPr>
        <w:t xml:space="preserve"> — If the customer contacts support, the run-the-business customer support teams handle the escalation. The PM group's prior work — the joint walkthrough and the runbook they contributed to — is what enables support teams to resolve the customer's issue without needing to escalate to PMs. </w:t>
      </w:r>
      <w:r>
        <w:rPr>
          <w:rFonts w:ascii="Calibri" w:eastAsia="Calibri" w:hAnsi="Calibri" w:cs="Calibri"/>
          <w:i/>
          <w:iCs/>
          <w:color w:val="000000"/>
          <w:sz w:val="22"/>
          <w:szCs w:val="22"/>
        </w:rPr>
        <w:t>(Support team enablement: all PMs, pre-launch)</w:t>
      </w:r>
    </w:p>
    <w:p w14:paraId="2CAA7DF6" w14:textId="77777777" w:rsidR="006961DE" w:rsidRDefault="006961DE">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6961DE" w14:paraId="519DB08E" w14:textId="77777777">
        <w:tc>
          <w:tcPr>
            <w:tcW w:w="0" w:type="auto"/>
            <w:tcBorders>
              <w:top w:val="single" w:sz="6" w:space="0" w:color="2E74B5"/>
              <w:left w:val="single" w:sz="6" w:space="0" w:color="2E74B5"/>
              <w:bottom w:val="single" w:sz="6" w:space="0" w:color="2E74B5"/>
              <w:right w:val="single" w:sz="6" w:space="0" w:color="2E74B5"/>
            </w:tcBorders>
            <w:shd w:val="clear" w:color="auto" w:fill="F0F4FA"/>
            <w:tcMar>
              <w:top w:w="180" w:type="dxa"/>
              <w:left w:w="240" w:type="dxa"/>
              <w:bottom w:w="180" w:type="dxa"/>
              <w:right w:w="240" w:type="dxa"/>
            </w:tcMar>
          </w:tcPr>
          <w:p w14:paraId="23AF1066" w14:textId="77777777" w:rsidR="006961DE" w:rsidRDefault="003D5CCF">
            <w:pPr>
              <w:spacing w:after="120" w:line="360" w:lineRule="auto"/>
            </w:pPr>
            <w:r>
              <w:rPr>
                <w:rFonts w:ascii="Calibri" w:eastAsia="Calibri" w:hAnsi="Calibri" w:cs="Calibri"/>
                <w:b/>
                <w:bCs/>
                <w:color w:val="1F3864"/>
                <w:sz w:val="22"/>
                <w:szCs w:val="22"/>
              </w:rPr>
              <w:t>✓</w:t>
            </w:r>
            <w:r>
              <w:rPr>
                <w:rFonts w:ascii="Calibri" w:eastAsia="Calibri" w:hAnsi="Calibri" w:cs="Calibri"/>
                <w:b/>
                <w:bCs/>
                <w:color w:val="1F3864"/>
                <w:sz w:val="22"/>
                <w:szCs w:val="22"/>
              </w:rPr>
              <w:t xml:space="preserve"> Normal Path Success Criteria</w:t>
            </w:r>
          </w:p>
          <w:p w14:paraId="0E14DE38" w14:textId="77777777" w:rsidR="006961DE" w:rsidRDefault="003D5CCF">
            <w:pPr>
              <w:spacing w:line="360" w:lineRule="auto"/>
            </w:pPr>
            <w:r>
              <w:rPr>
                <w:rFonts w:ascii="Calibri" w:eastAsia="Calibri" w:hAnsi="Calibri" w:cs="Calibri"/>
                <w:color w:val="000000"/>
                <w:sz w:val="22"/>
                <w:szCs w:val="22"/>
              </w:rPr>
              <w:t>All five steps complete without errors; product data is consistent across the customer's two sites; the customer receives a confirmation; and the order appears accurately in the customer's reporting dashboard.</w:t>
            </w:r>
          </w:p>
        </w:tc>
      </w:tr>
    </w:tbl>
    <w:p w14:paraId="298B29DA" w14:textId="77777777" w:rsidR="006961DE" w:rsidRDefault="006961DE">
      <w:pPr>
        <w:spacing w:after="240"/>
      </w:pPr>
    </w:p>
    <w:p w14:paraId="5AD16A1C" w14:textId="5157D12A" w:rsidR="00490FD7" w:rsidRDefault="003D5CCF" w:rsidP="00A47228">
      <w:pPr>
        <w:pStyle w:val="Heading2"/>
        <w:pBdr>
          <w:bottom w:val="single" w:sz="12" w:space="0" w:color="2E74B5"/>
        </w:pBdr>
        <w:shd w:val="clear" w:color="auto" w:fill="EEF3FB"/>
        <w:spacing w:before="440" w:after="100" w:line="312" w:lineRule="auto"/>
      </w:pPr>
      <w:r w:rsidRPr="00A47228">
        <w:rPr>
          <w:rFonts w:ascii="Calibri" w:hAnsi="Calibri" w:cs="Calibri"/>
          <w:color w:val="1F3864"/>
          <w:sz w:val="30"/>
          <w:szCs w:val="30"/>
        </w:rPr>
        <w:t>4. Failure Case</w:t>
      </w:r>
    </w:p>
    <w:p w14:paraId="2EE08CD0" w14:textId="77777777" w:rsidR="006961DE" w:rsidRDefault="006961DE">
      <w:pPr>
        <w:pBdr>
          <w:top w:val="single" w:sz="6" w:space="0" w:color="2E74B5"/>
        </w:pBdr>
        <w:spacing w:after="200"/>
      </w:pPr>
    </w:p>
    <w:p w14:paraId="7786DCD4" w14:textId="77777777" w:rsidR="006961DE" w:rsidRDefault="006961DE">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6961DE" w14:paraId="5EA0DE1D" w14:textId="77777777">
        <w:tc>
          <w:tcPr>
            <w:tcW w:w="0" w:type="auto"/>
            <w:tcBorders>
              <w:top w:val="single" w:sz="6" w:space="0" w:color="E8B4B4"/>
              <w:left w:val="single" w:sz="6" w:space="0" w:color="E8B4B4"/>
              <w:bottom w:val="single" w:sz="6" w:space="0" w:color="E8B4B4"/>
              <w:right w:val="single" w:sz="6" w:space="0" w:color="E8B4B4"/>
            </w:tcBorders>
            <w:shd w:val="clear" w:color="auto" w:fill="FDF2F2"/>
            <w:tcMar>
              <w:top w:w="180" w:type="dxa"/>
              <w:left w:w="240" w:type="dxa"/>
              <w:bottom w:w="180" w:type="dxa"/>
              <w:right w:w="240" w:type="dxa"/>
            </w:tcMar>
          </w:tcPr>
          <w:p w14:paraId="0BD2A5FB" w14:textId="77777777" w:rsidR="006961DE" w:rsidRDefault="003D5CCF">
            <w:pPr>
              <w:spacing w:after="120" w:line="360" w:lineRule="auto"/>
            </w:pPr>
            <w:r>
              <w:rPr>
                <w:rFonts w:ascii="Calibri" w:eastAsia="Calibri" w:hAnsi="Calibri" w:cs="Calibri"/>
                <w:b/>
                <w:bCs/>
                <w:color w:val="1F3864"/>
                <w:sz w:val="22"/>
                <w:szCs w:val="22"/>
              </w:rPr>
              <w:t>⚠</w:t>
            </w:r>
            <w:r>
              <w:rPr>
                <w:rFonts w:ascii="Calibri" w:eastAsia="Calibri" w:hAnsi="Calibri" w:cs="Calibri"/>
                <w:b/>
                <w:bCs/>
                <w:color w:val="1F3864"/>
                <w:sz w:val="22"/>
                <w:szCs w:val="22"/>
              </w:rPr>
              <w:t xml:space="preserve"> Failure Scenario: Site A Temporarily Unavailable</w:t>
            </w:r>
          </w:p>
          <w:p w14:paraId="2B36567E" w14:textId="48632513" w:rsidR="006961DE" w:rsidRDefault="003D5CCF">
            <w:pPr>
              <w:spacing w:line="360" w:lineRule="auto"/>
            </w:pPr>
            <w:r>
              <w:rPr>
                <w:rFonts w:ascii="Calibri" w:eastAsia="Calibri" w:hAnsi="Calibri" w:cs="Calibri"/>
                <w:color w:val="000000"/>
                <w:sz w:val="22"/>
                <w:szCs w:val="22"/>
              </w:rPr>
              <w:t>The customer's first site becomes temporarily unavailable. The customer's traffic is automatically routed to their second site. Each PM domain faces a distinct risk during this window</w:t>
            </w:r>
            <w:r w:rsidR="00776199">
              <w:rPr>
                <w:rFonts w:ascii="Calibri" w:eastAsia="Calibri" w:hAnsi="Calibri" w:cs="Calibri"/>
                <w:color w:val="000000"/>
                <w:sz w:val="22"/>
                <w:szCs w:val="22"/>
              </w:rPr>
              <w:t xml:space="preserve">: </w:t>
            </w:r>
            <w:r>
              <w:rPr>
                <w:rFonts w:ascii="Calibri" w:eastAsia="Calibri" w:hAnsi="Calibri" w:cs="Calibri"/>
                <w:color w:val="000000"/>
                <w:sz w:val="22"/>
                <w:szCs w:val="22"/>
              </w:rPr>
              <w:t>risks that the PM group identified and mitigated before the second site was enabled.</w:t>
            </w:r>
          </w:p>
        </w:tc>
      </w:tr>
    </w:tbl>
    <w:p w14:paraId="5C75DD2B" w14:textId="77777777" w:rsidR="006961DE" w:rsidRDefault="006961DE">
      <w:pPr>
        <w:spacing w:after="240"/>
      </w:pPr>
    </w:p>
    <w:p w14:paraId="30B2A445" w14:textId="77777777" w:rsidR="006961DE" w:rsidRDefault="006961DE">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949"/>
        <w:gridCol w:w="3071"/>
        <w:gridCol w:w="1072"/>
        <w:gridCol w:w="3258"/>
      </w:tblGrid>
      <w:tr w:rsidR="006961DE" w14:paraId="223333A8" w14:textId="77777777">
        <w:trPr>
          <w:tblHeader/>
        </w:trPr>
        <w:tc>
          <w:tcPr>
            <w:tcW w:w="1050" w:type="pct"/>
            <w:shd w:val="clear" w:color="auto" w:fill="1F3864"/>
            <w:tcMar>
              <w:top w:w="90" w:type="dxa"/>
              <w:left w:w="135" w:type="dxa"/>
              <w:bottom w:w="90" w:type="dxa"/>
              <w:right w:w="135" w:type="dxa"/>
            </w:tcMar>
          </w:tcPr>
          <w:p w14:paraId="5054C940" w14:textId="77777777" w:rsidR="006961DE" w:rsidRDefault="003D5CCF">
            <w:r>
              <w:rPr>
                <w:rFonts w:ascii="Calibri" w:eastAsia="Calibri" w:hAnsi="Calibri" w:cs="Calibri"/>
                <w:b/>
                <w:bCs/>
                <w:color w:val="FFFFFF"/>
                <w:sz w:val="22"/>
                <w:szCs w:val="22"/>
              </w:rPr>
              <w:t>Failure Point</w:t>
            </w:r>
          </w:p>
        </w:tc>
        <w:tc>
          <w:tcPr>
            <w:tcW w:w="1650" w:type="pct"/>
            <w:shd w:val="clear" w:color="auto" w:fill="1F3864"/>
            <w:tcMar>
              <w:top w:w="90" w:type="dxa"/>
              <w:left w:w="135" w:type="dxa"/>
              <w:bottom w:w="90" w:type="dxa"/>
              <w:right w:w="135" w:type="dxa"/>
            </w:tcMar>
          </w:tcPr>
          <w:p w14:paraId="5FB98273" w14:textId="77777777" w:rsidR="006961DE" w:rsidRDefault="003D5CCF">
            <w:r>
              <w:rPr>
                <w:rFonts w:ascii="Calibri" w:eastAsia="Calibri" w:hAnsi="Calibri" w:cs="Calibri"/>
                <w:b/>
                <w:bCs/>
                <w:color w:val="FFFFFF"/>
                <w:sz w:val="22"/>
                <w:szCs w:val="22"/>
              </w:rPr>
              <w:t>Impact</w:t>
            </w:r>
          </w:p>
        </w:tc>
        <w:tc>
          <w:tcPr>
            <w:tcW w:w="550" w:type="pct"/>
            <w:shd w:val="clear" w:color="auto" w:fill="1F3864"/>
            <w:tcMar>
              <w:top w:w="90" w:type="dxa"/>
              <w:left w:w="135" w:type="dxa"/>
              <w:bottom w:w="90" w:type="dxa"/>
              <w:right w:w="135" w:type="dxa"/>
            </w:tcMar>
          </w:tcPr>
          <w:p w14:paraId="6ACE6CB0" w14:textId="77777777" w:rsidR="006961DE" w:rsidRDefault="003D5CCF">
            <w:r>
              <w:rPr>
                <w:rFonts w:ascii="Calibri" w:eastAsia="Calibri" w:hAnsi="Calibri" w:cs="Calibri"/>
                <w:b/>
                <w:bCs/>
                <w:color w:val="FFFFFF"/>
                <w:sz w:val="22"/>
                <w:szCs w:val="22"/>
              </w:rPr>
              <w:t>PM Owner</w:t>
            </w:r>
          </w:p>
        </w:tc>
        <w:tc>
          <w:tcPr>
            <w:tcW w:w="1750" w:type="pct"/>
            <w:shd w:val="clear" w:color="auto" w:fill="1F3864"/>
            <w:tcMar>
              <w:top w:w="90" w:type="dxa"/>
              <w:left w:w="135" w:type="dxa"/>
              <w:bottom w:w="90" w:type="dxa"/>
              <w:right w:w="135" w:type="dxa"/>
            </w:tcMar>
          </w:tcPr>
          <w:p w14:paraId="0C2C7FE5" w14:textId="77777777" w:rsidR="006961DE" w:rsidRDefault="003D5CCF">
            <w:r>
              <w:rPr>
                <w:rFonts w:ascii="Calibri" w:eastAsia="Calibri" w:hAnsi="Calibri" w:cs="Calibri"/>
                <w:b/>
                <w:bCs/>
                <w:color w:val="FFFFFF"/>
                <w:sz w:val="22"/>
                <w:szCs w:val="22"/>
              </w:rPr>
              <w:t>Mitigation</w:t>
            </w:r>
          </w:p>
        </w:tc>
      </w:tr>
      <w:tr w:rsidR="006961DE" w14:paraId="38FD1358" w14:textId="77777777">
        <w:tc>
          <w:tcPr>
            <w:tcW w:w="1050" w:type="pct"/>
            <w:tcMar>
              <w:top w:w="90" w:type="dxa"/>
              <w:left w:w="135" w:type="dxa"/>
              <w:bottom w:w="90" w:type="dxa"/>
              <w:right w:w="135" w:type="dxa"/>
            </w:tcMar>
          </w:tcPr>
          <w:p w14:paraId="2151881A" w14:textId="77777777" w:rsidR="006961DE" w:rsidRDefault="003D5CCF">
            <w:r>
              <w:rPr>
                <w:rFonts w:ascii="Calibri" w:eastAsia="Calibri" w:hAnsi="Calibri" w:cs="Calibri"/>
                <w:b/>
                <w:bCs/>
                <w:color w:val="000000"/>
                <w:sz w:val="22"/>
                <w:szCs w:val="22"/>
              </w:rPr>
              <w:t>Customer's second site serving stale product data</w:t>
            </w:r>
          </w:p>
        </w:tc>
        <w:tc>
          <w:tcPr>
            <w:tcW w:w="1650" w:type="pct"/>
            <w:tcMar>
              <w:top w:w="90" w:type="dxa"/>
              <w:left w:w="135" w:type="dxa"/>
              <w:bottom w:w="90" w:type="dxa"/>
              <w:right w:w="135" w:type="dxa"/>
            </w:tcMar>
          </w:tcPr>
          <w:p w14:paraId="4FDF1FA4" w14:textId="77777777" w:rsidR="006961DE" w:rsidRDefault="003D5CCF">
            <w:r>
              <w:rPr>
                <w:rFonts w:ascii="Calibri" w:eastAsia="Calibri" w:hAnsi="Calibri" w:cs="Calibri"/>
                <w:color w:val="000000"/>
                <w:sz w:val="22"/>
                <w:szCs w:val="22"/>
              </w:rPr>
              <w:t>Customer sees incorrect product information when routed to their second site</w:t>
            </w:r>
          </w:p>
        </w:tc>
        <w:tc>
          <w:tcPr>
            <w:tcW w:w="550" w:type="pct"/>
            <w:tcMar>
              <w:top w:w="90" w:type="dxa"/>
              <w:left w:w="135" w:type="dxa"/>
              <w:bottom w:w="90" w:type="dxa"/>
              <w:right w:w="135" w:type="dxa"/>
            </w:tcMar>
          </w:tcPr>
          <w:p w14:paraId="3DCDBA62" w14:textId="77777777" w:rsidR="006961DE" w:rsidRDefault="003D5CCF">
            <w:r>
              <w:rPr>
                <w:rFonts w:ascii="Calibri" w:eastAsia="Calibri" w:hAnsi="Calibri" w:cs="Calibri"/>
                <w:color w:val="000000"/>
                <w:sz w:val="22"/>
                <w:szCs w:val="22"/>
              </w:rPr>
              <w:t>SKU PM</w:t>
            </w:r>
          </w:p>
        </w:tc>
        <w:tc>
          <w:tcPr>
            <w:tcW w:w="1750" w:type="pct"/>
            <w:tcMar>
              <w:top w:w="90" w:type="dxa"/>
              <w:left w:w="135" w:type="dxa"/>
              <w:bottom w:w="90" w:type="dxa"/>
              <w:right w:w="135" w:type="dxa"/>
            </w:tcMar>
          </w:tcPr>
          <w:p w14:paraId="18741958" w14:textId="77777777" w:rsidR="006961DE" w:rsidRDefault="003D5CCF">
            <w:r>
              <w:rPr>
                <w:rFonts w:ascii="Calibri" w:eastAsia="Calibri" w:hAnsi="Calibri" w:cs="Calibri"/>
                <w:color w:val="000000"/>
                <w:sz w:val="22"/>
                <w:szCs w:val="22"/>
              </w:rPr>
              <w:t>Product data consistency across the customer's two sites verified before second-site go-live</w:t>
            </w:r>
          </w:p>
        </w:tc>
      </w:tr>
      <w:tr w:rsidR="006961DE" w14:paraId="3CE581F5" w14:textId="77777777">
        <w:tc>
          <w:tcPr>
            <w:tcW w:w="1050" w:type="pct"/>
            <w:tcMar>
              <w:top w:w="90" w:type="dxa"/>
              <w:left w:w="135" w:type="dxa"/>
              <w:bottom w:w="90" w:type="dxa"/>
              <w:right w:w="135" w:type="dxa"/>
            </w:tcMar>
          </w:tcPr>
          <w:p w14:paraId="5FDBF0A8" w14:textId="77777777" w:rsidR="006961DE" w:rsidRDefault="003D5CCF">
            <w:r>
              <w:rPr>
                <w:rFonts w:ascii="Calibri" w:eastAsia="Calibri" w:hAnsi="Calibri" w:cs="Calibri"/>
                <w:b/>
                <w:bCs/>
                <w:color w:val="000000"/>
                <w:sz w:val="22"/>
                <w:szCs w:val="22"/>
              </w:rPr>
              <w:t>Report data incomplete or inaccurate</w:t>
            </w:r>
          </w:p>
        </w:tc>
        <w:tc>
          <w:tcPr>
            <w:tcW w:w="1650" w:type="pct"/>
            <w:tcMar>
              <w:top w:w="90" w:type="dxa"/>
              <w:left w:w="135" w:type="dxa"/>
              <w:bottom w:w="90" w:type="dxa"/>
              <w:right w:w="135" w:type="dxa"/>
            </w:tcMar>
          </w:tcPr>
          <w:p w14:paraId="13AC4722" w14:textId="77777777" w:rsidR="006961DE" w:rsidRDefault="003D5CCF">
            <w:r>
              <w:rPr>
                <w:rFonts w:ascii="Calibri" w:eastAsia="Calibri" w:hAnsi="Calibri" w:cs="Calibri"/>
                <w:color w:val="000000"/>
                <w:sz w:val="22"/>
                <w:szCs w:val="22"/>
              </w:rPr>
              <w:t>Customer's dashboard shows gaps or wrong order data after being routed to their second site</w:t>
            </w:r>
          </w:p>
        </w:tc>
        <w:tc>
          <w:tcPr>
            <w:tcW w:w="550" w:type="pct"/>
            <w:tcMar>
              <w:top w:w="90" w:type="dxa"/>
              <w:left w:w="135" w:type="dxa"/>
              <w:bottom w:w="90" w:type="dxa"/>
              <w:right w:w="135" w:type="dxa"/>
            </w:tcMar>
          </w:tcPr>
          <w:p w14:paraId="53319E9E" w14:textId="77777777" w:rsidR="006961DE" w:rsidRDefault="003D5CCF">
            <w:r>
              <w:rPr>
                <w:rFonts w:ascii="Calibri" w:eastAsia="Calibri" w:hAnsi="Calibri" w:cs="Calibri"/>
                <w:color w:val="000000"/>
                <w:sz w:val="22"/>
                <w:szCs w:val="22"/>
              </w:rPr>
              <w:t>Analytics PM</w:t>
            </w:r>
          </w:p>
        </w:tc>
        <w:tc>
          <w:tcPr>
            <w:tcW w:w="1750" w:type="pct"/>
            <w:tcMar>
              <w:top w:w="90" w:type="dxa"/>
              <w:left w:w="135" w:type="dxa"/>
              <w:bottom w:w="90" w:type="dxa"/>
              <w:right w:w="135" w:type="dxa"/>
            </w:tcMar>
          </w:tcPr>
          <w:p w14:paraId="319F073D" w14:textId="77777777" w:rsidR="006961DE" w:rsidRDefault="003D5CCF">
            <w:r>
              <w:rPr>
                <w:rFonts w:ascii="Calibri" w:eastAsia="Calibri" w:hAnsi="Calibri" w:cs="Calibri"/>
                <w:color w:val="000000"/>
                <w:sz w:val="22"/>
                <w:szCs w:val="22"/>
              </w:rPr>
              <w:t>Analytics PM confirms report accuracy across both of the customer's sites before second-site go-live</w:t>
            </w:r>
          </w:p>
        </w:tc>
      </w:tr>
    </w:tbl>
    <w:p w14:paraId="4BB762D4" w14:textId="77777777" w:rsidR="006961DE" w:rsidRDefault="006961DE">
      <w:pPr>
        <w:spacing w:after="200"/>
      </w:pPr>
    </w:p>
    <w:p w14:paraId="55573C27" w14:textId="77777777" w:rsidR="006961DE" w:rsidRDefault="006961DE">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6961DE" w14:paraId="56EB38CC" w14:textId="77777777">
        <w:tc>
          <w:tcPr>
            <w:tcW w:w="0" w:type="auto"/>
            <w:tcBorders>
              <w:top w:val="single" w:sz="6" w:space="0" w:color="B4CCAA"/>
              <w:left w:val="single" w:sz="6" w:space="0" w:color="B4CCAA"/>
              <w:bottom w:val="single" w:sz="6" w:space="0" w:color="B4CCAA"/>
              <w:right w:val="single" w:sz="6" w:space="0" w:color="B4CCAA"/>
            </w:tcBorders>
            <w:shd w:val="clear" w:color="auto" w:fill="F0F5ED"/>
            <w:tcMar>
              <w:top w:w="180" w:type="dxa"/>
              <w:left w:w="240" w:type="dxa"/>
              <w:bottom w:w="180" w:type="dxa"/>
              <w:right w:w="240" w:type="dxa"/>
            </w:tcMar>
          </w:tcPr>
          <w:p w14:paraId="0EAB758B" w14:textId="77777777" w:rsidR="006961DE" w:rsidRDefault="003D5CCF">
            <w:pPr>
              <w:spacing w:after="120" w:line="360" w:lineRule="auto"/>
            </w:pPr>
            <w:r>
              <w:rPr>
                <w:rFonts w:ascii="Calibri" w:eastAsia="Calibri" w:hAnsi="Calibri" w:cs="Calibri"/>
                <w:b/>
                <w:bCs/>
                <w:color w:val="1F3864"/>
                <w:sz w:val="22"/>
                <w:szCs w:val="22"/>
              </w:rPr>
              <w:t>📄</w:t>
            </w:r>
            <w:r>
              <w:rPr>
                <w:rFonts w:ascii="Calibri" w:eastAsia="Calibri" w:hAnsi="Calibri" w:cs="Calibri"/>
                <w:b/>
                <w:bCs/>
                <w:color w:val="1F3864"/>
                <w:sz w:val="22"/>
                <w:szCs w:val="22"/>
              </w:rPr>
              <w:t xml:space="preserve"> Recovery Protocol</w:t>
            </w:r>
          </w:p>
          <w:p w14:paraId="62C91303" w14:textId="3B811E50" w:rsidR="006961DE" w:rsidRDefault="003D5CCF">
            <w:pPr>
              <w:spacing w:line="360" w:lineRule="auto"/>
            </w:pPr>
            <w:r>
              <w:rPr>
                <w:rFonts w:ascii="Calibri" w:eastAsia="Calibri" w:hAnsi="Calibri" w:cs="Calibri"/>
                <w:color w:val="000000"/>
                <w:sz w:val="22"/>
                <w:szCs w:val="22"/>
              </w:rPr>
              <w:t xml:space="preserve">When the customer has an issue, the run-the-business customer support teams handle the escalation </w:t>
            </w:r>
            <w:r w:rsidR="00B47375">
              <w:rPr>
                <w:rFonts w:ascii="Calibri" w:eastAsia="Calibri" w:hAnsi="Calibri" w:cs="Calibri"/>
                <w:color w:val="000000"/>
                <w:sz w:val="22"/>
                <w:szCs w:val="22"/>
              </w:rPr>
              <w:t>(</w:t>
            </w:r>
            <w:r>
              <w:rPr>
                <w:rFonts w:ascii="Calibri" w:eastAsia="Calibri" w:hAnsi="Calibri" w:cs="Calibri"/>
                <w:color w:val="000000"/>
                <w:sz w:val="22"/>
                <w:szCs w:val="22"/>
              </w:rPr>
              <w:t>not the PM group</w:t>
            </w:r>
            <w:r w:rsidR="00B47375">
              <w:rPr>
                <w:rFonts w:ascii="Calibri" w:eastAsia="Calibri" w:hAnsi="Calibri" w:cs="Calibri"/>
                <w:color w:val="000000"/>
                <w:sz w:val="22"/>
                <w:szCs w:val="22"/>
              </w:rPr>
              <w:t>)</w:t>
            </w:r>
            <w:r>
              <w:rPr>
                <w:rFonts w:ascii="Calibri" w:eastAsia="Calibri" w:hAnsi="Calibri" w:cs="Calibri"/>
                <w:color w:val="000000"/>
                <w:sz w:val="22"/>
                <w:szCs w:val="22"/>
              </w:rPr>
              <w:t>. The PM group's role is to monitor whether support teams can handle the escalation through normal paths without needing PM involvement. The runbook the PM group contributed to before launch is what equips support teams to resolve issues at the customer's two sites without escalating to PMs.</w:t>
            </w:r>
          </w:p>
        </w:tc>
      </w:tr>
    </w:tbl>
    <w:p w14:paraId="18EEDABB" w14:textId="77777777" w:rsidR="006961DE" w:rsidRDefault="006961DE">
      <w:pPr>
        <w:spacing w:after="240"/>
      </w:pPr>
    </w:p>
    <w:p w14:paraId="1E49EBA3" w14:textId="16325370" w:rsidR="00490FD7" w:rsidRDefault="003D5CCF" w:rsidP="00B068EA">
      <w:pPr>
        <w:pStyle w:val="Heading2"/>
        <w:pBdr>
          <w:bottom w:val="single" w:sz="12" w:space="0" w:color="2E74B5"/>
        </w:pBdr>
        <w:shd w:val="clear" w:color="auto" w:fill="EEF3FB"/>
        <w:spacing w:before="440" w:after="100" w:line="312" w:lineRule="auto"/>
      </w:pPr>
      <w:r w:rsidRPr="00B068EA">
        <w:rPr>
          <w:rFonts w:ascii="Calibri" w:hAnsi="Calibri" w:cs="Calibri"/>
          <w:color w:val="1F3864"/>
          <w:sz w:val="30"/>
          <w:szCs w:val="30"/>
        </w:rPr>
        <w:t>5. Early Walkthrough Steps</w:t>
      </w:r>
    </w:p>
    <w:p w14:paraId="14E18C6E" w14:textId="77777777" w:rsidR="006961DE" w:rsidRDefault="006961DE">
      <w:pPr>
        <w:pBdr>
          <w:top w:val="single" w:sz="6" w:space="0" w:color="2E74B5"/>
        </w:pBdr>
        <w:spacing w:after="200"/>
      </w:pPr>
    </w:p>
    <w:p w14:paraId="2BD524FD" w14:textId="25CB2321" w:rsidR="006961DE" w:rsidRDefault="00B41381">
      <w:pPr>
        <w:spacing w:before="60" w:after="120" w:line="360" w:lineRule="auto"/>
      </w:pPr>
      <w:r>
        <w:rPr>
          <w:rFonts w:ascii="Calibri" w:eastAsia="Calibri" w:hAnsi="Calibri" w:cs="Calibri"/>
          <w:color w:val="000000"/>
          <w:sz w:val="22"/>
          <w:szCs w:val="22"/>
        </w:rPr>
        <w:t xml:space="preserve">Based on the use cases, PMs </w:t>
      </w:r>
      <w:r w:rsidR="00A448A9">
        <w:rPr>
          <w:rFonts w:ascii="Calibri" w:eastAsia="Calibri" w:hAnsi="Calibri" w:cs="Calibri"/>
          <w:color w:val="000000"/>
          <w:sz w:val="22"/>
          <w:szCs w:val="22"/>
        </w:rPr>
        <w:t>walked through</w:t>
      </w:r>
      <w:r w:rsidR="00936E82">
        <w:rPr>
          <w:rFonts w:ascii="Calibri" w:eastAsia="Calibri" w:hAnsi="Calibri" w:cs="Calibri"/>
          <w:color w:val="000000"/>
          <w:sz w:val="22"/>
          <w:szCs w:val="22"/>
        </w:rPr>
        <w:t xml:space="preserve"> the customer</w:t>
      </w:r>
      <w:r w:rsidR="00B55190">
        <w:rPr>
          <w:rFonts w:ascii="Calibri" w:eastAsia="Calibri" w:hAnsi="Calibri" w:cs="Calibri"/>
          <w:color w:val="000000"/>
          <w:sz w:val="22"/>
          <w:szCs w:val="22"/>
        </w:rPr>
        <w:t>’s experience together</w:t>
      </w:r>
      <w:r>
        <w:rPr>
          <w:rFonts w:ascii="Calibri" w:eastAsia="Calibri" w:hAnsi="Calibri" w:cs="Calibri"/>
          <w:color w:val="000000"/>
          <w:sz w:val="22"/>
          <w:szCs w:val="22"/>
        </w:rPr>
        <w:t xml:space="preserve">. </w:t>
      </w:r>
      <w:r w:rsidR="00F266BF">
        <w:rPr>
          <w:rFonts w:ascii="Calibri" w:eastAsia="Calibri" w:hAnsi="Calibri" w:cs="Calibri"/>
          <w:color w:val="000000"/>
          <w:sz w:val="22"/>
          <w:szCs w:val="22"/>
        </w:rPr>
        <w:t xml:space="preserve"> All four PMs traced the end-to-end customer experience step by step</w:t>
      </w:r>
    </w:p>
    <w:p w14:paraId="25E74488" w14:textId="77777777" w:rsidR="006961DE" w:rsidRDefault="003D5CCF" w:rsidP="005C5EB9">
      <w:pPr>
        <w:pStyle w:val="ListParagraph"/>
        <w:numPr>
          <w:ilvl w:val="0"/>
          <w:numId w:val="7"/>
        </w:numPr>
        <w:spacing w:after="60" w:line="408" w:lineRule="auto"/>
      </w:pPr>
      <w:r>
        <w:rPr>
          <w:rFonts w:ascii="Calibri" w:eastAsia="Calibri" w:hAnsi="Calibri" w:cs="Calibri"/>
          <w:b/>
          <w:bCs/>
          <w:color w:val="000000"/>
          <w:sz w:val="22"/>
          <w:szCs w:val="22"/>
        </w:rPr>
        <w:t>Align on the data model for the customer's two-site deployment</w:t>
      </w:r>
      <w:r>
        <w:rPr>
          <w:rFonts w:ascii="Calibri" w:eastAsia="Calibri" w:hAnsi="Calibri" w:cs="Calibri"/>
          <w:color w:val="000000"/>
          <w:sz w:val="22"/>
          <w:szCs w:val="22"/>
        </w:rPr>
        <w:t xml:space="preserve"> — SKU PM shared how product data is structured and served across both of the customer's sites. All PMs confirmed their systems behave correctly when the customer is served from either of their sites.</w:t>
      </w:r>
    </w:p>
    <w:p w14:paraId="343CC9EF" w14:textId="77777777" w:rsidR="006961DE" w:rsidRDefault="003D5CCF" w:rsidP="005C5EB9">
      <w:pPr>
        <w:pStyle w:val="ListParagraph"/>
        <w:numPr>
          <w:ilvl w:val="0"/>
          <w:numId w:val="7"/>
        </w:numPr>
        <w:spacing w:after="60" w:line="408" w:lineRule="auto"/>
      </w:pPr>
      <w:r>
        <w:rPr>
          <w:rFonts w:ascii="Calibri" w:eastAsia="Calibri" w:hAnsi="Calibri" w:cs="Calibri"/>
          <w:b/>
          <w:bCs/>
          <w:color w:val="000000"/>
          <w:sz w:val="22"/>
          <w:szCs w:val="22"/>
        </w:rPr>
        <w:t>Confirm report accuracy jointly</w:t>
      </w:r>
      <w:r>
        <w:rPr>
          <w:rFonts w:ascii="Calibri" w:eastAsia="Calibri" w:hAnsi="Calibri" w:cs="Calibri"/>
          <w:color w:val="000000"/>
          <w:sz w:val="22"/>
          <w:szCs w:val="22"/>
        </w:rPr>
        <w:t xml:space="preserve"> — Analytics PM demonstrated the customer's reporting view to the full group. PMs confirmed together that the report is accurate and complete regardless of which of the customer's two sites handled the order.</w:t>
      </w:r>
    </w:p>
    <w:p w14:paraId="1B1B95F7" w14:textId="77777777" w:rsidR="006961DE" w:rsidRDefault="003D5CCF" w:rsidP="005C5EB9">
      <w:pPr>
        <w:pStyle w:val="ListParagraph"/>
        <w:numPr>
          <w:ilvl w:val="0"/>
          <w:numId w:val="7"/>
        </w:numPr>
        <w:spacing w:after="60" w:line="408" w:lineRule="auto"/>
      </w:pPr>
      <w:r>
        <w:rPr>
          <w:rFonts w:ascii="Calibri" w:eastAsia="Calibri" w:hAnsi="Calibri" w:cs="Calibri"/>
          <w:b/>
          <w:bCs/>
          <w:color w:val="000000"/>
          <w:sz w:val="22"/>
          <w:szCs w:val="22"/>
        </w:rPr>
        <w:t>Outbound PM brings the customer invitation to the group for review</w:t>
      </w:r>
      <w:r>
        <w:rPr>
          <w:rFonts w:ascii="Calibri" w:eastAsia="Calibri" w:hAnsi="Calibri" w:cs="Calibri"/>
          <w:color w:val="000000"/>
          <w:sz w:val="22"/>
          <w:szCs w:val="22"/>
        </w:rPr>
        <w:t xml:space="preserve"> — The Outbound PM prepares the invitation that will go to early customers and presents it during the walkthrough session. The group reviews it together and confirms it accurately describes the feature — what it does, what the customer will experience, and what they are being asked to try. This review happens before the invite is sent; the walkthrough is the checkpoint.</w:t>
      </w:r>
    </w:p>
    <w:p w14:paraId="0C54EACB" w14:textId="77777777" w:rsidR="006961DE" w:rsidRDefault="003D5CCF" w:rsidP="005C5EB9">
      <w:pPr>
        <w:pStyle w:val="ListParagraph"/>
        <w:numPr>
          <w:ilvl w:val="0"/>
          <w:numId w:val="7"/>
        </w:numPr>
        <w:spacing w:after="60" w:line="408" w:lineRule="auto"/>
      </w:pPr>
      <w:r>
        <w:rPr>
          <w:rFonts w:ascii="Calibri" w:eastAsia="Calibri" w:hAnsi="Calibri" w:cs="Calibri"/>
          <w:b/>
          <w:bCs/>
          <w:color w:val="000000"/>
          <w:sz w:val="22"/>
          <w:szCs w:val="22"/>
        </w:rPr>
        <w:t>Outbound PM sends the invite; early customers try the feature and give feedback</w:t>
      </w:r>
      <w:r>
        <w:rPr>
          <w:rFonts w:ascii="Calibri" w:eastAsia="Calibri" w:hAnsi="Calibri" w:cs="Calibri"/>
          <w:color w:val="000000"/>
          <w:sz w:val="22"/>
          <w:szCs w:val="22"/>
        </w:rPr>
        <w:t xml:space="preserve"> — With the invitation confirmed by the group, the Outbound PM sends it to a small set of existing customers. These customers try an early version of the feature. Their feedback is positive — the </w:t>
      </w:r>
      <w:r>
        <w:rPr>
          <w:rFonts w:ascii="Calibri" w:eastAsia="Calibri" w:hAnsi="Calibri" w:cs="Calibri"/>
          <w:color w:val="000000"/>
          <w:sz w:val="22"/>
          <w:szCs w:val="22"/>
        </w:rPr>
        <w:lastRenderedPageBreak/>
        <w:t>experience is clear and meets their expectations. This feedback is collected and carried into the launch readiness review.</w:t>
      </w:r>
    </w:p>
    <w:p w14:paraId="30C01ADB" w14:textId="77777777" w:rsidR="006961DE" w:rsidRDefault="003D5CCF" w:rsidP="005C5EB9">
      <w:pPr>
        <w:pStyle w:val="ListParagraph"/>
        <w:numPr>
          <w:ilvl w:val="0"/>
          <w:numId w:val="7"/>
        </w:numPr>
        <w:spacing w:after="60" w:line="408" w:lineRule="auto"/>
      </w:pPr>
      <w:r>
        <w:rPr>
          <w:rFonts w:ascii="Calibri" w:eastAsia="Calibri" w:hAnsi="Calibri" w:cs="Calibri"/>
          <w:b/>
          <w:bCs/>
          <w:color w:val="000000"/>
          <w:sz w:val="22"/>
          <w:szCs w:val="22"/>
        </w:rPr>
        <w:t>Simulate a transition between the customer's two sites</w:t>
      </w:r>
      <w:r>
        <w:rPr>
          <w:rFonts w:ascii="Calibri" w:eastAsia="Calibri" w:hAnsi="Calibri" w:cs="Calibri"/>
          <w:color w:val="000000"/>
          <w:sz w:val="22"/>
          <w:szCs w:val="22"/>
        </w:rPr>
        <w:t xml:space="preserve"> — All PMs traced the customer experience through a scenario in which the customer's traffic moves from their first site to their second site, identifying any gaps in data, reporting, or notification behavior before go-live.</w:t>
      </w:r>
    </w:p>
    <w:p w14:paraId="54D3045F" w14:textId="155E8FB6" w:rsidR="006961DE" w:rsidRDefault="003D5CCF" w:rsidP="005C5EB9">
      <w:pPr>
        <w:pStyle w:val="ListParagraph"/>
        <w:numPr>
          <w:ilvl w:val="0"/>
          <w:numId w:val="7"/>
        </w:numPr>
        <w:spacing w:after="60" w:line="408" w:lineRule="auto"/>
      </w:pPr>
      <w:r>
        <w:rPr>
          <w:rFonts w:ascii="Calibri" w:eastAsia="Calibri" w:hAnsi="Calibri" w:cs="Calibri"/>
          <w:b/>
          <w:bCs/>
          <w:color w:val="000000"/>
          <w:sz w:val="22"/>
          <w:szCs w:val="22"/>
        </w:rPr>
        <w:t>Draft the runbook for support teams</w:t>
      </w:r>
      <w:r>
        <w:rPr>
          <w:rFonts w:ascii="Calibri" w:eastAsia="Calibri" w:hAnsi="Calibri" w:cs="Calibri"/>
          <w:color w:val="000000"/>
          <w:sz w:val="22"/>
          <w:szCs w:val="22"/>
        </w:rPr>
        <w:t xml:space="preserve"> — Each PM contributed their section, written to equip customer support teams to handle escalations involving the customer's two-site deployment. The runbook describes what the customer experiences during an incident and what steps restore their view to accurate and consistent, so that support teams can resolve issues without escalating to the PM group.</w:t>
      </w:r>
    </w:p>
    <w:p w14:paraId="3E5B8EEC" w14:textId="62C959E2" w:rsidR="00490FD7" w:rsidRDefault="003D5CCF" w:rsidP="005A0D5F">
      <w:pPr>
        <w:pStyle w:val="Heading2"/>
        <w:pBdr>
          <w:bottom w:val="single" w:sz="12" w:space="0" w:color="2E74B5"/>
        </w:pBdr>
        <w:shd w:val="clear" w:color="auto" w:fill="EEF3FB"/>
        <w:spacing w:before="440" w:after="100" w:line="312" w:lineRule="auto"/>
      </w:pPr>
      <w:r w:rsidRPr="005A0D5F">
        <w:rPr>
          <w:rFonts w:ascii="Calibri" w:hAnsi="Calibri" w:cs="Calibri"/>
          <w:color w:val="1F3864"/>
          <w:sz w:val="30"/>
          <w:szCs w:val="30"/>
        </w:rPr>
        <w:t>6. Key Findings</w:t>
      </w:r>
    </w:p>
    <w:p w14:paraId="5986C87A" w14:textId="77777777" w:rsidR="006961DE" w:rsidRDefault="006961DE">
      <w:pPr>
        <w:pBdr>
          <w:top w:val="single" w:sz="6" w:space="0" w:color="2E74B5"/>
        </w:pBdr>
        <w:spacing w:after="200"/>
      </w:pPr>
    </w:p>
    <w:p w14:paraId="22C5DADF" w14:textId="77777777" w:rsidR="006961DE" w:rsidRDefault="003D5CCF">
      <w:pPr>
        <w:spacing w:before="60" w:after="120" w:line="360" w:lineRule="auto"/>
      </w:pPr>
      <w:r>
        <w:rPr>
          <w:rFonts w:ascii="Calibri" w:eastAsia="Calibri" w:hAnsi="Calibri" w:cs="Calibri"/>
          <w:color w:val="000000"/>
          <w:sz w:val="22"/>
          <w:szCs w:val="22"/>
        </w:rPr>
        <w:t>The following findings emerged from walkthroughs, tabletop simulations, and pre-development alignment sessions conducted across all four PM domains.</w:t>
      </w:r>
    </w:p>
    <w:p w14:paraId="1B6A5BBB" w14:textId="77777777" w:rsidR="006961DE" w:rsidRDefault="003D5CCF">
      <w:pPr>
        <w:pStyle w:val="ListParagraph"/>
        <w:numPr>
          <w:ilvl w:val="0"/>
          <w:numId w:val="1"/>
        </w:numPr>
        <w:spacing w:after="60" w:line="408" w:lineRule="auto"/>
      </w:pPr>
      <w:r>
        <w:rPr>
          <w:rFonts w:ascii="Calibri" w:eastAsia="Calibri" w:hAnsi="Calibri" w:cs="Calibri"/>
          <w:b/>
          <w:bCs/>
          <w:color w:val="000000"/>
          <w:sz w:val="22"/>
          <w:szCs w:val="22"/>
        </w:rPr>
        <w:t>The joint walkthrough surfaced gaps that isolated review missed.</w:t>
      </w:r>
      <w:r>
        <w:rPr>
          <w:rFonts w:ascii="Calibri" w:eastAsia="Calibri" w:hAnsi="Calibri" w:cs="Calibri"/>
          <w:color w:val="000000"/>
          <w:sz w:val="22"/>
          <w:szCs w:val="22"/>
        </w:rPr>
        <w:t xml:space="preserve"> When PMs traced the customer journey together rather than reviewing their own domains in parallel, they identified two handoff assumptions that would have caused data inconsistency at launch. Both were resolved before go-live.</w:t>
      </w:r>
    </w:p>
    <w:p w14:paraId="5A4DC9AF" w14:textId="77777777" w:rsidR="006961DE" w:rsidRDefault="003D5CCF">
      <w:pPr>
        <w:pStyle w:val="ListParagraph"/>
        <w:numPr>
          <w:ilvl w:val="0"/>
          <w:numId w:val="1"/>
        </w:numPr>
        <w:spacing w:after="60" w:line="408" w:lineRule="auto"/>
      </w:pPr>
      <w:r>
        <w:rPr>
          <w:rFonts w:ascii="Calibri" w:eastAsia="Calibri" w:hAnsi="Calibri" w:cs="Calibri"/>
          <w:b/>
          <w:bCs/>
          <w:color w:val="000000"/>
          <w:sz w:val="22"/>
          <w:szCs w:val="22"/>
        </w:rPr>
        <w:t>Report accuracy required a joint confirmation step, not just individual testing.</w:t>
      </w:r>
      <w:r>
        <w:rPr>
          <w:rFonts w:ascii="Calibri" w:eastAsia="Calibri" w:hAnsi="Calibri" w:cs="Calibri"/>
          <w:color w:val="000000"/>
          <w:sz w:val="22"/>
          <w:szCs w:val="22"/>
        </w:rPr>
        <w:t xml:space="preserve"> Each PM's system tested correctly in isolation. It was only when Analytics PM demonstrated the full reporting view to the group that a cross-site data gap became visible. The walkthrough made this possible.</w:t>
      </w:r>
    </w:p>
    <w:p w14:paraId="753F139D" w14:textId="72649ABF" w:rsidR="006961DE" w:rsidRDefault="003D5CCF">
      <w:pPr>
        <w:pStyle w:val="ListParagraph"/>
        <w:numPr>
          <w:ilvl w:val="0"/>
          <w:numId w:val="1"/>
        </w:numPr>
        <w:spacing w:after="60" w:line="408" w:lineRule="auto"/>
      </w:pPr>
      <w:r>
        <w:rPr>
          <w:rFonts w:ascii="Calibri" w:eastAsia="Calibri" w:hAnsi="Calibri" w:cs="Calibri"/>
          <w:b/>
          <w:bCs/>
          <w:color w:val="000000"/>
          <w:sz w:val="22"/>
          <w:szCs w:val="22"/>
        </w:rPr>
        <w:t>Early customer feedback confirmed the feature experience before broad launch.</w:t>
      </w:r>
      <w:r>
        <w:rPr>
          <w:rFonts w:ascii="Calibri" w:eastAsia="Calibri" w:hAnsi="Calibri" w:cs="Calibri"/>
          <w:color w:val="000000"/>
          <w:sz w:val="22"/>
          <w:szCs w:val="22"/>
        </w:rPr>
        <w:t xml:space="preserve"> The Outbound PM brought the customer invitation to the group walkthrough, where it was reviewed and aligned to the feature. Once confirmed, the invite went to a small set of existing customers who tried an early version. Their feedback was good</w:t>
      </w:r>
      <w:r w:rsidR="00224959">
        <w:rPr>
          <w:rFonts w:ascii="Calibri" w:eastAsia="Calibri" w:hAnsi="Calibri" w:cs="Calibri"/>
          <w:color w:val="000000"/>
          <w:sz w:val="22"/>
          <w:szCs w:val="22"/>
        </w:rPr>
        <w:t xml:space="preserve">; </w:t>
      </w:r>
      <w:r>
        <w:rPr>
          <w:rFonts w:ascii="Calibri" w:eastAsia="Calibri" w:hAnsi="Calibri" w:cs="Calibri"/>
          <w:color w:val="000000"/>
          <w:sz w:val="22"/>
          <w:szCs w:val="22"/>
        </w:rPr>
        <w:t xml:space="preserve">the experience was clear and </w:t>
      </w:r>
      <w:r>
        <w:rPr>
          <w:rFonts w:ascii="Calibri" w:eastAsia="Calibri" w:hAnsi="Calibri" w:cs="Calibri"/>
          <w:color w:val="000000"/>
          <w:sz w:val="22"/>
          <w:szCs w:val="22"/>
        </w:rPr>
        <w:lastRenderedPageBreak/>
        <w:t>consistent with what the feature was designed to do. Carrying that feedback into the launch readiness review gave leadership a concrete signal, not just a PM group opinion.</w:t>
      </w:r>
    </w:p>
    <w:p w14:paraId="0FE07476" w14:textId="77777777" w:rsidR="006961DE" w:rsidRDefault="003D5CCF">
      <w:pPr>
        <w:pStyle w:val="ListParagraph"/>
        <w:numPr>
          <w:ilvl w:val="0"/>
          <w:numId w:val="1"/>
        </w:numPr>
        <w:spacing w:after="60" w:line="408" w:lineRule="auto"/>
      </w:pPr>
      <w:r>
        <w:rPr>
          <w:rFonts w:ascii="Calibri" w:eastAsia="Calibri" w:hAnsi="Calibri" w:cs="Calibri"/>
          <w:b/>
          <w:bCs/>
          <w:color w:val="000000"/>
          <w:sz w:val="22"/>
          <w:szCs w:val="22"/>
        </w:rPr>
        <w:t>Enabling the customer's second site is a precondition, not a tunable parameter.</w:t>
      </w:r>
      <w:r>
        <w:rPr>
          <w:rFonts w:ascii="Calibri" w:eastAsia="Calibri" w:hAnsi="Calibri" w:cs="Calibri"/>
          <w:color w:val="000000"/>
          <w:sz w:val="22"/>
          <w:szCs w:val="22"/>
        </w:rPr>
        <w:t xml:space="preserve"> The SKU PM's work to make the customer's second site consistent with their first needed to be complete before any other PM could validate their domain. Sequencing this first in the walkthrough prevented downstream confusion.</w:t>
      </w:r>
    </w:p>
    <w:p w14:paraId="30E08140" w14:textId="04E759DA" w:rsidR="006961DE" w:rsidRDefault="003D5CCF">
      <w:pPr>
        <w:pStyle w:val="ListParagraph"/>
        <w:numPr>
          <w:ilvl w:val="0"/>
          <w:numId w:val="1"/>
        </w:numPr>
        <w:spacing w:after="60" w:line="408" w:lineRule="auto"/>
      </w:pPr>
      <w:r>
        <w:rPr>
          <w:rFonts w:ascii="Calibri" w:eastAsia="Calibri" w:hAnsi="Calibri" w:cs="Calibri"/>
          <w:b/>
          <w:bCs/>
          <w:color w:val="000000"/>
          <w:sz w:val="22"/>
          <w:szCs w:val="22"/>
        </w:rPr>
        <w:t>The support team runbook surfaces who owns what at the seams.</w:t>
      </w:r>
      <w:r>
        <w:rPr>
          <w:rFonts w:ascii="Calibri" w:eastAsia="Calibri" w:hAnsi="Calibri" w:cs="Calibri"/>
          <w:color w:val="000000"/>
          <w:sz w:val="22"/>
          <w:szCs w:val="22"/>
        </w:rPr>
        <w:t xml:space="preserve"> Most potential incident failures involving the customer's two-site deployment lived at the boundary between two PM domains. Writing the runbook together revealed these boundary gaps and produced clearer escalation paths for support teams to follow without PM involvement.</w:t>
      </w:r>
    </w:p>
    <w:p w14:paraId="2FCB3870" w14:textId="01ACD57F" w:rsidR="00490FD7" w:rsidRDefault="003D5CCF" w:rsidP="00F80104">
      <w:pPr>
        <w:pStyle w:val="Heading2"/>
        <w:pBdr>
          <w:bottom w:val="single" w:sz="12" w:space="0" w:color="2E74B5"/>
        </w:pBdr>
        <w:shd w:val="clear" w:color="auto" w:fill="EEF3FB"/>
        <w:spacing w:before="440" w:after="100" w:line="312" w:lineRule="auto"/>
      </w:pPr>
      <w:r w:rsidRPr="00F80104">
        <w:rPr>
          <w:rFonts w:ascii="Calibri" w:hAnsi="Calibri" w:cs="Calibri"/>
          <w:color w:val="1F3864"/>
          <w:sz w:val="30"/>
          <w:szCs w:val="30"/>
        </w:rPr>
        <w:t>7. Launch Readiness Summary</w:t>
      </w:r>
    </w:p>
    <w:p w14:paraId="2240DF68" w14:textId="77777777" w:rsidR="006961DE" w:rsidRDefault="006961DE">
      <w:pPr>
        <w:pBdr>
          <w:top w:val="single" w:sz="6" w:space="0" w:color="2E74B5"/>
        </w:pBdr>
        <w:spacing w:after="200"/>
      </w:pPr>
    </w:p>
    <w:p w14:paraId="2DC74D88" w14:textId="351CF5A6" w:rsidR="006961DE" w:rsidRDefault="003D5CCF">
      <w:pPr>
        <w:spacing w:before="60" w:after="120" w:line="360" w:lineRule="auto"/>
      </w:pPr>
      <w:r>
        <w:rPr>
          <w:rFonts w:ascii="Calibri" w:eastAsia="Calibri" w:hAnsi="Calibri" w:cs="Calibri"/>
          <w:color w:val="000000"/>
          <w:sz w:val="22"/>
          <w:szCs w:val="22"/>
        </w:rPr>
        <w:t>This summary reflects what the PM group validated together and supports the group's recommendation to leadership. Individual team readiness is managed separately. Early customer feedback is a required gate</w:t>
      </w:r>
      <w:r w:rsidR="00BE45BB">
        <w:rPr>
          <w:rFonts w:ascii="Calibri" w:eastAsia="Calibri" w:hAnsi="Calibri" w:cs="Calibri"/>
          <w:color w:val="000000"/>
          <w:sz w:val="22"/>
          <w:szCs w:val="22"/>
        </w:rPr>
        <w:t>.  T</w:t>
      </w:r>
      <w:r>
        <w:rPr>
          <w:rFonts w:ascii="Calibri" w:eastAsia="Calibri" w:hAnsi="Calibri" w:cs="Calibri"/>
          <w:color w:val="000000"/>
          <w:sz w:val="22"/>
          <w:szCs w:val="22"/>
        </w:rPr>
        <w:t>he PM group does not make a launch recommendation until that feedback has been received and reviewed. All other items represent joint validation activities that inform the recommendation.</w:t>
      </w:r>
    </w:p>
    <w:p w14:paraId="51F62F73" w14:textId="77777777" w:rsidR="006961DE" w:rsidRDefault="006961DE">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895"/>
        <w:gridCol w:w="3149"/>
        <w:gridCol w:w="2968"/>
        <w:gridCol w:w="2338"/>
      </w:tblGrid>
      <w:tr w:rsidR="006961DE" w14:paraId="63304735" w14:textId="77777777" w:rsidTr="00883AE1">
        <w:trPr>
          <w:tblHeader/>
        </w:trPr>
        <w:tc>
          <w:tcPr>
            <w:tcW w:w="479" w:type="pct"/>
            <w:shd w:val="clear" w:color="auto" w:fill="1F3864"/>
            <w:tcMar>
              <w:top w:w="90" w:type="dxa"/>
              <w:left w:w="135" w:type="dxa"/>
              <w:bottom w:w="90" w:type="dxa"/>
              <w:right w:w="135" w:type="dxa"/>
            </w:tcMar>
          </w:tcPr>
          <w:p w14:paraId="6C872ED5" w14:textId="77777777" w:rsidR="006961DE" w:rsidRDefault="003D5CCF">
            <w:r>
              <w:rPr>
                <w:rFonts w:ascii="Calibri" w:eastAsia="Calibri" w:hAnsi="Calibri" w:cs="Calibri"/>
                <w:b/>
                <w:bCs/>
                <w:color w:val="FFFFFF"/>
                <w:sz w:val="22"/>
                <w:szCs w:val="22"/>
              </w:rPr>
              <w:t>#</w:t>
            </w:r>
          </w:p>
        </w:tc>
        <w:tc>
          <w:tcPr>
            <w:tcW w:w="1684" w:type="pct"/>
            <w:shd w:val="clear" w:color="auto" w:fill="1F3864"/>
            <w:tcMar>
              <w:top w:w="90" w:type="dxa"/>
              <w:left w:w="135" w:type="dxa"/>
              <w:bottom w:w="90" w:type="dxa"/>
              <w:right w:w="135" w:type="dxa"/>
            </w:tcMar>
          </w:tcPr>
          <w:p w14:paraId="191C9C57" w14:textId="77777777" w:rsidR="006961DE" w:rsidRDefault="003D5CCF">
            <w:r>
              <w:rPr>
                <w:rFonts w:ascii="Calibri" w:eastAsia="Calibri" w:hAnsi="Calibri" w:cs="Calibri"/>
                <w:b/>
                <w:bCs/>
                <w:color w:val="FFFFFF"/>
                <w:sz w:val="22"/>
                <w:szCs w:val="22"/>
              </w:rPr>
              <w:t>What the PM group validated together</w:t>
            </w:r>
          </w:p>
        </w:tc>
        <w:tc>
          <w:tcPr>
            <w:tcW w:w="1587" w:type="pct"/>
            <w:shd w:val="clear" w:color="auto" w:fill="1F3864"/>
            <w:tcMar>
              <w:top w:w="90" w:type="dxa"/>
              <w:left w:w="135" w:type="dxa"/>
              <w:bottom w:w="90" w:type="dxa"/>
              <w:right w:w="135" w:type="dxa"/>
            </w:tcMar>
          </w:tcPr>
          <w:p w14:paraId="79A66BED" w14:textId="77777777" w:rsidR="006961DE" w:rsidRDefault="003D5CCF">
            <w:r>
              <w:rPr>
                <w:rFonts w:ascii="Calibri" w:eastAsia="Calibri" w:hAnsi="Calibri" w:cs="Calibri"/>
                <w:b/>
                <w:bCs/>
                <w:color w:val="FFFFFF"/>
                <w:sz w:val="22"/>
                <w:szCs w:val="22"/>
              </w:rPr>
              <w:t>What we found</w:t>
            </w:r>
          </w:p>
        </w:tc>
        <w:tc>
          <w:tcPr>
            <w:tcW w:w="1250" w:type="pct"/>
            <w:shd w:val="clear" w:color="auto" w:fill="1F3864"/>
            <w:tcMar>
              <w:top w:w="90" w:type="dxa"/>
              <w:left w:w="135" w:type="dxa"/>
              <w:bottom w:w="90" w:type="dxa"/>
              <w:right w:w="135" w:type="dxa"/>
            </w:tcMar>
          </w:tcPr>
          <w:p w14:paraId="00875764" w14:textId="1DF6A462" w:rsidR="006961DE" w:rsidRDefault="003D5CCF">
            <w:r>
              <w:rPr>
                <w:rFonts w:ascii="Calibri" w:eastAsia="Calibri" w:hAnsi="Calibri" w:cs="Calibri"/>
                <w:b/>
                <w:bCs/>
                <w:color w:val="FFFFFF"/>
                <w:sz w:val="22"/>
                <w:szCs w:val="22"/>
              </w:rPr>
              <w:t xml:space="preserve">Remaining risk </w:t>
            </w:r>
          </w:p>
        </w:tc>
      </w:tr>
      <w:tr w:rsidR="006961DE" w14:paraId="3373E13B" w14:textId="77777777" w:rsidTr="00883AE1">
        <w:tc>
          <w:tcPr>
            <w:tcW w:w="479" w:type="pct"/>
            <w:shd w:val="clear" w:color="auto" w:fill="FAFAFA"/>
            <w:tcMar>
              <w:top w:w="90" w:type="dxa"/>
              <w:left w:w="135" w:type="dxa"/>
              <w:bottom w:w="90" w:type="dxa"/>
              <w:right w:w="135" w:type="dxa"/>
            </w:tcMar>
          </w:tcPr>
          <w:p w14:paraId="4E2898B7" w14:textId="77777777" w:rsidR="006961DE" w:rsidRDefault="003D5CCF">
            <w:r>
              <w:rPr>
                <w:rFonts w:ascii="Calibri" w:eastAsia="Calibri" w:hAnsi="Calibri" w:cs="Calibri"/>
                <w:color w:val="000000"/>
                <w:sz w:val="22"/>
                <w:szCs w:val="22"/>
              </w:rPr>
              <w:t>1</w:t>
            </w:r>
          </w:p>
        </w:tc>
        <w:tc>
          <w:tcPr>
            <w:tcW w:w="1684" w:type="pct"/>
            <w:shd w:val="clear" w:color="auto" w:fill="FAFAFA"/>
            <w:tcMar>
              <w:top w:w="90" w:type="dxa"/>
              <w:left w:w="135" w:type="dxa"/>
              <w:bottom w:w="90" w:type="dxa"/>
              <w:right w:w="135" w:type="dxa"/>
            </w:tcMar>
          </w:tcPr>
          <w:p w14:paraId="06778F55" w14:textId="77777777" w:rsidR="006961DE" w:rsidRDefault="003D5CCF">
            <w:r>
              <w:rPr>
                <w:rFonts w:ascii="Calibri" w:eastAsia="Calibri" w:hAnsi="Calibri" w:cs="Calibri"/>
                <w:color w:val="000000"/>
                <w:sz w:val="22"/>
                <w:szCs w:val="22"/>
              </w:rPr>
              <w:t>The end-to-end customer journey was walked through jointly by all four PMs</w:t>
            </w:r>
          </w:p>
        </w:tc>
        <w:tc>
          <w:tcPr>
            <w:tcW w:w="1587" w:type="pct"/>
            <w:shd w:val="clear" w:color="auto" w:fill="FAFAFA"/>
            <w:tcMar>
              <w:top w:w="90" w:type="dxa"/>
              <w:left w:w="135" w:type="dxa"/>
              <w:bottom w:w="90" w:type="dxa"/>
              <w:right w:w="135" w:type="dxa"/>
            </w:tcMar>
          </w:tcPr>
          <w:p w14:paraId="33C2641B" w14:textId="77777777" w:rsidR="006961DE" w:rsidRDefault="003D5CCF">
            <w:r>
              <w:rPr>
                <w:rFonts w:ascii="Calibri" w:eastAsia="Calibri" w:hAnsi="Calibri" w:cs="Calibri"/>
                <w:color w:val="000000"/>
                <w:sz w:val="22"/>
                <w:szCs w:val="22"/>
              </w:rPr>
              <w:t>Two cross-domain data assumptions were identified and resolved before go-live</w:t>
            </w:r>
          </w:p>
        </w:tc>
        <w:tc>
          <w:tcPr>
            <w:tcW w:w="1250" w:type="pct"/>
            <w:shd w:val="clear" w:color="auto" w:fill="FAFAFA"/>
            <w:tcMar>
              <w:top w:w="90" w:type="dxa"/>
              <w:left w:w="135" w:type="dxa"/>
              <w:bottom w:w="90" w:type="dxa"/>
              <w:right w:w="135" w:type="dxa"/>
            </w:tcMar>
          </w:tcPr>
          <w:p w14:paraId="43872A70" w14:textId="77777777" w:rsidR="006961DE" w:rsidRDefault="003D5CCF">
            <w:r>
              <w:rPr>
                <w:rFonts w:ascii="Calibri" w:eastAsia="Calibri" w:hAnsi="Calibri" w:cs="Calibri"/>
                <w:color w:val="000000"/>
                <w:sz w:val="22"/>
                <w:szCs w:val="22"/>
              </w:rPr>
              <w:t>None</w:t>
            </w:r>
          </w:p>
        </w:tc>
      </w:tr>
      <w:tr w:rsidR="006961DE" w14:paraId="32F173DE" w14:textId="77777777" w:rsidTr="00883AE1">
        <w:tc>
          <w:tcPr>
            <w:tcW w:w="479" w:type="pct"/>
            <w:shd w:val="clear" w:color="auto" w:fill="FAFAFA"/>
            <w:tcMar>
              <w:top w:w="90" w:type="dxa"/>
              <w:left w:w="135" w:type="dxa"/>
              <w:bottom w:w="90" w:type="dxa"/>
              <w:right w:w="135" w:type="dxa"/>
            </w:tcMar>
          </w:tcPr>
          <w:p w14:paraId="7F946667" w14:textId="77777777" w:rsidR="006961DE" w:rsidRDefault="003D5CCF">
            <w:r>
              <w:rPr>
                <w:rFonts w:ascii="Calibri" w:eastAsia="Calibri" w:hAnsi="Calibri" w:cs="Calibri"/>
                <w:color w:val="000000"/>
                <w:sz w:val="22"/>
                <w:szCs w:val="22"/>
              </w:rPr>
              <w:t>2</w:t>
            </w:r>
          </w:p>
        </w:tc>
        <w:tc>
          <w:tcPr>
            <w:tcW w:w="1684" w:type="pct"/>
            <w:shd w:val="clear" w:color="auto" w:fill="FAFAFA"/>
            <w:tcMar>
              <w:top w:w="90" w:type="dxa"/>
              <w:left w:w="135" w:type="dxa"/>
              <w:bottom w:w="90" w:type="dxa"/>
              <w:right w:w="135" w:type="dxa"/>
            </w:tcMar>
          </w:tcPr>
          <w:p w14:paraId="7B2972AD" w14:textId="77777777" w:rsidR="006961DE" w:rsidRDefault="003D5CCF">
            <w:r>
              <w:rPr>
                <w:rFonts w:ascii="Calibri" w:eastAsia="Calibri" w:hAnsi="Calibri" w:cs="Calibri"/>
                <w:color w:val="000000"/>
                <w:sz w:val="22"/>
                <w:szCs w:val="22"/>
              </w:rPr>
              <w:t>Product data consistency across the customer's two sites was verified</w:t>
            </w:r>
          </w:p>
        </w:tc>
        <w:tc>
          <w:tcPr>
            <w:tcW w:w="1587" w:type="pct"/>
            <w:shd w:val="clear" w:color="auto" w:fill="FAFAFA"/>
            <w:tcMar>
              <w:top w:w="90" w:type="dxa"/>
              <w:left w:w="135" w:type="dxa"/>
              <w:bottom w:w="90" w:type="dxa"/>
              <w:right w:w="135" w:type="dxa"/>
            </w:tcMar>
          </w:tcPr>
          <w:p w14:paraId="00216165" w14:textId="77777777" w:rsidR="006961DE" w:rsidRDefault="003D5CCF">
            <w:r>
              <w:rPr>
                <w:rFonts w:ascii="Calibri" w:eastAsia="Calibri" w:hAnsi="Calibri" w:cs="Calibri"/>
                <w:color w:val="000000"/>
                <w:sz w:val="22"/>
                <w:szCs w:val="22"/>
              </w:rPr>
              <w:t>Data is consistent; the customer's second site serves the same product state as their first site</w:t>
            </w:r>
          </w:p>
        </w:tc>
        <w:tc>
          <w:tcPr>
            <w:tcW w:w="1250" w:type="pct"/>
            <w:shd w:val="clear" w:color="auto" w:fill="FAFAFA"/>
            <w:tcMar>
              <w:top w:w="90" w:type="dxa"/>
              <w:left w:w="135" w:type="dxa"/>
              <w:bottom w:w="90" w:type="dxa"/>
              <w:right w:w="135" w:type="dxa"/>
            </w:tcMar>
          </w:tcPr>
          <w:p w14:paraId="1BA20DA0" w14:textId="77777777" w:rsidR="006961DE" w:rsidRDefault="003D5CCF">
            <w:r>
              <w:rPr>
                <w:rFonts w:ascii="Calibri" w:eastAsia="Calibri" w:hAnsi="Calibri" w:cs="Calibri"/>
                <w:color w:val="000000"/>
                <w:sz w:val="22"/>
                <w:szCs w:val="22"/>
              </w:rPr>
              <w:t>None</w:t>
            </w:r>
          </w:p>
        </w:tc>
      </w:tr>
      <w:tr w:rsidR="006961DE" w14:paraId="08BFA6A6" w14:textId="77777777" w:rsidTr="00883AE1">
        <w:tc>
          <w:tcPr>
            <w:tcW w:w="479" w:type="pct"/>
            <w:shd w:val="clear" w:color="auto" w:fill="FAFAFA"/>
            <w:tcMar>
              <w:top w:w="90" w:type="dxa"/>
              <w:left w:w="135" w:type="dxa"/>
              <w:bottom w:w="90" w:type="dxa"/>
              <w:right w:w="135" w:type="dxa"/>
            </w:tcMar>
          </w:tcPr>
          <w:p w14:paraId="73F6CB1C" w14:textId="77777777" w:rsidR="006961DE" w:rsidRDefault="003D5CCF">
            <w:r>
              <w:rPr>
                <w:rFonts w:ascii="Calibri" w:eastAsia="Calibri" w:hAnsi="Calibri" w:cs="Calibri"/>
                <w:color w:val="000000"/>
                <w:sz w:val="22"/>
                <w:szCs w:val="22"/>
              </w:rPr>
              <w:t>3</w:t>
            </w:r>
          </w:p>
        </w:tc>
        <w:tc>
          <w:tcPr>
            <w:tcW w:w="1684" w:type="pct"/>
            <w:shd w:val="clear" w:color="auto" w:fill="FAFAFA"/>
            <w:tcMar>
              <w:top w:w="90" w:type="dxa"/>
              <w:left w:w="135" w:type="dxa"/>
              <w:bottom w:w="90" w:type="dxa"/>
              <w:right w:w="135" w:type="dxa"/>
            </w:tcMar>
          </w:tcPr>
          <w:p w14:paraId="5DDAEB9A" w14:textId="77777777" w:rsidR="006961DE" w:rsidRDefault="003D5CCF">
            <w:r>
              <w:rPr>
                <w:rFonts w:ascii="Calibri" w:eastAsia="Calibri" w:hAnsi="Calibri" w:cs="Calibri"/>
                <w:color w:val="000000"/>
                <w:sz w:val="22"/>
                <w:szCs w:val="22"/>
              </w:rPr>
              <w:t>Report accuracy was confirmed jointly across both of the customer's sites</w:t>
            </w:r>
          </w:p>
        </w:tc>
        <w:tc>
          <w:tcPr>
            <w:tcW w:w="1587" w:type="pct"/>
            <w:shd w:val="clear" w:color="auto" w:fill="FAFAFA"/>
            <w:tcMar>
              <w:top w:w="90" w:type="dxa"/>
              <w:left w:w="135" w:type="dxa"/>
              <w:bottom w:w="90" w:type="dxa"/>
              <w:right w:w="135" w:type="dxa"/>
            </w:tcMar>
          </w:tcPr>
          <w:p w14:paraId="328D6BA8" w14:textId="77777777" w:rsidR="006961DE" w:rsidRDefault="003D5CCF">
            <w:r>
              <w:rPr>
                <w:rFonts w:ascii="Calibri" w:eastAsia="Calibri" w:hAnsi="Calibri" w:cs="Calibri"/>
                <w:color w:val="000000"/>
                <w:sz w:val="22"/>
                <w:szCs w:val="22"/>
              </w:rPr>
              <w:t>Customer dashboard is accurate and complete regardless of which of the customer's two sites handled the order</w:t>
            </w:r>
          </w:p>
        </w:tc>
        <w:tc>
          <w:tcPr>
            <w:tcW w:w="1250" w:type="pct"/>
            <w:shd w:val="clear" w:color="auto" w:fill="FAFAFA"/>
            <w:tcMar>
              <w:top w:w="90" w:type="dxa"/>
              <w:left w:w="135" w:type="dxa"/>
              <w:bottom w:w="90" w:type="dxa"/>
              <w:right w:w="135" w:type="dxa"/>
            </w:tcMar>
          </w:tcPr>
          <w:p w14:paraId="7667D768" w14:textId="77777777" w:rsidR="006961DE" w:rsidRDefault="003D5CCF">
            <w:r>
              <w:rPr>
                <w:rFonts w:ascii="Calibri" w:eastAsia="Calibri" w:hAnsi="Calibri" w:cs="Calibri"/>
                <w:color w:val="000000"/>
                <w:sz w:val="22"/>
                <w:szCs w:val="22"/>
              </w:rPr>
              <w:t>None</w:t>
            </w:r>
          </w:p>
        </w:tc>
      </w:tr>
      <w:tr w:rsidR="006961DE" w14:paraId="0394A496" w14:textId="77777777" w:rsidTr="00883AE1">
        <w:tc>
          <w:tcPr>
            <w:tcW w:w="479" w:type="pct"/>
            <w:shd w:val="clear" w:color="auto" w:fill="FAFAFA"/>
            <w:tcMar>
              <w:top w:w="90" w:type="dxa"/>
              <w:left w:w="135" w:type="dxa"/>
              <w:bottom w:w="90" w:type="dxa"/>
              <w:right w:w="135" w:type="dxa"/>
            </w:tcMar>
          </w:tcPr>
          <w:p w14:paraId="3B68D724" w14:textId="77777777" w:rsidR="006961DE" w:rsidRDefault="003D5CCF">
            <w:r>
              <w:rPr>
                <w:rFonts w:ascii="Calibri" w:eastAsia="Calibri" w:hAnsi="Calibri" w:cs="Calibri"/>
                <w:color w:val="000000"/>
                <w:sz w:val="22"/>
                <w:szCs w:val="22"/>
              </w:rPr>
              <w:lastRenderedPageBreak/>
              <w:t>4</w:t>
            </w:r>
          </w:p>
        </w:tc>
        <w:tc>
          <w:tcPr>
            <w:tcW w:w="1684" w:type="pct"/>
            <w:shd w:val="clear" w:color="auto" w:fill="FAFAFA"/>
            <w:tcMar>
              <w:top w:w="90" w:type="dxa"/>
              <w:left w:w="135" w:type="dxa"/>
              <w:bottom w:w="90" w:type="dxa"/>
              <w:right w:w="135" w:type="dxa"/>
            </w:tcMar>
          </w:tcPr>
          <w:p w14:paraId="401259B1" w14:textId="77777777" w:rsidR="006961DE" w:rsidRDefault="003D5CCF">
            <w:r>
              <w:rPr>
                <w:rFonts w:ascii="Calibri" w:eastAsia="Calibri" w:hAnsi="Calibri" w:cs="Calibri"/>
                <w:b/>
                <w:bCs/>
                <w:color w:val="000000"/>
                <w:sz w:val="22"/>
                <w:szCs w:val="22"/>
              </w:rPr>
              <w:t>[Required gate]</w:t>
            </w:r>
            <w:r>
              <w:rPr>
                <w:rFonts w:ascii="Calibri" w:eastAsia="Calibri" w:hAnsi="Calibri" w:cs="Calibri"/>
                <w:color w:val="000000"/>
                <w:sz w:val="22"/>
                <w:szCs w:val="22"/>
              </w:rPr>
              <w:t xml:space="preserve"> Early customers were invited (invitation reviewed by the group), tried the early feature version, and provided feedback</w:t>
            </w:r>
          </w:p>
        </w:tc>
        <w:tc>
          <w:tcPr>
            <w:tcW w:w="1587" w:type="pct"/>
            <w:shd w:val="clear" w:color="auto" w:fill="FAFAFA"/>
            <w:tcMar>
              <w:top w:w="90" w:type="dxa"/>
              <w:left w:w="135" w:type="dxa"/>
              <w:bottom w:w="90" w:type="dxa"/>
              <w:right w:w="135" w:type="dxa"/>
            </w:tcMar>
          </w:tcPr>
          <w:p w14:paraId="1B07BE6F" w14:textId="77777777" w:rsidR="006961DE" w:rsidRDefault="003D5CCF">
            <w:r>
              <w:rPr>
                <w:rFonts w:ascii="Calibri" w:eastAsia="Calibri" w:hAnsi="Calibri" w:cs="Calibri"/>
                <w:color w:val="000000"/>
                <w:sz w:val="22"/>
                <w:szCs w:val="22"/>
              </w:rPr>
              <w:t>Feedback was positive — customers found the experience clear and consistent with the feature</w:t>
            </w:r>
          </w:p>
        </w:tc>
        <w:tc>
          <w:tcPr>
            <w:tcW w:w="1250" w:type="pct"/>
            <w:shd w:val="clear" w:color="auto" w:fill="FAFAFA"/>
            <w:tcMar>
              <w:top w:w="90" w:type="dxa"/>
              <w:left w:w="135" w:type="dxa"/>
              <w:bottom w:w="90" w:type="dxa"/>
              <w:right w:w="135" w:type="dxa"/>
            </w:tcMar>
          </w:tcPr>
          <w:p w14:paraId="132167B7" w14:textId="77777777" w:rsidR="006961DE" w:rsidRDefault="003D5CCF">
            <w:r>
              <w:rPr>
                <w:rFonts w:ascii="Calibri" w:eastAsia="Calibri" w:hAnsi="Calibri" w:cs="Calibri"/>
                <w:color w:val="000000"/>
                <w:sz w:val="22"/>
                <w:szCs w:val="22"/>
              </w:rPr>
              <w:t>Validation was with existing customers only; net-new customers not yet validated</w:t>
            </w:r>
          </w:p>
        </w:tc>
      </w:tr>
      <w:tr w:rsidR="006961DE" w14:paraId="125651B8" w14:textId="77777777" w:rsidTr="00883AE1">
        <w:tc>
          <w:tcPr>
            <w:tcW w:w="479" w:type="pct"/>
            <w:shd w:val="clear" w:color="auto" w:fill="FAFAFA"/>
            <w:tcMar>
              <w:top w:w="90" w:type="dxa"/>
              <w:left w:w="135" w:type="dxa"/>
              <w:bottom w:w="90" w:type="dxa"/>
              <w:right w:w="135" w:type="dxa"/>
            </w:tcMar>
          </w:tcPr>
          <w:p w14:paraId="787ABE71" w14:textId="77777777" w:rsidR="006961DE" w:rsidRDefault="003D5CCF">
            <w:r>
              <w:rPr>
                <w:rFonts w:ascii="Calibri" w:eastAsia="Calibri" w:hAnsi="Calibri" w:cs="Calibri"/>
                <w:color w:val="000000"/>
                <w:sz w:val="22"/>
                <w:szCs w:val="22"/>
              </w:rPr>
              <w:t>5</w:t>
            </w:r>
          </w:p>
        </w:tc>
        <w:tc>
          <w:tcPr>
            <w:tcW w:w="1684" w:type="pct"/>
            <w:shd w:val="clear" w:color="auto" w:fill="FAFAFA"/>
            <w:tcMar>
              <w:top w:w="90" w:type="dxa"/>
              <w:left w:w="135" w:type="dxa"/>
              <w:bottom w:w="90" w:type="dxa"/>
              <w:right w:w="135" w:type="dxa"/>
            </w:tcMar>
          </w:tcPr>
          <w:p w14:paraId="17E8FED9" w14:textId="77777777" w:rsidR="006961DE" w:rsidRDefault="003D5CCF">
            <w:r>
              <w:rPr>
                <w:rFonts w:ascii="Calibri" w:eastAsia="Calibri" w:hAnsi="Calibri" w:cs="Calibri"/>
                <w:color w:val="000000"/>
                <w:sz w:val="22"/>
                <w:szCs w:val="22"/>
              </w:rPr>
              <w:t>A transition between the customer's two sites was simulated and traced from the customer's perspective</w:t>
            </w:r>
          </w:p>
        </w:tc>
        <w:tc>
          <w:tcPr>
            <w:tcW w:w="1587" w:type="pct"/>
            <w:shd w:val="clear" w:color="auto" w:fill="FAFAFA"/>
            <w:tcMar>
              <w:top w:w="90" w:type="dxa"/>
              <w:left w:w="135" w:type="dxa"/>
              <w:bottom w:w="90" w:type="dxa"/>
              <w:right w:w="135" w:type="dxa"/>
            </w:tcMar>
          </w:tcPr>
          <w:p w14:paraId="60857FCE" w14:textId="77777777" w:rsidR="006961DE" w:rsidRDefault="003D5CCF">
            <w:r>
              <w:rPr>
                <w:rFonts w:ascii="Calibri" w:eastAsia="Calibri" w:hAnsi="Calibri" w:cs="Calibri"/>
                <w:color w:val="000000"/>
                <w:sz w:val="22"/>
                <w:szCs w:val="22"/>
              </w:rPr>
              <w:t>Customer experience is continuous across both of their sites; no data gaps or notification issues observed</w:t>
            </w:r>
          </w:p>
        </w:tc>
        <w:tc>
          <w:tcPr>
            <w:tcW w:w="1250" w:type="pct"/>
            <w:shd w:val="clear" w:color="auto" w:fill="FAFAFA"/>
            <w:tcMar>
              <w:top w:w="90" w:type="dxa"/>
              <w:left w:w="135" w:type="dxa"/>
              <w:bottom w:w="90" w:type="dxa"/>
              <w:right w:w="135" w:type="dxa"/>
            </w:tcMar>
          </w:tcPr>
          <w:p w14:paraId="7C84EBC8" w14:textId="77777777" w:rsidR="006961DE" w:rsidRDefault="003D5CCF">
            <w:r>
              <w:rPr>
                <w:rFonts w:ascii="Calibri" w:eastAsia="Calibri" w:hAnsi="Calibri" w:cs="Calibri"/>
                <w:color w:val="000000"/>
                <w:sz w:val="22"/>
                <w:szCs w:val="22"/>
              </w:rPr>
              <w:t>None</w:t>
            </w:r>
          </w:p>
        </w:tc>
      </w:tr>
      <w:tr w:rsidR="006961DE" w14:paraId="2938502F" w14:textId="77777777" w:rsidTr="00883AE1">
        <w:tc>
          <w:tcPr>
            <w:tcW w:w="479" w:type="pct"/>
            <w:shd w:val="clear" w:color="auto" w:fill="FAFAFA"/>
            <w:tcMar>
              <w:top w:w="90" w:type="dxa"/>
              <w:left w:w="135" w:type="dxa"/>
              <w:bottom w:w="90" w:type="dxa"/>
              <w:right w:w="135" w:type="dxa"/>
            </w:tcMar>
          </w:tcPr>
          <w:p w14:paraId="1489AF47" w14:textId="77777777" w:rsidR="006961DE" w:rsidRDefault="003D5CCF">
            <w:r>
              <w:rPr>
                <w:rFonts w:ascii="Calibri" w:eastAsia="Calibri" w:hAnsi="Calibri" w:cs="Calibri"/>
                <w:color w:val="000000"/>
                <w:sz w:val="22"/>
                <w:szCs w:val="22"/>
              </w:rPr>
              <w:t>6</w:t>
            </w:r>
          </w:p>
        </w:tc>
        <w:tc>
          <w:tcPr>
            <w:tcW w:w="1684" w:type="pct"/>
            <w:shd w:val="clear" w:color="auto" w:fill="FAFAFA"/>
            <w:tcMar>
              <w:top w:w="90" w:type="dxa"/>
              <w:left w:w="135" w:type="dxa"/>
              <w:bottom w:w="90" w:type="dxa"/>
              <w:right w:w="135" w:type="dxa"/>
            </w:tcMar>
          </w:tcPr>
          <w:p w14:paraId="0115E973" w14:textId="77777777" w:rsidR="006961DE" w:rsidRDefault="003D5CCF">
            <w:r>
              <w:rPr>
                <w:rFonts w:ascii="Calibri" w:eastAsia="Calibri" w:hAnsi="Calibri" w:cs="Calibri"/>
                <w:color w:val="000000"/>
                <w:sz w:val="22"/>
                <w:szCs w:val="22"/>
              </w:rPr>
              <w:t>Support team runbook drafted covering failure scenarios across the customer's two-site deployment</w:t>
            </w:r>
          </w:p>
        </w:tc>
        <w:tc>
          <w:tcPr>
            <w:tcW w:w="1587" w:type="pct"/>
            <w:shd w:val="clear" w:color="auto" w:fill="FAFAFA"/>
            <w:tcMar>
              <w:top w:w="90" w:type="dxa"/>
              <w:left w:w="135" w:type="dxa"/>
              <w:bottom w:w="90" w:type="dxa"/>
              <w:right w:w="135" w:type="dxa"/>
            </w:tcMar>
          </w:tcPr>
          <w:p w14:paraId="40A98C29" w14:textId="77777777" w:rsidR="006961DE" w:rsidRDefault="003D5CCF">
            <w:r>
              <w:rPr>
                <w:rFonts w:ascii="Calibri" w:eastAsia="Calibri" w:hAnsi="Calibri" w:cs="Calibri"/>
                <w:color w:val="000000"/>
                <w:sz w:val="22"/>
                <w:szCs w:val="22"/>
              </w:rPr>
              <w:t>Runbook is complete; support teams can handle escalations involving both of the customer's sites without needing to escalate to the PM group</w:t>
            </w:r>
          </w:p>
        </w:tc>
        <w:tc>
          <w:tcPr>
            <w:tcW w:w="1250" w:type="pct"/>
            <w:shd w:val="clear" w:color="auto" w:fill="FAFAFA"/>
            <w:tcMar>
              <w:top w:w="90" w:type="dxa"/>
              <w:left w:w="135" w:type="dxa"/>
              <w:bottom w:w="90" w:type="dxa"/>
              <w:right w:w="135" w:type="dxa"/>
            </w:tcMar>
          </w:tcPr>
          <w:p w14:paraId="4372E141" w14:textId="77777777" w:rsidR="006961DE" w:rsidRDefault="006961DE"/>
        </w:tc>
      </w:tr>
    </w:tbl>
    <w:p w14:paraId="2E61B840" w14:textId="11FAE145" w:rsidR="006961DE" w:rsidRDefault="006961DE">
      <w:pPr>
        <w:spacing w:before="560" w:after="120" w:line="360" w:lineRule="auto"/>
      </w:pPr>
    </w:p>
    <w:sectPr w:rsidR="006961DE">
      <w:footerReference w:type="default" r:id="rId7"/>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A3C5A" w14:textId="77777777" w:rsidR="003D5CCF" w:rsidRDefault="003D5CCF" w:rsidP="00611F25">
      <w:r>
        <w:separator/>
      </w:r>
    </w:p>
  </w:endnote>
  <w:endnote w:type="continuationSeparator" w:id="0">
    <w:p w14:paraId="24FD3D63" w14:textId="77777777" w:rsidR="003D5CCF" w:rsidRDefault="003D5CCF" w:rsidP="00611F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D6DC1" w14:textId="77777777" w:rsidR="00611F25" w:rsidRDefault="00611F25">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6E309D04" w14:textId="0A46C90F" w:rsidR="00611F25" w:rsidRDefault="008A351F">
    <w:pPr>
      <w:pStyle w:val="Footer"/>
    </w:pPr>
    <w:r>
      <w:t>Amycmitchell.substack.com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ABC16" w14:textId="77777777" w:rsidR="003D5CCF" w:rsidRDefault="003D5CCF" w:rsidP="00611F25">
      <w:r>
        <w:separator/>
      </w:r>
    </w:p>
  </w:footnote>
  <w:footnote w:type="continuationSeparator" w:id="0">
    <w:p w14:paraId="61DC0A4F" w14:textId="77777777" w:rsidR="003D5CCF" w:rsidRDefault="003D5CCF" w:rsidP="00611F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90097"/>
    <w:multiLevelType w:val="hybridMultilevel"/>
    <w:tmpl w:val="8EA039AA"/>
    <w:lvl w:ilvl="0" w:tplc="FFFFFFFF">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4996DE5"/>
    <w:multiLevelType w:val="hybridMultilevel"/>
    <w:tmpl w:val="751E8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6003B2"/>
    <w:multiLevelType w:val="hybridMultilevel"/>
    <w:tmpl w:val="459A9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F63A21"/>
    <w:multiLevelType w:val="hybridMultilevel"/>
    <w:tmpl w:val="74348BAC"/>
    <w:lvl w:ilvl="0" w:tplc="B6B605B8">
      <w:start w:val="1"/>
      <w:numFmt w:val="bullet"/>
      <w:lvlText w:val="●"/>
      <w:lvlJc w:val="left"/>
      <w:pPr>
        <w:ind w:left="720" w:hanging="360"/>
      </w:pPr>
    </w:lvl>
    <w:lvl w:ilvl="1" w:tplc="DC12258E">
      <w:start w:val="1"/>
      <w:numFmt w:val="bullet"/>
      <w:lvlText w:val="○"/>
      <w:lvlJc w:val="left"/>
      <w:pPr>
        <w:ind w:left="1440" w:hanging="360"/>
      </w:pPr>
    </w:lvl>
    <w:lvl w:ilvl="2" w:tplc="25CA2290">
      <w:start w:val="1"/>
      <w:numFmt w:val="bullet"/>
      <w:lvlText w:val="■"/>
      <w:lvlJc w:val="left"/>
      <w:pPr>
        <w:ind w:left="2160" w:hanging="360"/>
      </w:pPr>
    </w:lvl>
    <w:lvl w:ilvl="3" w:tplc="6D642BD4">
      <w:start w:val="1"/>
      <w:numFmt w:val="bullet"/>
      <w:lvlText w:val="●"/>
      <w:lvlJc w:val="left"/>
      <w:pPr>
        <w:ind w:left="2880" w:hanging="360"/>
      </w:pPr>
    </w:lvl>
    <w:lvl w:ilvl="4" w:tplc="CDAAB0CC">
      <w:start w:val="1"/>
      <w:numFmt w:val="bullet"/>
      <w:lvlText w:val="○"/>
      <w:lvlJc w:val="left"/>
      <w:pPr>
        <w:ind w:left="3600" w:hanging="360"/>
      </w:pPr>
    </w:lvl>
    <w:lvl w:ilvl="5" w:tplc="0026255C">
      <w:start w:val="1"/>
      <w:numFmt w:val="bullet"/>
      <w:lvlText w:val="■"/>
      <w:lvlJc w:val="left"/>
      <w:pPr>
        <w:ind w:left="4320" w:hanging="360"/>
      </w:pPr>
    </w:lvl>
    <w:lvl w:ilvl="6" w:tplc="98126724">
      <w:start w:val="1"/>
      <w:numFmt w:val="bullet"/>
      <w:lvlText w:val="●"/>
      <w:lvlJc w:val="left"/>
      <w:pPr>
        <w:ind w:left="5040" w:hanging="360"/>
      </w:pPr>
    </w:lvl>
    <w:lvl w:ilvl="7" w:tplc="59F21728">
      <w:start w:val="1"/>
      <w:numFmt w:val="bullet"/>
      <w:lvlText w:val="●"/>
      <w:lvlJc w:val="left"/>
      <w:pPr>
        <w:ind w:left="5760" w:hanging="360"/>
      </w:pPr>
    </w:lvl>
    <w:lvl w:ilvl="8" w:tplc="DBD2A1BE">
      <w:start w:val="1"/>
      <w:numFmt w:val="bullet"/>
      <w:lvlText w:val="●"/>
      <w:lvlJc w:val="left"/>
      <w:pPr>
        <w:ind w:left="6480" w:hanging="360"/>
      </w:pPr>
    </w:lvl>
  </w:abstractNum>
  <w:abstractNum w:abstractNumId="4" w15:restartNumberingAfterBreak="0">
    <w:nsid w:val="4D516664"/>
    <w:multiLevelType w:val="hybridMultilevel"/>
    <w:tmpl w:val="8EA039AA"/>
    <w:lvl w:ilvl="0" w:tplc="04090019">
      <w:start w:val="1"/>
      <w:numFmt w:val="lowerLetter"/>
      <w:lvlText w:val="%1."/>
      <w:lvlJc w:val="left"/>
      <w:pPr>
        <w:ind w:left="720" w:hanging="360"/>
      </w:pPr>
    </w:lvl>
    <w:lvl w:ilvl="1" w:tplc="8A3A4324">
      <w:numFmt w:val="decimal"/>
      <w:lvlText w:val=""/>
      <w:lvlJc w:val="left"/>
    </w:lvl>
    <w:lvl w:ilvl="2" w:tplc="196E07DC">
      <w:numFmt w:val="decimal"/>
      <w:lvlText w:val=""/>
      <w:lvlJc w:val="left"/>
    </w:lvl>
    <w:lvl w:ilvl="3" w:tplc="D62609D4">
      <w:numFmt w:val="decimal"/>
      <w:lvlText w:val=""/>
      <w:lvlJc w:val="left"/>
    </w:lvl>
    <w:lvl w:ilvl="4" w:tplc="51B894D8">
      <w:numFmt w:val="decimal"/>
      <w:lvlText w:val=""/>
      <w:lvlJc w:val="left"/>
    </w:lvl>
    <w:lvl w:ilvl="5" w:tplc="96C0D3E8">
      <w:numFmt w:val="decimal"/>
      <w:lvlText w:val=""/>
      <w:lvlJc w:val="left"/>
    </w:lvl>
    <w:lvl w:ilvl="6" w:tplc="F8DA6A3A">
      <w:numFmt w:val="decimal"/>
      <w:lvlText w:val=""/>
      <w:lvlJc w:val="left"/>
    </w:lvl>
    <w:lvl w:ilvl="7" w:tplc="CF1CF604">
      <w:numFmt w:val="decimal"/>
      <w:lvlText w:val=""/>
      <w:lvlJc w:val="left"/>
    </w:lvl>
    <w:lvl w:ilvl="8" w:tplc="B6763A64">
      <w:numFmt w:val="decimal"/>
      <w:lvlText w:val=""/>
      <w:lvlJc w:val="left"/>
    </w:lvl>
  </w:abstractNum>
  <w:abstractNum w:abstractNumId="5" w15:restartNumberingAfterBreak="0">
    <w:nsid w:val="5D3216B1"/>
    <w:multiLevelType w:val="hybridMultilevel"/>
    <w:tmpl w:val="899A6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8390553">
    <w:abstractNumId w:val="3"/>
    <w:lvlOverride w:ilvl="0">
      <w:startOverride w:val="1"/>
    </w:lvlOverride>
  </w:num>
  <w:num w:numId="2" w16cid:durableId="1570849657">
    <w:abstractNumId w:val="4"/>
  </w:num>
  <w:num w:numId="3" w16cid:durableId="1635410190">
    <w:abstractNumId w:val="2"/>
  </w:num>
  <w:num w:numId="4" w16cid:durableId="968784384">
    <w:abstractNumId w:val="1"/>
  </w:num>
  <w:num w:numId="5" w16cid:durableId="1016466928">
    <w:abstractNumId w:val="5"/>
  </w:num>
  <w:num w:numId="6" w16cid:durableId="2109739702">
    <w:abstractNumId w:val="4"/>
  </w:num>
  <w:num w:numId="7" w16cid:durableId="1208683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1DE"/>
    <w:rsid w:val="000C52C8"/>
    <w:rsid w:val="00154E18"/>
    <w:rsid w:val="001E45E8"/>
    <w:rsid w:val="001F4720"/>
    <w:rsid w:val="002229F7"/>
    <w:rsid w:val="00224959"/>
    <w:rsid w:val="002E05C2"/>
    <w:rsid w:val="002E2D5E"/>
    <w:rsid w:val="002E445E"/>
    <w:rsid w:val="00326BBC"/>
    <w:rsid w:val="003B06AD"/>
    <w:rsid w:val="003D5CCF"/>
    <w:rsid w:val="00435F8D"/>
    <w:rsid w:val="00490FD7"/>
    <w:rsid w:val="005A0D5F"/>
    <w:rsid w:val="005B188F"/>
    <w:rsid w:val="005C17B4"/>
    <w:rsid w:val="005C5EB9"/>
    <w:rsid w:val="005E2CFE"/>
    <w:rsid w:val="00601644"/>
    <w:rsid w:val="00611F25"/>
    <w:rsid w:val="0063154A"/>
    <w:rsid w:val="00680DB6"/>
    <w:rsid w:val="006961DE"/>
    <w:rsid w:val="006B6145"/>
    <w:rsid w:val="0073403A"/>
    <w:rsid w:val="0075051D"/>
    <w:rsid w:val="00776199"/>
    <w:rsid w:val="007E3DF5"/>
    <w:rsid w:val="00883AE1"/>
    <w:rsid w:val="00890DA5"/>
    <w:rsid w:val="008A351F"/>
    <w:rsid w:val="00936E82"/>
    <w:rsid w:val="009C3FBB"/>
    <w:rsid w:val="009E521B"/>
    <w:rsid w:val="00A16182"/>
    <w:rsid w:val="00A448A9"/>
    <w:rsid w:val="00A47228"/>
    <w:rsid w:val="00A72403"/>
    <w:rsid w:val="00B068EA"/>
    <w:rsid w:val="00B41381"/>
    <w:rsid w:val="00B47375"/>
    <w:rsid w:val="00B55190"/>
    <w:rsid w:val="00B875B7"/>
    <w:rsid w:val="00BC3F9F"/>
    <w:rsid w:val="00BD75AF"/>
    <w:rsid w:val="00BE45BB"/>
    <w:rsid w:val="00CF1A31"/>
    <w:rsid w:val="00D226DA"/>
    <w:rsid w:val="00D57B82"/>
    <w:rsid w:val="00E9275E"/>
    <w:rsid w:val="00F266BF"/>
    <w:rsid w:val="00F801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3A449"/>
  <w15:docId w15:val="{615061D2-BC16-4861-92B6-C9676F94C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paragraph" w:styleId="Heading7">
    <w:name w:val="heading 7"/>
    <w:basedOn w:val="Normal"/>
    <w:next w:val="Normal"/>
    <w:link w:val="Heading7Char"/>
    <w:uiPriority w:val="9"/>
    <w:semiHidden/>
    <w:unhideWhenUsed/>
    <w:qFormat/>
    <w:rsid w:val="00D226DA"/>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D226DA"/>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226DA"/>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BookTitle">
    <w:name w:val="Book Title"/>
    <w:basedOn w:val="DefaultParagraphFont"/>
    <w:uiPriority w:val="33"/>
    <w:qFormat/>
    <w:rsid w:val="00D226DA"/>
    <w:rPr>
      <w:b/>
      <w:bCs/>
      <w:i/>
      <w:iCs/>
      <w:spacing w:val="5"/>
    </w:rPr>
  </w:style>
  <w:style w:type="paragraph" w:styleId="Caption">
    <w:name w:val="caption"/>
    <w:basedOn w:val="Normal"/>
    <w:next w:val="Normal"/>
    <w:uiPriority w:val="35"/>
    <w:semiHidden/>
    <w:unhideWhenUsed/>
    <w:qFormat/>
    <w:rsid w:val="00D226DA"/>
    <w:pPr>
      <w:spacing w:after="200"/>
    </w:pPr>
    <w:rPr>
      <w:i/>
      <w:iCs/>
      <w:color w:val="0E2841" w:themeColor="text2"/>
      <w:sz w:val="18"/>
      <w:szCs w:val="18"/>
    </w:rPr>
  </w:style>
  <w:style w:type="character" w:styleId="Emphasis">
    <w:name w:val="Emphasis"/>
    <w:basedOn w:val="DefaultParagraphFont"/>
    <w:uiPriority w:val="20"/>
    <w:qFormat/>
    <w:rsid w:val="00D226DA"/>
    <w:rPr>
      <w:i/>
      <w:iCs/>
    </w:rPr>
  </w:style>
  <w:style w:type="character" w:customStyle="1" w:styleId="Heading7Char">
    <w:name w:val="Heading 7 Char"/>
    <w:basedOn w:val="DefaultParagraphFont"/>
    <w:link w:val="Heading7"/>
    <w:uiPriority w:val="9"/>
    <w:semiHidden/>
    <w:rsid w:val="00D226DA"/>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D226D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226DA"/>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D226DA"/>
    <w:rPr>
      <w:i/>
      <w:iCs/>
      <w:color w:val="156082" w:themeColor="accent1"/>
    </w:rPr>
  </w:style>
  <w:style w:type="paragraph" w:styleId="IntenseQuote">
    <w:name w:val="Intense Quote"/>
    <w:basedOn w:val="Normal"/>
    <w:next w:val="Normal"/>
    <w:link w:val="IntenseQuoteChar"/>
    <w:uiPriority w:val="30"/>
    <w:qFormat/>
    <w:rsid w:val="00D226DA"/>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D226DA"/>
    <w:rPr>
      <w:i/>
      <w:iCs/>
      <w:color w:val="156082" w:themeColor="accent1"/>
    </w:rPr>
  </w:style>
  <w:style w:type="character" w:styleId="IntenseReference">
    <w:name w:val="Intense Reference"/>
    <w:basedOn w:val="DefaultParagraphFont"/>
    <w:uiPriority w:val="32"/>
    <w:qFormat/>
    <w:rsid w:val="00D226DA"/>
    <w:rPr>
      <w:b/>
      <w:bCs/>
      <w:smallCaps/>
      <w:color w:val="156082" w:themeColor="accent1"/>
      <w:spacing w:val="5"/>
    </w:rPr>
  </w:style>
  <w:style w:type="paragraph" w:styleId="NoSpacing">
    <w:name w:val="No Spacing"/>
    <w:uiPriority w:val="1"/>
    <w:qFormat/>
    <w:rsid w:val="00D226DA"/>
  </w:style>
  <w:style w:type="paragraph" w:styleId="Quote">
    <w:name w:val="Quote"/>
    <w:basedOn w:val="Normal"/>
    <w:next w:val="Normal"/>
    <w:link w:val="QuoteChar"/>
    <w:uiPriority w:val="29"/>
    <w:qFormat/>
    <w:rsid w:val="00D226D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D226DA"/>
    <w:rPr>
      <w:i/>
      <w:iCs/>
      <w:color w:val="404040" w:themeColor="text1" w:themeTint="BF"/>
    </w:rPr>
  </w:style>
  <w:style w:type="character" w:styleId="Strong">
    <w:name w:val="Strong"/>
    <w:basedOn w:val="DefaultParagraphFont"/>
    <w:uiPriority w:val="22"/>
    <w:qFormat/>
    <w:rsid w:val="00D226DA"/>
    <w:rPr>
      <w:b/>
      <w:bCs/>
    </w:rPr>
  </w:style>
  <w:style w:type="paragraph" w:styleId="Subtitle">
    <w:name w:val="Subtitle"/>
    <w:basedOn w:val="Normal"/>
    <w:next w:val="Normal"/>
    <w:link w:val="SubtitleChar"/>
    <w:uiPriority w:val="11"/>
    <w:qFormat/>
    <w:rsid w:val="00D226DA"/>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D226DA"/>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D226DA"/>
    <w:rPr>
      <w:i/>
      <w:iCs/>
      <w:color w:val="404040" w:themeColor="text1" w:themeTint="BF"/>
    </w:rPr>
  </w:style>
  <w:style w:type="character" w:styleId="SubtleReference">
    <w:name w:val="Subtle Reference"/>
    <w:basedOn w:val="DefaultParagraphFont"/>
    <w:uiPriority w:val="31"/>
    <w:qFormat/>
    <w:rsid w:val="00D226DA"/>
    <w:rPr>
      <w:smallCaps/>
      <w:color w:val="5A5A5A" w:themeColor="text1" w:themeTint="A5"/>
    </w:rPr>
  </w:style>
  <w:style w:type="paragraph" w:styleId="TOCHeading">
    <w:name w:val="TOC Heading"/>
    <w:basedOn w:val="Heading1"/>
    <w:next w:val="Normal"/>
    <w:uiPriority w:val="39"/>
    <w:semiHidden/>
    <w:unhideWhenUsed/>
    <w:qFormat/>
    <w:rsid w:val="00D226DA"/>
    <w:pPr>
      <w:keepNext/>
      <w:keepLines/>
      <w:spacing w:before="240"/>
      <w:outlineLvl w:val="9"/>
    </w:pPr>
    <w:rPr>
      <w:rFonts w:asciiTheme="majorHAnsi" w:eastAsiaTheme="majorEastAsia" w:hAnsiTheme="majorHAnsi" w:cstheme="majorBidi"/>
      <w:b w:val="0"/>
      <w:bCs w:val="0"/>
      <w:color w:val="0F4761" w:themeColor="accent1" w:themeShade="BF"/>
      <w:sz w:val="32"/>
      <w:szCs w:val="32"/>
    </w:rPr>
  </w:style>
  <w:style w:type="paragraph" w:styleId="Header">
    <w:name w:val="header"/>
    <w:basedOn w:val="Normal"/>
    <w:link w:val="HeaderChar"/>
    <w:uiPriority w:val="99"/>
    <w:unhideWhenUsed/>
    <w:rsid w:val="00611F25"/>
    <w:pPr>
      <w:tabs>
        <w:tab w:val="center" w:pos="4680"/>
        <w:tab w:val="right" w:pos="9360"/>
      </w:tabs>
    </w:pPr>
  </w:style>
  <w:style w:type="character" w:customStyle="1" w:styleId="HeaderChar">
    <w:name w:val="Header Char"/>
    <w:basedOn w:val="DefaultParagraphFont"/>
    <w:link w:val="Header"/>
    <w:uiPriority w:val="99"/>
    <w:rsid w:val="00611F25"/>
  </w:style>
  <w:style w:type="paragraph" w:styleId="Footer">
    <w:name w:val="footer"/>
    <w:basedOn w:val="Normal"/>
    <w:link w:val="FooterChar"/>
    <w:uiPriority w:val="99"/>
    <w:unhideWhenUsed/>
    <w:rsid w:val="00611F25"/>
    <w:pPr>
      <w:tabs>
        <w:tab w:val="center" w:pos="4680"/>
        <w:tab w:val="right" w:pos="9360"/>
      </w:tabs>
    </w:pPr>
  </w:style>
  <w:style w:type="character" w:customStyle="1" w:styleId="FooterChar">
    <w:name w:val="Footer Char"/>
    <w:basedOn w:val="DefaultParagraphFont"/>
    <w:link w:val="Footer"/>
    <w:uiPriority w:val="99"/>
    <w:rsid w:val="00611F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1847</Words>
  <Characters>10534</Characters>
  <Application>Microsoft Office Word</Application>
  <DocSecurity>0</DocSecurity>
  <Lines>87</Lines>
  <Paragraphs>24</Paragraphs>
  <ScaleCrop>false</ScaleCrop>
  <Company/>
  <LinksUpToDate>false</LinksUpToDate>
  <CharactersWithSpaces>12357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vtSy9q6UMcvHsAkU3N87x</dc:title>
  <dc:creator>Un-named</dc:creator>
  <dc:description>Generated document</dc:description>
  <cp:lastModifiedBy>amy mitchell</cp:lastModifiedBy>
  <cp:revision>2</cp:revision>
  <dcterms:created xsi:type="dcterms:W3CDTF">2026-10-13T03:55:00Z</dcterms:created>
  <dcterms:modified xsi:type="dcterms:W3CDTF">2026-10-13T03:55:00Z</dcterms:modified>
</cp:coreProperties>
</file>