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259A" w:rsidRPr="0029259A" w:rsidRDefault="0029259A" w:rsidP="0029259A">
      <w:pPr>
        <w:pStyle w:val="NormalWeb"/>
        <w:spacing w:before="60" w:beforeAutospacing="0" w:after="0" w:afterAutospacing="0" w:line="264" w:lineRule="auto"/>
        <w:jc w:val="center"/>
        <w:rPr>
          <w:b/>
          <w:bCs/>
          <w:u w:val="single"/>
        </w:rPr>
      </w:pPr>
      <w:r w:rsidRPr="0029259A">
        <w:rPr>
          <w:b/>
          <w:bCs/>
          <w:u w:val="single"/>
        </w:rPr>
        <w:t xml:space="preserve">Staying Power: The Individual Effects of the H-1B Visa Lottery </w:t>
      </w:r>
      <w:r>
        <w:rPr>
          <w:b/>
          <w:bCs/>
          <w:sz w:val="22"/>
          <w:szCs w:val="22"/>
          <w:u w:val="single"/>
        </w:rPr>
        <w:t>(</w:t>
      </w:r>
      <w:r w:rsidRPr="0029259A">
        <w:rPr>
          <w:b/>
          <w:bCs/>
          <w:sz w:val="22"/>
          <w:szCs w:val="22"/>
          <w:u w:val="single"/>
        </w:rPr>
        <w:t>MEA/SOLE</w:t>
      </w:r>
      <w:r>
        <w:rPr>
          <w:b/>
          <w:bCs/>
          <w:sz w:val="22"/>
          <w:szCs w:val="22"/>
          <w:u w:val="single"/>
        </w:rPr>
        <w:t>)</w:t>
      </w:r>
    </w:p>
    <w:p w:rsidR="0029259A" w:rsidRPr="0029259A" w:rsidRDefault="0029259A" w:rsidP="0029259A">
      <w:pPr>
        <w:pStyle w:val="NormalWeb"/>
        <w:spacing w:before="60" w:beforeAutospacing="0" w:after="0" w:afterAutospacing="0" w:line="264" w:lineRule="auto"/>
        <w:jc w:val="center"/>
        <w:rPr>
          <w:b/>
          <w:bCs/>
        </w:rPr>
      </w:pPr>
      <w:r w:rsidRPr="0029259A">
        <w:rPr>
          <w:b/>
          <w:bCs/>
        </w:rPr>
        <w:t>Amy Kim</w:t>
      </w:r>
    </w:p>
    <w:p w:rsidR="004F4A0F" w:rsidRPr="00970E94" w:rsidRDefault="004F4A0F" w:rsidP="002C4875">
      <w:pPr>
        <w:pStyle w:val="NormalWeb"/>
        <w:spacing w:before="60" w:beforeAutospacing="0" w:after="0" w:afterAutospacing="0" w:line="264" w:lineRule="auto"/>
        <w:ind w:firstLine="720"/>
        <w:rPr>
          <w:sz w:val="22"/>
          <w:szCs w:val="22"/>
        </w:rPr>
      </w:pPr>
      <w:r w:rsidRPr="00970E94">
        <w:rPr>
          <w:sz w:val="22"/>
          <w:szCs w:val="22"/>
        </w:rPr>
        <w:t>What is the effect of a obtaining a U.S. work visa on an individual worker? While the labor market effects of skilled immigration are highly policy</w:t>
      </w:r>
      <w:r w:rsidR="00B02BA2" w:rsidRPr="00970E94">
        <w:rPr>
          <w:sz w:val="22"/>
          <w:szCs w:val="22"/>
        </w:rPr>
        <w:t xml:space="preserve"> relevant</w:t>
      </w:r>
      <w:r w:rsidRPr="00970E94">
        <w:rPr>
          <w:sz w:val="22"/>
          <w:szCs w:val="22"/>
        </w:rPr>
        <w:t xml:space="preserve">, </w:t>
      </w:r>
      <w:r w:rsidR="00B02BA2" w:rsidRPr="00970E94">
        <w:rPr>
          <w:sz w:val="22"/>
          <w:szCs w:val="22"/>
        </w:rPr>
        <w:t>identifying</w:t>
      </w:r>
      <w:r w:rsidRPr="00970E94">
        <w:rPr>
          <w:sz w:val="22"/>
          <w:szCs w:val="22"/>
        </w:rPr>
        <w:t xml:space="preserve"> the causal </w:t>
      </w:r>
      <w:r w:rsidR="00B02BA2" w:rsidRPr="00970E94">
        <w:rPr>
          <w:sz w:val="22"/>
          <w:szCs w:val="22"/>
        </w:rPr>
        <w:t>impact</w:t>
      </w:r>
      <w:r w:rsidRPr="00970E94">
        <w:rPr>
          <w:sz w:val="22"/>
          <w:szCs w:val="22"/>
        </w:rPr>
        <w:t xml:space="preserve"> of a visa at the individual level </w:t>
      </w:r>
      <w:r w:rsidR="00B02BA2" w:rsidRPr="00970E94">
        <w:rPr>
          <w:sz w:val="22"/>
          <w:szCs w:val="22"/>
        </w:rPr>
        <w:t>faces two key</w:t>
      </w:r>
      <w:r w:rsidRPr="00970E94">
        <w:rPr>
          <w:sz w:val="22"/>
          <w:szCs w:val="22"/>
        </w:rPr>
        <w:t xml:space="preserve"> challenges: </w:t>
      </w:r>
      <w:r w:rsidR="00B02BA2" w:rsidRPr="00970E94">
        <w:rPr>
          <w:sz w:val="22"/>
          <w:szCs w:val="22"/>
        </w:rPr>
        <w:t xml:space="preserve">(1) visa receipt </w:t>
      </w:r>
      <w:r w:rsidR="00B02BA2" w:rsidRPr="00970E94">
        <w:rPr>
          <w:sz w:val="22"/>
          <w:szCs w:val="22"/>
        </w:rPr>
        <w:t xml:space="preserve">is often </w:t>
      </w:r>
      <w:r w:rsidR="00B02BA2" w:rsidRPr="00970E94">
        <w:rPr>
          <w:sz w:val="22"/>
          <w:szCs w:val="22"/>
        </w:rPr>
        <w:t>endogenous to labor market outcomes, and (2) individual-level immigration data are typically de-identified and cannot be linked to employment outcomes.</w:t>
      </w:r>
      <w:r w:rsidRPr="00970E94">
        <w:rPr>
          <w:sz w:val="22"/>
          <w:szCs w:val="22"/>
        </w:rPr>
        <w:t xml:space="preserve"> In this paper, I overcome these two challenges to be the first (to my knowledge) to estimate the causal effect of winning an H-1B visa on the individual worker. </w:t>
      </w:r>
    </w:p>
    <w:p w:rsidR="00B02BA2" w:rsidRPr="00970E94" w:rsidRDefault="00B02BA2" w:rsidP="002C4875">
      <w:pPr>
        <w:pStyle w:val="NormalWeb"/>
        <w:spacing w:before="60" w:beforeAutospacing="0" w:after="0" w:afterAutospacing="0" w:line="264" w:lineRule="auto"/>
        <w:ind w:firstLine="720"/>
        <w:rPr>
          <w:sz w:val="22"/>
          <w:szCs w:val="22"/>
        </w:rPr>
      </w:pPr>
      <w:r w:rsidRPr="00970E94">
        <w:rPr>
          <w:sz w:val="22"/>
          <w:szCs w:val="22"/>
        </w:rPr>
        <w:t>To address endogeneity, I exploit the random lottery used to allocate H-1B temporary skilled worker visas. Unlike prior work that relies on firm-level proxies for H-1B applications, I use newly available application-level data (2019–2023) obtained through FOIA requests</w:t>
      </w:r>
      <w:r w:rsidR="0008418C" w:rsidRPr="00970E94">
        <w:rPr>
          <w:sz w:val="22"/>
          <w:szCs w:val="22"/>
        </w:rPr>
        <w:t xml:space="preserve">, </w:t>
      </w:r>
      <w:r w:rsidRPr="00970E94">
        <w:rPr>
          <w:sz w:val="22"/>
          <w:szCs w:val="22"/>
        </w:rPr>
        <w:t>enabling direct comparisons between lottery winners and losers.</w:t>
      </w:r>
    </w:p>
    <w:p w:rsidR="00B02BA2" w:rsidRPr="00970E94" w:rsidRDefault="002C4875" w:rsidP="002C4875">
      <w:pPr>
        <w:pStyle w:val="NormalWeb"/>
        <w:spacing w:before="60" w:beforeAutospacing="0" w:after="0" w:afterAutospacing="0" w:line="264" w:lineRule="auto"/>
        <w:ind w:firstLine="720"/>
        <w:rPr>
          <w:sz w:val="22"/>
          <w:szCs w:val="22"/>
        </w:rPr>
      </w:pPr>
      <w:r w:rsidRPr="002C4875">
        <w:rPr>
          <w:sz w:val="22"/>
          <w:szCs w:val="22"/>
        </w:rPr>
        <w:t>Linking applicants to employment data has historically been infeasible because most applicants were abroad and could only work for U.S. employers if they won the lottery, making employer-based linkage biased. Recent policies—particularly the expansion of Optional Practical Training (OPT) for international graduates of U.S. institutions—have altered this dynamic. Many now work in the U.S. under OPT before entering the H-1B lottery, allowing firms to employ them prior to applying. Focusing on these U.S.-trained applicants—roughly half the sample—</w:t>
      </w:r>
      <w:r w:rsidR="0029259A" w:rsidRPr="00970E94">
        <w:rPr>
          <w:sz w:val="22"/>
          <w:szCs w:val="22"/>
        </w:rPr>
        <w:t>allows</w:t>
      </w:r>
      <w:r w:rsidRPr="002C4875">
        <w:rPr>
          <w:sz w:val="22"/>
          <w:szCs w:val="22"/>
        </w:rPr>
        <w:t xml:space="preserve"> me </w:t>
      </w:r>
      <w:r w:rsidR="0029259A" w:rsidRPr="00970E94">
        <w:rPr>
          <w:sz w:val="22"/>
          <w:szCs w:val="22"/>
        </w:rPr>
        <w:t xml:space="preserve">to </w:t>
      </w:r>
      <w:r w:rsidRPr="002C4875">
        <w:rPr>
          <w:sz w:val="22"/>
          <w:szCs w:val="22"/>
        </w:rPr>
        <w:t>condition on pre-lottery employment and, using advanced probabilistic record-linkage and imputation algorithms, connect individual H-1B applicants to their full work and education histories from LinkedIn.</w:t>
      </w:r>
    </w:p>
    <w:p w:rsidR="00495D2A" w:rsidRPr="00970E94" w:rsidRDefault="004F4A0F" w:rsidP="002C4875">
      <w:pPr>
        <w:pStyle w:val="NormalWeb"/>
        <w:spacing w:before="60" w:beforeAutospacing="0" w:after="0" w:afterAutospacing="0" w:line="264" w:lineRule="auto"/>
        <w:ind w:firstLine="720"/>
        <w:rPr>
          <w:sz w:val="22"/>
          <w:szCs w:val="22"/>
        </w:rPr>
      </w:pPr>
      <w:r w:rsidRPr="00970E94">
        <w:rPr>
          <w:sz w:val="22"/>
          <w:szCs w:val="22"/>
        </w:rPr>
        <w:t xml:space="preserve">In my main specification, I regress outcomes </w:t>
      </w:r>
      <w:r w:rsidR="002C4875" w:rsidRPr="00970E94">
        <w:rPr>
          <w:sz w:val="22"/>
          <w:szCs w:val="22"/>
        </w:rPr>
        <w:t>on indicators for lottery selection and advanced-degree-exemption (ADE) status, which determines eligibility for a separate lottery.</w:t>
      </w:r>
      <w:r w:rsidR="00954B36" w:rsidRPr="00970E94">
        <w:rPr>
          <w:sz w:val="22"/>
          <w:szCs w:val="22"/>
        </w:rPr>
        <w:t> </w:t>
      </w:r>
      <w:r w:rsidR="002C4875" w:rsidRPr="00970E94">
        <w:rPr>
          <w:sz w:val="22"/>
          <w:szCs w:val="22"/>
        </w:rPr>
        <w:t>Identification</w:t>
      </w:r>
      <w:r w:rsidRPr="00970E94">
        <w:rPr>
          <w:sz w:val="22"/>
          <w:szCs w:val="22"/>
        </w:rPr>
        <w:t xml:space="preserve"> relies on the assumption that winning (conditional on ADE status) is independent of applicant characteristics. </w:t>
      </w:r>
      <w:r w:rsidR="00495D2A" w:rsidRPr="00970E94">
        <w:rPr>
          <w:sz w:val="22"/>
          <w:szCs w:val="22"/>
        </w:rPr>
        <w:t>A potential concern is</w:t>
      </w:r>
      <w:r w:rsidR="00495D2A" w:rsidRPr="00970E94">
        <w:rPr>
          <w:sz w:val="22"/>
          <w:szCs w:val="22"/>
        </w:rPr>
        <w:t xml:space="preserve"> differential selection</w:t>
      </w:r>
      <w:r w:rsidR="002C4875" w:rsidRPr="00970E94">
        <w:rPr>
          <w:sz w:val="22"/>
          <w:szCs w:val="22"/>
        </w:rPr>
        <w:t xml:space="preserve"> of winners and losers</w:t>
      </w:r>
      <w:r w:rsidR="00495D2A" w:rsidRPr="00970E94">
        <w:rPr>
          <w:sz w:val="22"/>
          <w:szCs w:val="22"/>
        </w:rPr>
        <w:t xml:space="preserve"> into the matched sample, which I address</w:t>
      </w:r>
      <w:r w:rsidR="00495D2A" w:rsidRPr="00970E94">
        <w:rPr>
          <w:sz w:val="22"/>
          <w:szCs w:val="22"/>
        </w:rPr>
        <w:t xml:space="preserve"> </w:t>
      </w:r>
      <w:r w:rsidR="00495D2A" w:rsidRPr="00970E94">
        <w:rPr>
          <w:sz w:val="22"/>
          <w:szCs w:val="22"/>
        </w:rPr>
        <w:t xml:space="preserve">in various alternate specifications </w:t>
      </w:r>
      <w:r w:rsidR="00495D2A" w:rsidRPr="00970E94">
        <w:rPr>
          <w:sz w:val="22"/>
          <w:szCs w:val="22"/>
        </w:rPr>
        <w:t>by reweighting based on match-quality score</w:t>
      </w:r>
      <w:r w:rsidR="00495D2A" w:rsidRPr="00970E94">
        <w:rPr>
          <w:sz w:val="22"/>
          <w:szCs w:val="22"/>
        </w:rPr>
        <w:t>s, restricting to firms where all applicants are successfully matched, and implementing bounding exercises using</w:t>
      </w:r>
      <w:r w:rsidR="002C4875" w:rsidRPr="00970E94">
        <w:rPr>
          <w:sz w:val="22"/>
          <w:szCs w:val="22"/>
        </w:rPr>
        <w:t xml:space="preserve"> auxiliary data on OPT usage</w:t>
      </w:r>
      <w:r w:rsidR="00495D2A" w:rsidRPr="00970E94">
        <w:rPr>
          <w:sz w:val="22"/>
          <w:szCs w:val="22"/>
        </w:rPr>
        <w:t xml:space="preserve">. </w:t>
      </w:r>
      <w:r w:rsidR="002C4875" w:rsidRPr="00970E94">
        <w:rPr>
          <w:sz w:val="22"/>
          <w:szCs w:val="22"/>
        </w:rPr>
        <w:t>Results remain stable across specifications, supporting the identifying assumption.</w:t>
      </w:r>
    </w:p>
    <w:p w:rsidR="004F4A0F" w:rsidRPr="00970E94" w:rsidRDefault="00086899" w:rsidP="002C4875">
      <w:pPr>
        <w:pStyle w:val="NormalWeb"/>
        <w:spacing w:before="60" w:beforeAutospacing="0" w:after="0" w:afterAutospacing="0" w:line="264" w:lineRule="auto"/>
        <w:ind w:firstLine="720"/>
        <w:rPr>
          <w:sz w:val="22"/>
          <w:szCs w:val="22"/>
        </w:rPr>
      </w:pPr>
      <w:r w:rsidRPr="00970E94">
        <w:rPr>
          <w:sz w:val="22"/>
          <w:szCs w:val="22"/>
        </w:rPr>
        <w:t>I begin by examining</w:t>
      </w:r>
      <w:r w:rsidR="004F4A0F" w:rsidRPr="00970E94">
        <w:rPr>
          <w:sz w:val="22"/>
          <w:szCs w:val="22"/>
        </w:rPr>
        <w:t xml:space="preserve"> the direct effect of winning the H-1B lottery on a worker’s probability of remaining in the U.S. I find that lottery winners are </w:t>
      </w:r>
      <w:r w:rsidR="0008418C" w:rsidRPr="00970E94">
        <w:rPr>
          <w:sz w:val="22"/>
          <w:szCs w:val="22"/>
        </w:rPr>
        <w:t>0.</w:t>
      </w:r>
      <w:r w:rsidRPr="00970E94">
        <w:rPr>
          <w:sz w:val="22"/>
          <w:szCs w:val="22"/>
        </w:rPr>
        <w:t>9</w:t>
      </w:r>
      <w:r w:rsidR="004F4A0F" w:rsidRPr="00970E94">
        <w:rPr>
          <w:sz w:val="22"/>
          <w:szCs w:val="22"/>
        </w:rPr>
        <w:t xml:space="preserve"> p.p. (</w:t>
      </w:r>
      <w:r w:rsidR="0008418C" w:rsidRPr="00970E94">
        <w:rPr>
          <w:sz w:val="22"/>
          <w:szCs w:val="22"/>
        </w:rPr>
        <w:t>1.</w:t>
      </w:r>
      <w:r w:rsidRPr="00970E94">
        <w:rPr>
          <w:sz w:val="22"/>
          <w:szCs w:val="22"/>
        </w:rPr>
        <w:t>7</w:t>
      </w:r>
      <w:r w:rsidR="004F4A0F" w:rsidRPr="00970E94">
        <w:rPr>
          <w:sz w:val="22"/>
          <w:szCs w:val="22"/>
        </w:rPr>
        <w:t xml:space="preserve"> %) more likely to remain at their employer and </w:t>
      </w:r>
      <w:r w:rsidRPr="00970E94">
        <w:rPr>
          <w:sz w:val="22"/>
          <w:szCs w:val="22"/>
        </w:rPr>
        <w:t>2.8</w:t>
      </w:r>
      <w:r w:rsidR="004F4A0F" w:rsidRPr="00970E94">
        <w:rPr>
          <w:sz w:val="22"/>
          <w:szCs w:val="22"/>
        </w:rPr>
        <w:t xml:space="preserve"> p.p. (</w:t>
      </w:r>
      <w:r w:rsidRPr="00970E94">
        <w:rPr>
          <w:sz w:val="22"/>
          <w:szCs w:val="22"/>
        </w:rPr>
        <w:t>3.1</w:t>
      </w:r>
      <w:r w:rsidR="004F4A0F" w:rsidRPr="00970E94">
        <w:rPr>
          <w:sz w:val="22"/>
          <w:szCs w:val="22"/>
        </w:rPr>
        <w:t xml:space="preserve">%) more likely to be working in the U.S. two years after the lottery. </w:t>
      </w:r>
      <w:r w:rsidR="00495D2A" w:rsidRPr="00970E94">
        <w:rPr>
          <w:sz w:val="22"/>
          <w:szCs w:val="22"/>
        </w:rPr>
        <w:t>These effects are statistically significant but modest in magnitude, suggesting that many lottery losers remain through alternative channels such as subsequent lotteries or status extensions. The limited impact underscores the flexibility provided by the OPT program and other temporary work authorizations.</w:t>
      </w:r>
      <w:r w:rsidR="00495D2A" w:rsidRPr="00970E94">
        <w:rPr>
          <w:sz w:val="22"/>
          <w:szCs w:val="22"/>
        </w:rPr>
        <w:t xml:space="preserve"> </w:t>
      </w:r>
      <w:r w:rsidR="002C4875" w:rsidRPr="00970E94">
        <w:rPr>
          <w:sz w:val="22"/>
          <w:szCs w:val="22"/>
        </w:rPr>
        <w:t>Winners are also less likely to return to school, consistent with visa security enabling continued employment rather than further study to maintain legal status. Effects are larger among those nearing the end of OPT eligibility, when alternative work authorization options are most limited.</w:t>
      </w:r>
    </w:p>
    <w:p w:rsidR="00D02E08" w:rsidRPr="00970E94" w:rsidRDefault="002C4875" w:rsidP="00970E94">
      <w:pPr>
        <w:pStyle w:val="NormalWeb"/>
        <w:spacing w:before="60" w:beforeAutospacing="0" w:after="0" w:afterAutospacing="0" w:line="264" w:lineRule="auto"/>
        <w:ind w:firstLine="720"/>
        <w:rPr>
          <w:sz w:val="22"/>
          <w:szCs w:val="22"/>
        </w:rPr>
      </w:pPr>
      <w:r w:rsidRPr="00970E94">
        <w:rPr>
          <w:sz w:val="22"/>
          <w:szCs w:val="22"/>
        </w:rPr>
        <w:t xml:space="preserve">This paper contributes to the growing literature on skilled immigration and the H-1B program, which has largely examined firm-level effects on innovation, productivity, and native displacement (e.g., Kerr and Lincoln 2010; Doran, </w:t>
      </w:r>
      <w:proofErr w:type="spellStart"/>
      <w:r w:rsidRPr="00970E94">
        <w:rPr>
          <w:sz w:val="22"/>
          <w:szCs w:val="22"/>
        </w:rPr>
        <w:t>Gelber</w:t>
      </w:r>
      <w:proofErr w:type="spellEnd"/>
      <w:r w:rsidRPr="00970E94">
        <w:rPr>
          <w:sz w:val="22"/>
          <w:szCs w:val="22"/>
        </w:rPr>
        <w:t xml:space="preserve">, and </w:t>
      </w:r>
      <w:proofErr w:type="spellStart"/>
      <w:r w:rsidRPr="00970E94">
        <w:rPr>
          <w:sz w:val="22"/>
          <w:szCs w:val="22"/>
        </w:rPr>
        <w:t>Isen</w:t>
      </w:r>
      <w:proofErr w:type="spellEnd"/>
      <w:r w:rsidRPr="00970E94">
        <w:rPr>
          <w:sz w:val="22"/>
          <w:szCs w:val="22"/>
        </w:rPr>
        <w:t xml:space="preserve"> 2016; </w:t>
      </w:r>
      <w:proofErr w:type="spellStart"/>
      <w:r w:rsidRPr="00970E94">
        <w:rPr>
          <w:sz w:val="22"/>
          <w:szCs w:val="22"/>
        </w:rPr>
        <w:t>Mayda</w:t>
      </w:r>
      <w:proofErr w:type="spellEnd"/>
      <w:r w:rsidRPr="00970E94">
        <w:rPr>
          <w:sz w:val="22"/>
          <w:szCs w:val="22"/>
        </w:rPr>
        <w:t xml:space="preserve"> et al. 2022). By shifting the analysis to individual workers, I show that among U.S.-trained OPT holders, crowd-out of native workers from H-1B visas appears minimal. This contrasts with some firm-level evidence suggesting substitution between foreign and native labor. For this increasingly important subset of applicants, the H-1B program primarily facilitates the retention of U.S.-educated talent rather than displacing domestic workers—an insight with direct implications for skilled-immigration policy design.</w:t>
      </w:r>
    </w:p>
    <w:sectPr w:rsidR="00D02E08" w:rsidRPr="00970E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6C02" w:rsidRDefault="00976C02" w:rsidP="00037F74">
      <w:r>
        <w:separator/>
      </w:r>
    </w:p>
  </w:endnote>
  <w:endnote w:type="continuationSeparator" w:id="0">
    <w:p w:rsidR="00976C02" w:rsidRDefault="00976C02" w:rsidP="00037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6C02" w:rsidRDefault="00976C02" w:rsidP="00037F74">
      <w:r>
        <w:separator/>
      </w:r>
    </w:p>
  </w:footnote>
  <w:footnote w:type="continuationSeparator" w:id="0">
    <w:p w:rsidR="00976C02" w:rsidRDefault="00976C02" w:rsidP="00037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65F61"/>
    <w:multiLevelType w:val="hybridMultilevel"/>
    <w:tmpl w:val="FB92C414"/>
    <w:lvl w:ilvl="0" w:tplc="BC8009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BE0344"/>
    <w:multiLevelType w:val="hybridMultilevel"/>
    <w:tmpl w:val="CA76B8BE"/>
    <w:lvl w:ilvl="0" w:tplc="2DDA5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6736759">
    <w:abstractNumId w:val="0"/>
  </w:num>
  <w:num w:numId="2" w16cid:durableId="1263878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08"/>
    <w:rsid w:val="0002775B"/>
    <w:rsid w:val="00037F74"/>
    <w:rsid w:val="000665DE"/>
    <w:rsid w:val="0008418C"/>
    <w:rsid w:val="00086899"/>
    <w:rsid w:val="001935AF"/>
    <w:rsid w:val="00236AB8"/>
    <w:rsid w:val="0029259A"/>
    <w:rsid w:val="002C4875"/>
    <w:rsid w:val="0034122E"/>
    <w:rsid w:val="00495D2A"/>
    <w:rsid w:val="004F4A0F"/>
    <w:rsid w:val="00672909"/>
    <w:rsid w:val="006E0EED"/>
    <w:rsid w:val="008C79FA"/>
    <w:rsid w:val="00954B36"/>
    <w:rsid w:val="00970E94"/>
    <w:rsid w:val="00976C02"/>
    <w:rsid w:val="00B02BA2"/>
    <w:rsid w:val="00B267CE"/>
    <w:rsid w:val="00BD41E7"/>
    <w:rsid w:val="00BF0E90"/>
    <w:rsid w:val="00D02E08"/>
    <w:rsid w:val="00D43112"/>
    <w:rsid w:val="00DE4085"/>
    <w:rsid w:val="00E30A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386CCD3"/>
  <w15:chartTrackingRefBased/>
  <w15:docId w15:val="{F2794352-5FD9-6649-8B5F-E6DB221D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7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2E08"/>
    <w:pPr>
      <w:spacing w:before="100" w:beforeAutospacing="1" w:after="100" w:afterAutospacing="1"/>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037F74"/>
    <w:rPr>
      <w:sz w:val="20"/>
      <w:szCs w:val="20"/>
    </w:rPr>
  </w:style>
  <w:style w:type="character" w:customStyle="1" w:styleId="FootnoteTextChar">
    <w:name w:val="Footnote Text Char"/>
    <w:basedOn w:val="DefaultParagraphFont"/>
    <w:link w:val="FootnoteText"/>
    <w:uiPriority w:val="99"/>
    <w:semiHidden/>
    <w:rsid w:val="00037F74"/>
    <w:rPr>
      <w:sz w:val="20"/>
      <w:szCs w:val="20"/>
    </w:rPr>
  </w:style>
  <w:style w:type="character" w:styleId="FootnoteReference">
    <w:name w:val="footnote reference"/>
    <w:basedOn w:val="DefaultParagraphFont"/>
    <w:uiPriority w:val="99"/>
    <w:semiHidden/>
    <w:unhideWhenUsed/>
    <w:rsid w:val="00037F74"/>
    <w:rPr>
      <w:vertAlign w:val="superscript"/>
    </w:rPr>
  </w:style>
  <w:style w:type="paragraph" w:styleId="ListParagraph">
    <w:name w:val="List Paragraph"/>
    <w:basedOn w:val="Normal"/>
    <w:uiPriority w:val="34"/>
    <w:qFormat/>
    <w:rsid w:val="00672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3226">
      <w:bodyDiv w:val="1"/>
      <w:marLeft w:val="0"/>
      <w:marRight w:val="0"/>
      <w:marTop w:val="0"/>
      <w:marBottom w:val="0"/>
      <w:divBdr>
        <w:top w:val="none" w:sz="0" w:space="0" w:color="auto"/>
        <w:left w:val="none" w:sz="0" w:space="0" w:color="auto"/>
        <w:bottom w:val="none" w:sz="0" w:space="0" w:color="auto"/>
        <w:right w:val="none" w:sz="0" w:space="0" w:color="auto"/>
      </w:divBdr>
    </w:div>
    <w:div w:id="148445728">
      <w:bodyDiv w:val="1"/>
      <w:marLeft w:val="0"/>
      <w:marRight w:val="0"/>
      <w:marTop w:val="0"/>
      <w:marBottom w:val="0"/>
      <w:divBdr>
        <w:top w:val="none" w:sz="0" w:space="0" w:color="auto"/>
        <w:left w:val="none" w:sz="0" w:space="0" w:color="auto"/>
        <w:bottom w:val="none" w:sz="0" w:space="0" w:color="auto"/>
        <w:right w:val="none" w:sz="0" w:space="0" w:color="auto"/>
      </w:divBdr>
    </w:div>
    <w:div w:id="275021278">
      <w:bodyDiv w:val="1"/>
      <w:marLeft w:val="0"/>
      <w:marRight w:val="0"/>
      <w:marTop w:val="0"/>
      <w:marBottom w:val="0"/>
      <w:divBdr>
        <w:top w:val="none" w:sz="0" w:space="0" w:color="auto"/>
        <w:left w:val="none" w:sz="0" w:space="0" w:color="auto"/>
        <w:bottom w:val="none" w:sz="0" w:space="0" w:color="auto"/>
        <w:right w:val="none" w:sz="0" w:space="0" w:color="auto"/>
      </w:divBdr>
    </w:div>
    <w:div w:id="286661279">
      <w:bodyDiv w:val="1"/>
      <w:marLeft w:val="0"/>
      <w:marRight w:val="0"/>
      <w:marTop w:val="0"/>
      <w:marBottom w:val="0"/>
      <w:divBdr>
        <w:top w:val="none" w:sz="0" w:space="0" w:color="auto"/>
        <w:left w:val="none" w:sz="0" w:space="0" w:color="auto"/>
        <w:bottom w:val="none" w:sz="0" w:space="0" w:color="auto"/>
        <w:right w:val="none" w:sz="0" w:space="0" w:color="auto"/>
      </w:divBdr>
    </w:div>
    <w:div w:id="753669493">
      <w:bodyDiv w:val="1"/>
      <w:marLeft w:val="0"/>
      <w:marRight w:val="0"/>
      <w:marTop w:val="0"/>
      <w:marBottom w:val="0"/>
      <w:divBdr>
        <w:top w:val="none" w:sz="0" w:space="0" w:color="auto"/>
        <w:left w:val="none" w:sz="0" w:space="0" w:color="auto"/>
        <w:bottom w:val="none" w:sz="0" w:space="0" w:color="auto"/>
        <w:right w:val="none" w:sz="0" w:space="0" w:color="auto"/>
      </w:divBdr>
    </w:div>
    <w:div w:id="842818078">
      <w:bodyDiv w:val="1"/>
      <w:marLeft w:val="0"/>
      <w:marRight w:val="0"/>
      <w:marTop w:val="0"/>
      <w:marBottom w:val="0"/>
      <w:divBdr>
        <w:top w:val="none" w:sz="0" w:space="0" w:color="auto"/>
        <w:left w:val="none" w:sz="0" w:space="0" w:color="auto"/>
        <w:bottom w:val="none" w:sz="0" w:space="0" w:color="auto"/>
        <w:right w:val="none" w:sz="0" w:space="0" w:color="auto"/>
      </w:divBdr>
    </w:div>
    <w:div w:id="179976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1</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dc:description/>
  <cp:lastModifiedBy>Amy Kim</cp:lastModifiedBy>
  <cp:revision>3</cp:revision>
  <cp:lastPrinted>2025-10-16T02:38:00Z</cp:lastPrinted>
  <dcterms:created xsi:type="dcterms:W3CDTF">2025-10-16T02:38:00Z</dcterms:created>
  <dcterms:modified xsi:type="dcterms:W3CDTF">2025-10-20T14:01:00Z</dcterms:modified>
</cp:coreProperties>
</file>