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3D0EF595"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married women teachers by 3.5 p.p. (20%), </w:t>
      </w:r>
      <w:commentRangeStart w:id="0"/>
      <w:r w:rsidRPr="004C2F06">
        <w:rPr>
          <w:rFonts w:ascii="Times New Roman" w:hAnsi="Times New Roman" w:cs="Times New Roman"/>
          <w:sz w:val="22"/>
        </w:rPr>
        <w:t xml:space="preserve">partly by leading unmarried women to </w:t>
      </w:r>
      <w:r w:rsidR="00977880" w:rsidRPr="004C2F06">
        <w:rPr>
          <w:rFonts w:ascii="Times New Roman" w:hAnsi="Times New Roman" w:cs="Times New Roman"/>
          <w:sz w:val="22"/>
        </w:rPr>
        <w:t xml:space="preserve">switch from teaching to </w:t>
      </w:r>
      <w:r w:rsidRPr="004C2F06">
        <w:rPr>
          <w:rFonts w:ascii="Times New Roman" w:hAnsi="Times New Roman" w:cs="Times New Roman"/>
          <w:sz w:val="22"/>
        </w:rPr>
        <w:t>other occupations.</w:t>
      </w:r>
      <w:commentRangeEnd w:id="0"/>
      <w:r w:rsidR="00F0367A">
        <w:rPr>
          <w:rStyle w:val="CommentReference"/>
        </w:rPr>
        <w:commentReference w:id="0"/>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commentRangeStart w:id="1"/>
      <w:r w:rsidRPr="004C2F06">
        <w:rPr>
          <w:rFonts w:ascii="Times New Roman" w:hAnsi="Times New Roman" w:cs="Times New Roman"/>
        </w:rPr>
        <w:t>.</w:t>
      </w:r>
      <w:r w:rsidRPr="004C2F06">
        <w:rPr>
          <w:rFonts w:ascii="Times New Roman" w:hAnsi="Times New Roman" w:cs="Times New Roman"/>
          <w:color w:val="0000FF"/>
          <w:vertAlign w:val="superscript"/>
        </w:rPr>
        <w:footnoteReference w:id="5"/>
      </w:r>
      <w:commentRangeEnd w:id="1"/>
      <w:r w:rsidR="00F0367A">
        <w:rPr>
          <w:rStyle w:val="CommentReference"/>
        </w:rPr>
        <w:commentReference w:id="1"/>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we 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62FA69B0"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 xml:space="preserve">the employment of married women in teaching, specifically by increasing white women’s employment, with no effect on Black women. </w:t>
      </w:r>
      <w:commentRangeStart w:id="2"/>
      <w:r w:rsidRPr="004C2F06">
        <w:rPr>
          <w:rFonts w:ascii="Times New Roman" w:hAnsi="Times New Roman" w:cs="Times New Roman"/>
        </w:rPr>
        <w:t>Treated counties experienced a 4.0 percentage point (p.p.) increase between 1930 and 1940 (a 26% increase) in the share of teachers who were married women.</w:t>
      </w:r>
      <w:r w:rsidR="00A77DDA" w:rsidRPr="004C2F06">
        <w:rPr>
          <w:rFonts w:ascii="Times New Roman" w:hAnsi="Times New Roman" w:cs="Times New Roman"/>
        </w:rPr>
        <w:t xml:space="preserve"> </w:t>
      </w:r>
      <w:commentRangeEnd w:id="2"/>
      <w:r w:rsidR="00F0367A">
        <w:rPr>
          <w:rStyle w:val="CommentReference"/>
        </w:rPr>
        <w:commentReference w:id="2"/>
      </w:r>
      <w:r w:rsidRPr="004C2F06">
        <w:rPr>
          <w:rFonts w:ascii="Times New Roman" w:hAnsi="Times New Roman" w:cs="Times New Roman"/>
        </w:rPr>
        <w:t>The likelihood that a married woman worked as a teacher also increased by 17% between 1930 and 1940 in treated counties relative to control ones. Our estimates thus squarely reject the null hypothesis that policy changes aimed at prohibiting employer discrimination against married women had no effect on 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w:t>
      </w:r>
      <w:r w:rsidRPr="004C2F06">
        <w:rPr>
          <w:rFonts w:ascii="Times New Roman" w:hAnsi="Times New Roman" w:cs="Times New Roman"/>
        </w:rPr>
        <w:lastRenderedPageBreak/>
        <w:t xml:space="preserve">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w:t>
      </w:r>
      <w:r w:rsidRPr="004C2F06">
        <w:rPr>
          <w:rFonts w:ascii="Times New Roman" w:hAnsi="Times New Roman" w:cs="Times New Roman"/>
        </w:rPr>
        <w:lastRenderedPageBreak/>
        <w:t>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r w:rsidRPr="004C2F06">
        <w:rPr>
          <w:rFonts w:ascii="Times New Roman" w:hAnsi="Times New Roman" w:cs="Times New Roman"/>
          <w:color w:val="0000FF"/>
          <w:vertAlign w:val="superscript"/>
        </w:rPr>
        <w:footnoteReference w:id="6"/>
      </w:r>
    </w:p>
    <w:p w14:paraId="4BEDB19C" w14:textId="77777777"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 xml:space="preserve">Overall, our study shows that removing institutional barriers to employment specific to married women modestly improved white women’s labor market outcomes between 1930 and 1950. Our findings also serve as a cautionary tale: in the presence of gendered social attitudes, the costs of such policies may be borne by other women who are reshuffled to other occupations. </w:t>
      </w:r>
      <w:commentRangeStart w:id="3"/>
      <w:r w:rsidRPr="004C2F06">
        <w:rPr>
          <w:rFonts w:ascii="Times New Roman" w:hAnsi="Times New Roman" w:cs="Times New Roman"/>
        </w:rPr>
        <w:t>However, in our setting, we find an overall positive effect of prohibiting marriage bars on white women’s LFP and earnings.</w:t>
      </w:r>
      <w:commentRangeEnd w:id="3"/>
      <w:r w:rsidR="00CD1E5D">
        <w:rPr>
          <w:rStyle w:val="CommentReference"/>
        </w:rPr>
        <w:commentReference w:id="3"/>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who documents the use of marriage bars in the early 1900s U.S. and explores employers’ economic justifications for using 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Motivated by these findings, we study how the prohibition of marriage bars impacted married women’s LFP in the first half of the century. Our findings suggest that the prohibition of marriage bars had sizeable effects on married women’s LFP in the short run, </w:t>
      </w:r>
      <w:r w:rsidRPr="004C2F06">
        <w:rPr>
          <w:rFonts w:ascii="Times New Roman" w:hAnsi="Times New Roman" w:cs="Times New Roman"/>
        </w:rPr>
        <w:lastRenderedPageBreak/>
        <w:t>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paper provides new evidence of another example of an anti-discrimination policy with unintended consequences: while prohibiting marriage bars led married women’s employment 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lastRenderedPageBreak/>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In practice, marriage bars were implemented in two ways: married women were either not hired due to their marital status (“hire bars”), or single working women who got married were fired or expected to quit upon marriage (“retain bars”). Employers practiced one or both forms of 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w:t>
      </w:r>
      <w:r w:rsidRPr="004C2F06">
        <w:rPr>
          <w:rFonts w:ascii="Times New Roman" w:hAnsi="Times New Roman" w:cs="Times New Roman"/>
        </w:rPr>
        <w:lastRenderedPageBreak/>
        <w:t xml:space="preserve">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1951 (Goldin </w:t>
      </w:r>
      <w:r w:rsidRPr="004C2F06">
        <w:rPr>
          <w:rFonts w:ascii="Times New Roman" w:hAnsi="Times New Roman" w:cs="Times New Roman"/>
          <w:color w:val="0000FF"/>
        </w:rPr>
        <w:t>2021</w:t>
      </w:r>
      <w:r w:rsidRPr="004C2F06">
        <w:rPr>
          <w:rFonts w:ascii="Times New Roman" w:hAnsi="Times New Roman" w:cs="Times New Roman"/>
        </w:rPr>
        <w:t xml:space="preserve">). The surveys show that marriage bar use in schools increased over the course of the Great Depression, a trend that has been attributed to rising unemployment and scarcity of </w:t>
      </w:r>
      <w:r w:rsidRPr="004C2F06">
        <w:rPr>
          <w:rFonts w:ascii="Times New Roman" w:hAnsi="Times New Roman" w:cs="Times New Roman"/>
        </w:rPr>
        <w:lastRenderedPageBreak/>
        <w:t>jobs for men, then dropped significantly throughout the 1940s.</w:t>
      </w:r>
      <w:r w:rsidRPr="004C2F06">
        <w:rPr>
          <w:rFonts w:ascii="Times New Roman" w:hAnsi="Times New Roman" w:cs="Times New Roman"/>
          <w:color w:val="0000FF"/>
          <w:vertAlign w:val="superscript"/>
        </w:rPr>
        <w:footnoteReference w:id="9"/>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As such, marriage bar use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11A8D294"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School districts were the most prominent employers that used marriage bars throughout the early twentieth century. </w:t>
      </w:r>
      <w:commentRangeStart w:id="4"/>
      <w:r w:rsidRPr="004C2F06">
        <w:rPr>
          <w:rFonts w:ascii="Times New Roman" w:hAnsi="Times New Roman" w:cs="Times New Roman"/>
        </w:rPr>
        <w:t>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 xml:space="preserve">dominated occupation and one of the few socially-accepted occupations for educated women at the time: in 1940, 31% of married women in the workforce with any college were teachers. </w:t>
      </w:r>
      <w:commentRangeEnd w:id="4"/>
      <w:r w:rsidR="004800D1">
        <w:rPr>
          <w:rStyle w:val="CommentReference"/>
        </w:rPr>
        <w:commentReference w:id="4"/>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 xml:space="preserve">of marriage bars. However, unlike in other occupations, discriminatory hiring policies in teaching were contested nationwide in debates over tenure protection for teachers from the 1910s onward. </w:t>
      </w:r>
      <w:r w:rsidRPr="004C2F06">
        <w:rPr>
          <w:rFonts w:ascii="Times New Roman" w:hAnsi="Times New Roman" w:cs="Times New Roman"/>
        </w:rPr>
        <w:lastRenderedPageBreak/>
        <w:t>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suggests that the laws may have been more salient to school districts that were wary of being sued </w:t>
      </w:r>
      <w:r w:rsidRPr="004C2F06">
        <w:rPr>
          <w:rFonts w:ascii="Times New Roman" w:hAnsi="Times New Roman" w:cs="Times New Roman"/>
        </w:rPr>
        <w:lastRenderedPageBreak/>
        <w:t>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7552FF19" w14:textId="24222F4D"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t>
      </w:r>
      <w:commentRangeStart w:id="5"/>
      <w:r w:rsidRPr="004C2F06">
        <w:rPr>
          <w:rFonts w:ascii="Times New Roman" w:hAnsi="Times New Roman" w:cs="Times New Roman"/>
        </w:rPr>
        <w:t xml:space="preserve">We also drop the few linkages for which the sex or race is different between Censuses, or for which the implied year of birth varies by more than five years. Linkage rates are provided in Online Appendix </w:t>
      </w:r>
      <w:r w:rsidR="0041249B">
        <w:rPr>
          <w:rFonts w:ascii="Times New Roman" w:hAnsi="Times New Roman" w:cs="Times New Roman"/>
        </w:rPr>
        <w:t>Table B1</w:t>
      </w:r>
      <w:r w:rsidRPr="004C2F06">
        <w:rPr>
          <w:rFonts w:ascii="Times New Roman" w:hAnsi="Times New Roman" w:cs="Times New Roman"/>
        </w:rPr>
        <w:t>.</w:t>
      </w:r>
      <w:commentRangeEnd w:id="5"/>
      <w:r w:rsidR="00045B27">
        <w:rPr>
          <w:rStyle w:val="CommentReference"/>
        </w:rPr>
        <w:commentReference w:id="5"/>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3"/>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4"/>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5"/>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64D9291F"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6"/>
      </w:r>
      <w:r w:rsidRPr="004C2F06">
        <w:rPr>
          <w:rFonts w:ascii="Times New Roman" w:hAnsi="Times New Roman" w:cs="Times New Roman"/>
          <w:color w:val="0000FF"/>
          <w:vertAlign w:val="superscript"/>
        </w:rPr>
        <w:t xml:space="preserve"> </w:t>
      </w:r>
      <w:commentRangeStart w:id="6"/>
      <w:r w:rsidRPr="004C2F06">
        <w:rPr>
          <w:rFonts w:ascii="Times New Roman" w:hAnsi="Times New Roman" w:cs="Times New Roman"/>
        </w:rPr>
        <w:t>The main parameter of interest is</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oMath>
      <w:r w:rsidRPr="004C2F06">
        <w:rPr>
          <w:rFonts w:ascii="Times New Roman" w:hAnsi="Times New Roman" w:cs="Times New Roman"/>
        </w:rPr>
        <w:t xml:space="preserve">which, under certain assumptions, captures the effect of being in a treated state in year </w:t>
      </w:r>
      <w:r w:rsidRPr="004C2F06">
        <w:rPr>
          <w:rFonts w:ascii="Times New Roman" w:hAnsi="Times New Roman" w:cs="Times New Roman"/>
          <w:i/>
        </w:rPr>
        <w:t xml:space="preserve">k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xml:space="preserve">. </w:t>
      </w:r>
      <w:commentRangeEnd w:id="6"/>
      <w:r w:rsidR="00EA4F0D">
        <w:rPr>
          <w:rStyle w:val="CommentReference"/>
        </w:rPr>
        <w:commentReference w:id="6"/>
      </w:r>
      <w:r w:rsidRPr="004C2F06">
        <w:rPr>
          <w:rFonts w:ascii="Times New Roman" w:hAnsi="Times New Roman" w:cs="Times New Roman"/>
        </w:rPr>
        <w:t>Standard errors are clustered at the county level in the main analysis.</w:t>
      </w:r>
      <w:r w:rsidRPr="004C2F06">
        <w:rPr>
          <w:rFonts w:ascii="Times New Roman" w:hAnsi="Times New Roman" w:cs="Times New Roman"/>
          <w:color w:val="0000FF"/>
          <w:vertAlign w:val="superscript"/>
        </w:rPr>
        <w:footnoteReference w:id="17"/>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2"/>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4"/>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5"/>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6"/>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0798143D"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increased occupational scores and labor force participation on average across all incumbent unmarried teachers (Columns 2 and 4), </w:t>
      </w:r>
      <w:commentRangeStart w:id="7"/>
      <w:r w:rsidRPr="004C2F06">
        <w:rPr>
          <w:rFonts w:ascii="Times New Roman" w:hAnsi="Times New Roman" w:cs="Times New Roman"/>
        </w:rPr>
        <w:t xml:space="preserve">we find these increases were entirely driven by those in treated states who got married and kept their jobs </w:t>
      </w:r>
      <w:commentRangeEnd w:id="7"/>
      <w:r w:rsidR="00E02A6A">
        <w:rPr>
          <w:rStyle w:val="CommentReference"/>
        </w:rPr>
        <w:commentReference w:id="7"/>
      </w:r>
      <w:r w:rsidRPr="004C2F06">
        <w:rPr>
          <w:rFonts w:ascii="Times New Roman" w:hAnsi="Times New Roman" w:cs="Times New Roman"/>
        </w:rPr>
        <w:t>(Columns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7"/>
      </w:r>
    </w:p>
    <w:p w14:paraId="3535950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Finally, </w:t>
      </w:r>
      <w:commentRangeStart w:id="8"/>
      <w:r w:rsidRPr="004C2F06">
        <w:rPr>
          <w:rFonts w:ascii="Times New Roman" w:hAnsi="Times New Roman" w:cs="Times New Roman"/>
        </w:rPr>
        <w:t>we detect no effect of the prohibitions on the overall LFP of women,</w:t>
      </w:r>
      <w:commentRangeEnd w:id="8"/>
      <w:r w:rsidR="00E02A6A">
        <w:rPr>
          <w:rStyle w:val="CommentReference"/>
        </w:rPr>
        <w:commentReference w:id="8"/>
      </w:r>
      <w:r w:rsidRPr="004C2F06">
        <w:rPr>
          <w:rFonts w:ascii="Times New Roman" w:hAnsi="Times New Roman" w:cs="Times New Roman"/>
        </w:rPr>
        <w:t xml:space="preserve">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63A29FFB" w14:textId="77777777" w:rsidR="003C25C8" w:rsidRPr="004C2F06" w:rsidRDefault="00000000" w:rsidP="004E2DB5">
      <w:pPr>
        <w:spacing w:after="427" w:line="420" w:lineRule="auto"/>
        <w:ind w:left="-15" w:firstLine="468"/>
        <w:rPr>
          <w:rFonts w:ascii="Times New Roman" w:hAnsi="Times New Roman" w:cs="Times New Roman"/>
        </w:rPr>
      </w:pPr>
      <w:commentRangeStart w:id="9"/>
      <w:r w:rsidRPr="004C2F06">
        <w:rPr>
          <w:rFonts w:ascii="Times New Roman" w:hAnsi="Times New Roman" w:cs="Times New Roman"/>
        </w:rPr>
        <w:t xml:space="preserve">Taken together, our results suggest that the prohibitions increased women’s LFP </w:t>
      </w:r>
      <w:commentRangeEnd w:id="9"/>
      <w:r w:rsidR="00E02A6A">
        <w:rPr>
          <w:rStyle w:val="CommentReference"/>
        </w:rPr>
        <w:commentReference w:id="9"/>
      </w:r>
      <w:r w:rsidRPr="004C2F06">
        <w:rPr>
          <w:rFonts w:ascii="Times New Roman" w:hAnsi="Times New Roman" w:cs="Times New Roman"/>
        </w:rPr>
        <w:t>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force, and thus earned significantly more than they would have otherwise (Online Appendix Table B5, Columns 3 and 5).</w:t>
      </w: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suggest that while the policy did displace some unmarried women, </w:t>
      </w:r>
      <w:commentRangeStart w:id="10"/>
      <w:r w:rsidRPr="004C2F06">
        <w:rPr>
          <w:rFonts w:ascii="Times New Roman" w:hAnsi="Times New Roman" w:cs="Times New Roman"/>
        </w:rPr>
        <w:t>the net effect on white women’s LFP was positive,</w:t>
      </w:r>
      <w:commentRangeEnd w:id="10"/>
      <w:r w:rsidR="00C96925">
        <w:rPr>
          <w:rStyle w:val="CommentReference"/>
        </w:rPr>
        <w:commentReference w:id="10"/>
      </w:r>
      <w:r w:rsidRPr="004C2F06">
        <w:rPr>
          <w:rFonts w:ascii="Times New Roman" w:hAnsi="Times New Roman" w:cs="Times New Roman"/>
        </w:rPr>
        <w:t xml:space="preserve"> as the policy pulled white married women into teaching who would have otherwise not been in the labor force.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lastRenderedPageBreak/>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lastRenderedPageBreak/>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lastRenderedPageBreak/>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7B147389"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76F4D9E9"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lastRenderedPageBreak/>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1F05ECC"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2FA2059E"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5507E818"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lastRenderedPageBreak/>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12"/>
          <w:footerReference w:type="default" r:id="rId13"/>
          <w:footerReference w:type="first" r:id="rId14"/>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w:pict>
              <v:group w14:anchorId="317E0593" id="Group 46456" o:spid="_x0000_s1026" style="width:590.3pt;height:2.4pt;mso-position-horizontal-relative:char;mso-position-vertical-relative:line" coordsize="7497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">
                <v:shape id="Shape 2381" o:spid="_x0000_s1027" style="position:absolute;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" path="m,l7497001,e" filled="f" strokeweight=".14042mm">
                  <v:stroke miterlimit="83231f" joinstyle="miter"/>
                  <v:path arrowok="t" textboxrect="0,0,7497001,0"/>
                </v:shape>
                <v:shape id="Shape 2382" o:spid="_x0000_s1028" style="position:absolute;top:303;width:74970;height:0;visibility:visible;mso-wrap-style:square;v-text-anchor:top" coordsize="7497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" path="m,l7497001,e" filled="f" strokeweight=".14042mm">
                  <v:stroke miterlimit="83231f" joinstyle="miter"/>
                  <v:path arrowok="t" textboxrect="0,0,7497001,0"/>
                </v:shape>
                <w10:anchorlock/>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All teachers</w:t>
      </w:r>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5"/>
          <w:footerReference w:type="default" r:id="rId16"/>
          <w:footerReference w:type="first" r:id="rId17"/>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r w:rsidRPr="004C2F06">
              <w:rPr>
                <w:rFonts w:ascii="Times New Roman" w:hAnsi="Times New Roman" w:cs="Times New Roman"/>
                <w:sz w:val="17"/>
              </w:rPr>
              <w:t xml:space="preserve">Pr(Married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8"/>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9"/>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20"/>
          <w:footerReference w:type="default" r:id="rId21"/>
          <w:footerReference w:type="first" r:id="rId22"/>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23"/>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4"/>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5"/>
      <w:footerReference w:type="default" r:id="rId26"/>
      <w:footerReference w:type="first" r:id="rId27"/>
      <w:pgSz w:w="12240" w:h="15840"/>
      <w:pgMar w:top="1440" w:right="1440" w:bottom="1440" w:left="1440" w:header="720" w:footer="144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yn Moehling" w:date="2025-12-05T17:24:00Z" w:initials="CM">
    <w:p w14:paraId="7CA8C1D8" w14:textId="77777777" w:rsidR="00F0367A" w:rsidRDefault="00F0367A" w:rsidP="00F0367A">
      <w:pPr>
        <w:pStyle w:val="CommentText"/>
        <w:ind w:left="0" w:firstLine="0"/>
        <w:jc w:val="left"/>
      </w:pPr>
      <w:r>
        <w:rPr>
          <w:rStyle w:val="CommentReference"/>
        </w:rPr>
        <w:annotationRef/>
      </w:r>
      <w:r>
        <w:t xml:space="preserve">I am still worried about the verb here.  “Leading” suggests that unmarried women teachers altered their occupation due to the law.  I also think a more intuitive finding to highlight is that unmarried teachers became less likely to leave teaching when they got married.    </w:t>
      </w:r>
    </w:p>
  </w:comment>
  <w:comment w:id="1" w:author="Carolyn Moehling" w:date="2025-12-05T17:15:00Z" w:initials="CM">
    <w:p w14:paraId="5E06ED7E" w14:textId="4BBDE087" w:rsidR="00F0367A" w:rsidRDefault="00F0367A" w:rsidP="00F0367A">
      <w:pPr>
        <w:pStyle w:val="CommentText"/>
        <w:ind w:left="0" w:firstLine="0"/>
        <w:jc w:val="left"/>
      </w:pPr>
      <w:r>
        <w:rPr>
          <w:rStyle w:val="CommentReference"/>
        </w:rPr>
        <w:annotationRef/>
      </w:r>
      <w:r>
        <w:t>In this footnote, you make the comment, “the lack of coverage of these specific laws prohibiting marriage bars in teaching in local media…”  Please provide a citation for this or explain how you came to this conclusion (i.e., did you do a search in local newspapers and find no reference to the laws?)</w:t>
      </w:r>
    </w:p>
  </w:comment>
  <w:comment w:id="2" w:author="Carolyn Moehling" w:date="2025-12-05T17:19:00Z" w:initials="CM">
    <w:p w14:paraId="3F419773" w14:textId="77777777" w:rsidR="00F0367A" w:rsidRDefault="00F0367A" w:rsidP="00F0367A">
      <w:pPr>
        <w:pStyle w:val="CommentText"/>
        <w:ind w:left="0" w:firstLine="0"/>
        <w:jc w:val="left"/>
      </w:pPr>
      <w:r>
        <w:rPr>
          <w:rStyle w:val="CommentReference"/>
        </w:rPr>
        <w:annotationRef/>
      </w:r>
      <w:r>
        <w:t>The abstract states 3.5 p.p. and 20%.   Why the discrepancy? I think it might be best to cite the same result here as you do in the abstract.  Also, do you want to refine this to state the result for white married women only?</w:t>
      </w:r>
    </w:p>
  </w:comment>
  <w:comment w:id="3" w:author="Carolyn Moehling" w:date="2025-12-05T17:27:00Z" w:initials="CM">
    <w:p w14:paraId="083363A9" w14:textId="77777777" w:rsidR="00CD1E5D" w:rsidRDefault="00CD1E5D" w:rsidP="00CD1E5D">
      <w:pPr>
        <w:pStyle w:val="CommentText"/>
        <w:ind w:left="0" w:firstLine="0"/>
        <w:jc w:val="left"/>
      </w:pPr>
      <w:r>
        <w:rPr>
          <w:rStyle w:val="CommentReference"/>
        </w:rPr>
        <w:annotationRef/>
      </w:r>
      <w:r>
        <w:t>How is this not a contradiction to footnote 3?</w:t>
      </w:r>
    </w:p>
  </w:comment>
  <w:comment w:id="4" w:author="Carolyn Moehling" w:date="2025-12-05T16:46:00Z" w:initials="CM">
    <w:p w14:paraId="35FFAE12" w14:textId="49ED6555" w:rsidR="004800D1" w:rsidRDefault="004800D1" w:rsidP="004800D1">
      <w:pPr>
        <w:pStyle w:val="CommentText"/>
        <w:ind w:left="0" w:firstLine="0"/>
        <w:jc w:val="left"/>
      </w:pPr>
      <w:r>
        <w:rPr>
          <w:rStyle w:val="CommentReference"/>
        </w:rPr>
        <w:annotationRef/>
      </w:r>
      <w:r>
        <w:t>This needs a citation or an explanation of how the 31% figure was derived.</w:t>
      </w:r>
    </w:p>
  </w:comment>
  <w:comment w:id="5" w:author="Carolyn Moehling" w:date="2025-12-05T17:36:00Z" w:initials="CM">
    <w:p w14:paraId="2A98D3DD" w14:textId="77777777" w:rsidR="00045B27" w:rsidRDefault="00045B27" w:rsidP="00045B27">
      <w:pPr>
        <w:pStyle w:val="CommentText"/>
        <w:ind w:left="0" w:firstLine="0"/>
        <w:jc w:val="left"/>
      </w:pPr>
      <w:r>
        <w:rPr>
          <w:rStyle w:val="CommentReference"/>
        </w:rPr>
        <w:annotationRef/>
      </w:r>
      <w:r>
        <w:t xml:space="preserve">Please add a discussion of the possible biases due to linkage loss here.  The much lower linkage rates for unmarried women than married women are a cause for concern given your research agenda.  I worry a bit that </w:t>
      </w:r>
      <w:proofErr w:type="gramStart"/>
      <w:r>
        <w:t>your</w:t>
      </w:r>
      <w:proofErr w:type="gramEnd"/>
      <w:r>
        <w:t xml:space="preserve"> finding that unmarried teachers moved into other occupations may reflect selection bias due to differences in linkage rates by skill and education.   </w:t>
      </w:r>
    </w:p>
  </w:comment>
  <w:comment w:id="6" w:author="Carolyn Moehling" w:date="2025-12-05T17:46:00Z" w:initials="CM">
    <w:p w14:paraId="64142598" w14:textId="77777777" w:rsidR="00EA4F0D" w:rsidRDefault="00EA4F0D" w:rsidP="00EA4F0D">
      <w:pPr>
        <w:pStyle w:val="CommentText"/>
        <w:ind w:left="0" w:firstLine="0"/>
        <w:jc w:val="left"/>
      </w:pPr>
      <w:r>
        <w:rPr>
          <w:rStyle w:val="CommentReference"/>
        </w:rPr>
        <w:annotationRef/>
      </w:r>
      <w:r>
        <w:t>Would it be more appropriate to say that the main parameters of interest are the gammas on k=1940 and 1950, post treatment?  You do not present the other gammas.</w:t>
      </w:r>
    </w:p>
  </w:comment>
  <w:comment w:id="7" w:author="Carolyn Moehling" w:date="2025-12-05T18:01:00Z" w:initials="CM">
    <w:p w14:paraId="5CAB64D9" w14:textId="77777777" w:rsidR="00C96925" w:rsidRDefault="00E02A6A" w:rsidP="00C96925">
      <w:pPr>
        <w:pStyle w:val="CommentText"/>
        <w:ind w:left="0" w:firstLine="0"/>
        <w:jc w:val="left"/>
      </w:pPr>
      <w:r>
        <w:rPr>
          <w:rStyle w:val="CommentReference"/>
        </w:rPr>
        <w:annotationRef/>
      </w:r>
      <w:r w:rsidR="00C96925">
        <w:t>The occupational score for teachers does not vary across census years so this statement does not make sense.  The estimated effects are relative to counterparts in the control states.</w:t>
      </w:r>
    </w:p>
  </w:comment>
  <w:comment w:id="8" w:author="Carolyn Moehling" w:date="2025-12-05T18:02:00Z" w:initials="CM">
    <w:p w14:paraId="2FB61254" w14:textId="102106BC" w:rsidR="00E02A6A" w:rsidRDefault="00E02A6A" w:rsidP="00E02A6A">
      <w:pPr>
        <w:pStyle w:val="CommentText"/>
        <w:ind w:left="0" w:firstLine="0"/>
        <w:jc w:val="left"/>
      </w:pPr>
      <w:r>
        <w:rPr>
          <w:rStyle w:val="CommentReference"/>
        </w:rPr>
        <w:annotationRef/>
      </w:r>
      <w:r>
        <w:t>How do you reconcile this with the statement below?</w:t>
      </w:r>
    </w:p>
  </w:comment>
  <w:comment w:id="9" w:author="Carolyn Moehling" w:date="2025-12-05T18:03:00Z" w:initials="CM">
    <w:p w14:paraId="19B19EA5" w14:textId="77777777" w:rsidR="00E02A6A" w:rsidRDefault="00E02A6A" w:rsidP="00E02A6A">
      <w:pPr>
        <w:pStyle w:val="CommentText"/>
        <w:ind w:left="0" w:firstLine="0"/>
        <w:jc w:val="left"/>
      </w:pPr>
      <w:r>
        <w:rPr>
          <w:rStyle w:val="CommentReference"/>
        </w:rPr>
        <w:annotationRef/>
      </w:r>
      <w:r>
        <w:t>This is the “statement below”.  You need to be more precise in how you summarize your findings.</w:t>
      </w:r>
    </w:p>
  </w:comment>
  <w:comment w:id="10" w:author="Carolyn Moehling" w:date="2025-12-05T18:06:00Z" w:initials="CM">
    <w:p w14:paraId="71F80557" w14:textId="77777777" w:rsidR="00C96925" w:rsidRDefault="00C96925" w:rsidP="00C96925">
      <w:pPr>
        <w:pStyle w:val="CommentText"/>
        <w:ind w:left="0" w:firstLine="0"/>
        <w:jc w:val="left"/>
      </w:pPr>
      <w:r>
        <w:rPr>
          <w:rStyle w:val="CommentReference"/>
        </w:rPr>
        <w:annotationRef/>
      </w:r>
      <w:r>
        <w:t>Again, this seems inconsistent with what you state are your findings of the impact of on the overall female LFP.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A8C1D8" w15:done="0"/>
  <w15:commentEx w15:paraId="5E06ED7E" w15:done="0"/>
  <w15:commentEx w15:paraId="3F419773" w15:done="0"/>
  <w15:commentEx w15:paraId="083363A9" w15:done="0"/>
  <w15:commentEx w15:paraId="35FFAE12" w15:done="0"/>
  <w15:commentEx w15:paraId="2A98D3DD" w15:done="0"/>
  <w15:commentEx w15:paraId="64142598" w15:done="0"/>
  <w15:commentEx w15:paraId="5CAB64D9" w15:done="0"/>
  <w15:commentEx w15:paraId="2FB61254" w15:done="0"/>
  <w15:commentEx w15:paraId="19B19EA5" w15:done="0"/>
  <w15:commentEx w15:paraId="71F805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284BE" w16cex:dateUtc="2025-12-05T22:24:00Z"/>
  <w16cex:commentExtensible w16cex:durableId="3D646942" w16cex:dateUtc="2025-12-05T22:15:00Z"/>
  <w16cex:commentExtensible w16cex:durableId="5ADBE489" w16cex:dateUtc="2025-12-05T22:19:00Z"/>
  <w16cex:commentExtensible w16cex:durableId="4D5D9899" w16cex:dateUtc="2025-12-05T22:27:00Z"/>
  <w16cex:commentExtensible w16cex:durableId="0D609B10" w16cex:dateUtc="2025-12-05T21:46:00Z"/>
  <w16cex:commentExtensible w16cex:durableId="115BB904" w16cex:dateUtc="2025-12-05T22:36:00Z"/>
  <w16cex:commentExtensible w16cex:durableId="10A62AF1" w16cex:dateUtc="2025-12-05T22:46:00Z"/>
  <w16cex:commentExtensible w16cex:durableId="12832199" w16cex:dateUtc="2025-12-05T23:01:00Z"/>
  <w16cex:commentExtensible w16cex:durableId="405CCEA4" w16cex:dateUtc="2025-12-05T23:02:00Z"/>
  <w16cex:commentExtensible w16cex:durableId="075947C6" w16cex:dateUtc="2025-12-05T23:03:00Z"/>
  <w16cex:commentExtensible w16cex:durableId="47B8A2A9" w16cex:dateUtc="2025-12-05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A8C1D8" w16cid:durableId="273284BE"/>
  <w16cid:commentId w16cid:paraId="5E06ED7E" w16cid:durableId="3D646942"/>
  <w16cid:commentId w16cid:paraId="3F419773" w16cid:durableId="5ADBE489"/>
  <w16cid:commentId w16cid:paraId="083363A9" w16cid:durableId="4D5D9899"/>
  <w16cid:commentId w16cid:paraId="35FFAE12" w16cid:durableId="0D609B10"/>
  <w16cid:commentId w16cid:paraId="2A98D3DD" w16cid:durableId="115BB904"/>
  <w16cid:commentId w16cid:paraId="64142598" w16cid:durableId="10A62AF1"/>
  <w16cid:commentId w16cid:paraId="5CAB64D9" w16cid:durableId="12832199"/>
  <w16cid:commentId w16cid:paraId="2FB61254" w16cid:durableId="405CCEA4"/>
  <w16cid:commentId w16cid:paraId="19B19EA5" w16cid:durableId="075947C6"/>
  <w16cid:commentId w16cid:paraId="71F80557" w16cid:durableId="47B8A2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2FB1C" w14:textId="77777777" w:rsidR="001B2CD1" w:rsidRDefault="001B2CD1">
      <w:pPr>
        <w:spacing w:after="0" w:line="240" w:lineRule="auto"/>
      </w:pPr>
      <w:r>
        <w:separator/>
      </w:r>
    </w:p>
  </w:endnote>
  <w:endnote w:type="continuationSeparator" w:id="0">
    <w:p w14:paraId="313E86C4" w14:textId="77777777" w:rsidR="001B2CD1" w:rsidRDefault="001B2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5E933" w14:textId="77777777" w:rsidR="001B2CD1" w:rsidRDefault="001B2CD1">
      <w:pPr>
        <w:spacing w:after="21" w:line="253" w:lineRule="auto"/>
        <w:ind w:left="0" w:firstLine="332"/>
      </w:pPr>
      <w:r>
        <w:separator/>
      </w:r>
    </w:p>
  </w:footnote>
  <w:footnote w:type="continuationSeparator" w:id="0">
    <w:p w14:paraId="0225DCE7" w14:textId="77777777" w:rsidR="001B2CD1" w:rsidRDefault="001B2CD1">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77777777"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media suggest that the average married woman would have had limited awareness of the policy, indicating that changes in schools’ labor demand likely played the more central role.</w:t>
      </w:r>
    </w:p>
  </w:footnote>
  <w:footnote w:id="6">
    <w:p w14:paraId="4E0B5B70" w14:textId="77777777" w:rsidR="003C25C8" w:rsidRPr="00D4617A" w:rsidRDefault="00000000" w:rsidP="009E49F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That said, we detect no effect of the prohibitions on all women’s LFP. This is unsurprising, given that that the prohibitions targeted teaching specifically and only a small share of women were teachers.</w:t>
      </w:r>
    </w:p>
  </w:footnote>
  <w:footnote w:id="7">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2C7A0A6B" w14:textId="7777777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3">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4">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5">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6">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7">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8">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19">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0">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1">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2">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3">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4">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5">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6">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7">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yn Moehling">
    <w15:presenceInfo w15:providerId="AD" w15:userId="S::moehling@nbcp.rutgers.edu::3216d029-0025-4a32-b633-b1926f8a77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45B27"/>
    <w:rsid w:val="0006745D"/>
    <w:rsid w:val="000A0A02"/>
    <w:rsid w:val="000B1637"/>
    <w:rsid w:val="000B70F8"/>
    <w:rsid w:val="000B779F"/>
    <w:rsid w:val="000D4CAB"/>
    <w:rsid w:val="000D593C"/>
    <w:rsid w:val="000F0F9E"/>
    <w:rsid w:val="000F1F48"/>
    <w:rsid w:val="000F596C"/>
    <w:rsid w:val="00127928"/>
    <w:rsid w:val="00132357"/>
    <w:rsid w:val="00145ED6"/>
    <w:rsid w:val="00183A9F"/>
    <w:rsid w:val="001920CF"/>
    <w:rsid w:val="001B2CD1"/>
    <w:rsid w:val="001B3489"/>
    <w:rsid w:val="001C0C16"/>
    <w:rsid w:val="001F4E4B"/>
    <w:rsid w:val="00217A45"/>
    <w:rsid w:val="00243EE9"/>
    <w:rsid w:val="002A097D"/>
    <w:rsid w:val="002F096F"/>
    <w:rsid w:val="00304ECC"/>
    <w:rsid w:val="00305FBB"/>
    <w:rsid w:val="00311F1B"/>
    <w:rsid w:val="00330127"/>
    <w:rsid w:val="00331D23"/>
    <w:rsid w:val="00381BFC"/>
    <w:rsid w:val="003A33D5"/>
    <w:rsid w:val="003A5C66"/>
    <w:rsid w:val="003C25C8"/>
    <w:rsid w:val="003F62F7"/>
    <w:rsid w:val="00401D74"/>
    <w:rsid w:val="00401E7C"/>
    <w:rsid w:val="0041249B"/>
    <w:rsid w:val="00433995"/>
    <w:rsid w:val="00476C91"/>
    <w:rsid w:val="004800D1"/>
    <w:rsid w:val="004C2F06"/>
    <w:rsid w:val="004E2DB5"/>
    <w:rsid w:val="004E6068"/>
    <w:rsid w:val="004F2C4B"/>
    <w:rsid w:val="004F3915"/>
    <w:rsid w:val="0052102D"/>
    <w:rsid w:val="0052338B"/>
    <w:rsid w:val="005411B6"/>
    <w:rsid w:val="0054657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E0625"/>
    <w:rsid w:val="00837D71"/>
    <w:rsid w:val="00871CAE"/>
    <w:rsid w:val="00875BCE"/>
    <w:rsid w:val="00880328"/>
    <w:rsid w:val="008C3C5B"/>
    <w:rsid w:val="008C4784"/>
    <w:rsid w:val="008D6048"/>
    <w:rsid w:val="008E5084"/>
    <w:rsid w:val="008F1F7A"/>
    <w:rsid w:val="00906B65"/>
    <w:rsid w:val="00947162"/>
    <w:rsid w:val="00951D9B"/>
    <w:rsid w:val="00953557"/>
    <w:rsid w:val="00954953"/>
    <w:rsid w:val="00977213"/>
    <w:rsid w:val="00977880"/>
    <w:rsid w:val="009A5EA3"/>
    <w:rsid w:val="009B4224"/>
    <w:rsid w:val="009B7555"/>
    <w:rsid w:val="009C1D29"/>
    <w:rsid w:val="009C73C5"/>
    <w:rsid w:val="009E49FD"/>
    <w:rsid w:val="00A46E78"/>
    <w:rsid w:val="00A476D1"/>
    <w:rsid w:val="00A62D41"/>
    <w:rsid w:val="00A769EE"/>
    <w:rsid w:val="00A77DDA"/>
    <w:rsid w:val="00A93550"/>
    <w:rsid w:val="00AC0ED5"/>
    <w:rsid w:val="00AD02DC"/>
    <w:rsid w:val="00B30590"/>
    <w:rsid w:val="00B87157"/>
    <w:rsid w:val="00BA639D"/>
    <w:rsid w:val="00BB23AF"/>
    <w:rsid w:val="00C137EF"/>
    <w:rsid w:val="00C94655"/>
    <w:rsid w:val="00C96925"/>
    <w:rsid w:val="00CD1E5D"/>
    <w:rsid w:val="00CF4068"/>
    <w:rsid w:val="00D04F96"/>
    <w:rsid w:val="00D4617A"/>
    <w:rsid w:val="00D73CF8"/>
    <w:rsid w:val="00DD50BC"/>
    <w:rsid w:val="00E02A6A"/>
    <w:rsid w:val="00E04E18"/>
    <w:rsid w:val="00E11FF3"/>
    <w:rsid w:val="00E16703"/>
    <w:rsid w:val="00E22B8D"/>
    <w:rsid w:val="00E44FF8"/>
    <w:rsid w:val="00E855C6"/>
    <w:rsid w:val="00EA4F0D"/>
    <w:rsid w:val="00EA79E6"/>
    <w:rsid w:val="00F02C36"/>
    <w:rsid w:val="00F0367A"/>
    <w:rsid w:val="00F07FDE"/>
    <w:rsid w:val="00F25925"/>
    <w:rsid w:val="00F4303B"/>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 w:type="character" w:styleId="CommentReference">
    <w:name w:val="annotation reference"/>
    <w:basedOn w:val="DefaultParagraphFont"/>
    <w:uiPriority w:val="99"/>
    <w:semiHidden/>
    <w:unhideWhenUsed/>
    <w:rsid w:val="004800D1"/>
    <w:rPr>
      <w:sz w:val="16"/>
      <w:szCs w:val="16"/>
    </w:rPr>
  </w:style>
  <w:style w:type="paragraph" w:styleId="CommentText">
    <w:name w:val="annotation text"/>
    <w:basedOn w:val="Normal"/>
    <w:link w:val="CommentTextChar"/>
    <w:uiPriority w:val="99"/>
    <w:unhideWhenUsed/>
    <w:rsid w:val="004800D1"/>
    <w:pPr>
      <w:spacing w:line="240" w:lineRule="auto"/>
    </w:pPr>
    <w:rPr>
      <w:sz w:val="20"/>
      <w:szCs w:val="20"/>
    </w:rPr>
  </w:style>
  <w:style w:type="character" w:customStyle="1" w:styleId="CommentTextChar">
    <w:name w:val="Comment Text Char"/>
    <w:basedOn w:val="DefaultParagraphFont"/>
    <w:link w:val="CommentText"/>
    <w:uiPriority w:val="99"/>
    <w:rsid w:val="004800D1"/>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800D1"/>
    <w:rPr>
      <w:b/>
      <w:bCs/>
    </w:rPr>
  </w:style>
  <w:style w:type="character" w:customStyle="1" w:styleId="CommentSubjectChar">
    <w:name w:val="Comment Subject Char"/>
    <w:basedOn w:val="CommentTextChar"/>
    <w:link w:val="CommentSubject"/>
    <w:uiPriority w:val="99"/>
    <w:semiHidden/>
    <w:rsid w:val="004800D1"/>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48</Pages>
  <Words>12542</Words>
  <Characters>71493</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2</cp:revision>
  <dcterms:created xsi:type="dcterms:W3CDTF">2025-12-11T21:04:00Z</dcterms:created>
  <dcterms:modified xsi:type="dcterms:W3CDTF">2025-12-11T21:04:00Z</dcterms:modified>
</cp:coreProperties>
</file>