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F556" w14:textId="77777777" w:rsidR="001C671E" w:rsidRDefault="00000000">
      <w:pPr>
        <w:spacing w:after="265" w:line="265" w:lineRule="auto"/>
        <w:ind w:left="30" w:right="136"/>
        <w:jc w:val="center"/>
      </w:pPr>
      <w:r>
        <w:rPr>
          <w:sz w:val="41"/>
        </w:rPr>
        <w:t>The Effects of Prohibiting Marriage Bars:</w:t>
      </w:r>
    </w:p>
    <w:p w14:paraId="2481AB5A" w14:textId="77777777" w:rsidR="001C671E" w:rsidRDefault="00000000">
      <w:pPr>
        <w:spacing w:after="615" w:line="265" w:lineRule="auto"/>
        <w:ind w:left="30" w:right="0"/>
        <w:jc w:val="center"/>
      </w:pPr>
      <w:r>
        <w:rPr>
          <w:sz w:val="41"/>
        </w:rPr>
        <w:t>The Case of U.S. Teachers</w:t>
      </w:r>
      <w:r>
        <w:rPr>
          <w:rFonts w:ascii="Calibri" w:eastAsia="Calibri" w:hAnsi="Calibri" w:cs="Calibri"/>
          <w:color w:val="0000FF"/>
          <w:sz w:val="41"/>
          <w:vertAlign w:val="superscript"/>
        </w:rPr>
        <w:footnoteReference w:id="1"/>
      </w:r>
    </w:p>
    <w:p w14:paraId="1D975DA2" w14:textId="77777777" w:rsidR="001C671E" w:rsidRDefault="00000000">
      <w:pPr>
        <w:tabs>
          <w:tab w:val="center" w:pos="3267"/>
          <w:tab w:val="center" w:pos="6177"/>
        </w:tabs>
        <w:spacing w:after="243" w:line="259" w:lineRule="auto"/>
        <w:ind w:left="0" w:right="0" w:firstLine="0"/>
        <w:jc w:val="left"/>
      </w:pPr>
      <w:r>
        <w:rPr>
          <w:rFonts w:ascii="Calibri" w:eastAsia="Calibri" w:hAnsi="Calibri" w:cs="Calibri"/>
          <w:sz w:val="22"/>
        </w:rPr>
        <w:tab/>
      </w:r>
      <w:r>
        <w:rPr>
          <w:sz w:val="29"/>
        </w:rPr>
        <w:t>Amy Kim</w:t>
      </w:r>
      <w:r>
        <w:rPr>
          <w:sz w:val="29"/>
        </w:rPr>
        <w:tab/>
        <w:t>Carolyn Tsao</w:t>
      </w:r>
    </w:p>
    <w:p w14:paraId="52EFE3B2" w14:textId="77777777" w:rsidR="001C671E" w:rsidRDefault="00000000">
      <w:pPr>
        <w:tabs>
          <w:tab w:val="center" w:pos="3312"/>
          <w:tab w:val="center" w:pos="6221"/>
        </w:tabs>
        <w:spacing w:after="3" w:line="265" w:lineRule="auto"/>
        <w:ind w:left="0" w:right="0" w:firstLine="0"/>
        <w:jc w:val="left"/>
      </w:pPr>
      <w:r>
        <w:rPr>
          <w:rFonts w:ascii="Calibri" w:eastAsia="Calibri" w:hAnsi="Calibri" w:cs="Calibri"/>
          <w:sz w:val="22"/>
        </w:rPr>
        <w:tab/>
      </w:r>
      <w:r>
        <w:t>Princeton University</w:t>
      </w:r>
      <w:r>
        <w:rPr>
          <w:rFonts w:ascii="Calibri" w:eastAsia="Calibri" w:hAnsi="Calibri" w:cs="Calibri"/>
          <w:color w:val="0000FF"/>
          <w:sz w:val="31"/>
          <w:vertAlign w:val="superscript"/>
        </w:rPr>
        <w:footnoteReference w:id="2"/>
      </w:r>
      <w:r>
        <w:rPr>
          <w:rFonts w:ascii="Calibri" w:eastAsia="Calibri" w:hAnsi="Calibri" w:cs="Calibri"/>
          <w:color w:val="0000FF"/>
          <w:sz w:val="31"/>
          <w:vertAlign w:val="superscript"/>
        </w:rPr>
        <w:tab/>
      </w:r>
      <w:r>
        <w:t>Microsoft Research</w:t>
      </w:r>
      <w:r>
        <w:rPr>
          <w:rFonts w:ascii="Calibri" w:eastAsia="Calibri" w:hAnsi="Calibri" w:cs="Calibri"/>
          <w:color w:val="0000FF"/>
          <w:sz w:val="31"/>
          <w:vertAlign w:val="superscript"/>
        </w:rPr>
        <w:footnoteReference w:id="3"/>
      </w:r>
      <w:r>
        <w:br w:type="page"/>
      </w:r>
    </w:p>
    <w:p w14:paraId="57FF0751" w14:textId="77777777" w:rsidR="001C671E" w:rsidRDefault="00000000">
      <w:pPr>
        <w:spacing w:after="0" w:line="265" w:lineRule="auto"/>
        <w:ind w:left="30" w:right="136"/>
        <w:jc w:val="center"/>
      </w:pPr>
      <w:r>
        <w:rPr>
          <w:sz w:val="41"/>
        </w:rPr>
        <w:lastRenderedPageBreak/>
        <w:t>The Effects of Prohibiting Marriage Bars:</w:t>
      </w:r>
    </w:p>
    <w:p w14:paraId="6DC89E97" w14:textId="77777777" w:rsidR="001C671E" w:rsidRDefault="00000000">
      <w:pPr>
        <w:spacing w:after="671" w:line="265" w:lineRule="auto"/>
        <w:ind w:left="30" w:right="137"/>
        <w:jc w:val="center"/>
      </w:pPr>
      <w:r>
        <w:rPr>
          <w:sz w:val="41"/>
        </w:rPr>
        <w:t>The Case of U.S. Teachers</w:t>
      </w:r>
    </w:p>
    <w:p w14:paraId="447903D6" w14:textId="77777777" w:rsidR="001C671E" w:rsidRDefault="00000000">
      <w:pPr>
        <w:pStyle w:val="Heading1"/>
        <w:spacing w:after="262"/>
        <w:ind w:left="0" w:right="117" w:firstLine="0"/>
        <w:jc w:val="center"/>
      </w:pPr>
      <w:r>
        <w:rPr>
          <w:sz w:val="22"/>
        </w:rPr>
        <w:t>Abstract</w:t>
      </w:r>
    </w:p>
    <w:p w14:paraId="719501AE" w14:textId="77777777" w:rsidR="001C671E" w:rsidRDefault="00000000">
      <w:pPr>
        <w:spacing w:after="549" w:line="379" w:lineRule="auto"/>
        <w:ind w:left="585" w:right="702" w:firstLine="0"/>
      </w:pPr>
      <w:r>
        <w:rPr>
          <w:sz w:val="22"/>
        </w:rPr>
        <w:t>Married women in the early 20th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partly by leading unmarried women to switch from teaching to other occupations.</w:t>
      </w:r>
    </w:p>
    <w:p w14:paraId="7C6E6159" w14:textId="77777777" w:rsidR="001C671E" w:rsidRDefault="00000000">
      <w:pPr>
        <w:ind w:left="-5" w:right="102"/>
      </w:pPr>
      <w:r>
        <w:t xml:space="preserve">One of the most notable labor market shifts of the twentieth century was the rise of white married women working outside the home (Dora L Costa, “From Mill Town to Board Room: The Rise of Women’s Paid Labor,” </w:t>
      </w:r>
      <w:r>
        <w:rPr>
          <w:i/>
        </w:rPr>
        <w:t xml:space="preserve">Journal of Economic Perspectives </w:t>
      </w:r>
      <w:r>
        <w:t xml:space="preserve">14, no. 4 [2000]: 101– 122). Between 1900 and 2010 the share of married women in the U.S. labor force grew more than tenfold from 6% to 61% (Steven Ruggles et al., </w:t>
      </w:r>
      <w:r>
        <w:rPr>
          <w:i/>
        </w:rPr>
        <w:t xml:space="preserve">IPUMS Ancestry Full Count Data: Version 4.0 [dataset] </w:t>
      </w:r>
      <w:r>
        <w:t xml:space="preserve">[Minneapolis, MN: IPUMS, 2024]). Prior work documents how various factors contributed to the growth in married women’s labor supply from the 1960s onwards, including the introduction of new technologies, such as contraceptives and household appliances, and the shifting of social norms (Jeremy Greenwood, Ananth Seshadri, and Mehmet Yorukoglu, “Engines of Liberation,” </w:t>
      </w:r>
      <w:r>
        <w:rPr>
          <w:i/>
        </w:rPr>
        <w:t xml:space="preserve">The Review of Economic Studies </w:t>
      </w:r>
      <w:r>
        <w:t>72, no. 1 [2005]: 109–</w:t>
      </w:r>
    </w:p>
    <w:p w14:paraId="31999E53" w14:textId="77777777" w:rsidR="001C671E" w:rsidRDefault="00000000">
      <w:pPr>
        <w:ind w:left="-5" w:right="102"/>
      </w:pPr>
      <w:r>
        <w:t xml:space="preserve">133; Martha J Bailey, “More Power to the Pill: The Impact of Contraceptive Freedom on Women’s Life Cycle Labor Supply,” </w:t>
      </w:r>
      <w:r>
        <w:rPr>
          <w:i/>
        </w:rPr>
        <w:t xml:space="preserve">The Quarterly Journal of Economics </w:t>
      </w:r>
      <w:r>
        <w:t>121, no. 1 [2006]:</w:t>
      </w:r>
    </w:p>
    <w:p w14:paraId="6D5BADE4" w14:textId="77777777" w:rsidR="001C671E" w:rsidRDefault="00000000">
      <w:pPr>
        <w:ind w:left="-5" w:right="102"/>
      </w:pPr>
      <w:r>
        <w:t xml:space="preserve">289–320; Raquel Fern´andez and Joyce Wong, “Unilateral Divorce, the Decreasing Gender Gap, and Married Women’s Labor Force Participation,” </w:t>
      </w:r>
      <w:r>
        <w:rPr>
          <w:i/>
        </w:rPr>
        <w:t xml:space="preserve">American Economic Review </w:t>
      </w:r>
      <w:r>
        <w:t xml:space="preserve">104, no. 5 </w:t>
      </w:r>
      <w:r>
        <w:lastRenderedPageBreak/>
        <w:t xml:space="preserve">[2014]: 342–47; Marianne Bertrand, Emir Kamenica, and Jessica Pan, “Gender Identity and Relative Income Within Households,” </w:t>
      </w:r>
      <w:r>
        <w:rPr>
          <w:i/>
        </w:rPr>
        <w:t xml:space="preserve">The Quarterly Journal of Economics </w:t>
      </w:r>
      <w:r>
        <w:t>130, no. 2 [2015]: 571–614). However, less is known about the factors that contributed to the initial rise in women’s labor force participation (LFP), which began in the first half of the century.</w:t>
      </w:r>
    </w:p>
    <w:p w14:paraId="712AF890" w14:textId="77777777" w:rsidR="001C671E" w:rsidRDefault="00000000">
      <w:pPr>
        <w:ind w:left="-15" w:right="102" w:firstLine="468"/>
      </w:pPr>
      <w: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white-collar occupations, did not have the option to work due to employers’ widespread use of marriage bars—a form of employer discrimination based on a woman’s marital status (Claudia Goldin, “Marriage Bars: Discrimination Against Married Women</w:t>
      </w:r>
    </w:p>
    <w:p w14:paraId="188EAC84" w14:textId="77777777" w:rsidR="001C671E" w:rsidRDefault="00000000">
      <w:pPr>
        <w:spacing w:after="171" w:line="259" w:lineRule="auto"/>
        <w:ind w:left="-5" w:right="102"/>
      </w:pPr>
      <w:r>
        <w:t xml:space="preserve">Workers from the 1920s to the 1950s.,” in </w:t>
      </w:r>
      <w:r>
        <w:rPr>
          <w:i/>
        </w:rPr>
        <w:t>Favorites of Fortune: Technology, Growth, and</w:t>
      </w:r>
    </w:p>
    <w:p w14:paraId="347D15B3" w14:textId="77777777" w:rsidR="001C671E" w:rsidRDefault="00000000">
      <w:pPr>
        <w:ind w:left="-5" w:right="102"/>
      </w:pPr>
      <w:r>
        <w:rPr>
          <w:i/>
        </w:rPr>
        <w:t xml:space="preserve">Economic Development since the Industrial Revolution </w:t>
      </w:r>
      <w:r>
        <w:t>[Harvard University Press, 1991], 511–536).</w:t>
      </w:r>
      <w:r>
        <w:rPr>
          <w:color w:val="0000FF"/>
          <w:vertAlign w:val="superscript"/>
        </w:rPr>
        <w:footnoteReference w:id="4"/>
      </w:r>
      <w:r>
        <w:rPr>
          <w:color w:val="0000FF"/>
          <w:vertAlign w:val="superscript"/>
        </w:rPr>
        <w:t xml:space="preserve"> </w:t>
      </w:r>
      <w:r>
        <w:t xml:space="preserve">Over the same time period however, debates over tenure protection laws in one particular occupation began to spread across the country, centering </w:t>
      </w:r>
      <w:r>
        <w:rPr>
          <w:i/>
        </w:rPr>
        <w:t xml:space="preserve">teachers </w:t>
      </w:r>
      <w: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Pr>
          <w:i/>
        </w:rPr>
        <w:t>prohibiting marriage bars in teaching</w:t>
      </w:r>
      <w:r>
        <w:t>. By comparing KY and NC to unaffected neighboring states in the Southern U.S., we evaluate how prohibiting the use of marriage bars in teaching affected the employment of married women and by extension the overall</w:t>
      </w:r>
    </w:p>
    <w:p w14:paraId="3DB65463" w14:textId="77777777" w:rsidR="001C671E" w:rsidRDefault="00000000">
      <w:pPr>
        <w:spacing w:after="158" w:line="259" w:lineRule="auto"/>
        <w:ind w:left="-5" w:right="102"/>
      </w:pPr>
      <w:r>
        <w:t>labor force.</w:t>
      </w:r>
    </w:p>
    <w:p w14:paraId="16D02412" w14:textId="77777777" w:rsidR="001C671E" w:rsidRDefault="00000000">
      <w:pPr>
        <w:ind w:left="-15" w:right="102" w:firstLine="468"/>
      </w:pPr>
      <w:r>
        <w:t xml:space="preserve">It is unclear </w:t>
      </w:r>
      <w:r>
        <w:rPr>
          <w:i/>
        </w:rPr>
        <w:t xml:space="preserve">ex-ante </w:t>
      </w:r>
      <w:r>
        <w:t xml:space="preserve">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w:t>
      </w:r>
      <w:r>
        <w:lastRenderedPageBreak/>
        <w:t>“neglecting home duties” (</w:t>
      </w:r>
      <w:r>
        <w:rPr>
          <w:i/>
          <w:color w:val="0000FF"/>
        </w:rPr>
        <w:t xml:space="preserve">New York Herald, </w:t>
      </w:r>
      <w:r>
        <w:t xml:space="preserve">18 September 1921 1921; </w:t>
      </w:r>
      <w:r>
        <w:rPr>
          <w:i/>
          <w:color w:val="0000FF"/>
        </w:rPr>
        <w:t xml:space="preserve">Oakland Tribune, </w:t>
      </w:r>
      <w:r>
        <w:t>26 June 1921. Oakland, CA 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4A0492AA" w14:textId="77777777" w:rsidR="001C671E" w:rsidRDefault="00000000">
      <w:pPr>
        <w:spacing w:after="29"/>
        <w:ind w:left="-15" w:right="102" w:firstLine="468"/>
      </w:pPr>
      <w:r>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Pr>
          <w:i/>
        </w:rPr>
        <w:t xml:space="preserve">difference-in-differences </w:t>
      </w:r>
      <w:r>
        <w:t xml:space="preserve">design, comparing outcomes in states that prohibited marriage bars to neighboring Southern states that did not. Using a combination of IPUMS full-count decennial U.S. census data spanning 1910-1950 (Ruggles et al., </w:t>
      </w:r>
      <w:r>
        <w:rPr>
          <w:i/>
          <w:color w:val="0000FF"/>
        </w:rPr>
        <w:t>IPUMS Ancestry Full Count</w:t>
      </w:r>
    </w:p>
    <w:p w14:paraId="2C7B7294" w14:textId="77777777" w:rsidR="001C671E" w:rsidRDefault="00000000">
      <w:pPr>
        <w:ind w:left="-5" w:right="102"/>
      </w:pPr>
      <w:r>
        <w:rPr>
          <w:i/>
          <w:color w:val="0000FF"/>
        </w:rPr>
        <w:t>Data: Version 4.0 [dataset]</w:t>
      </w:r>
      <w:r>
        <w:t xml:space="preserve">) and linkages from the Census Tree (Joseph Price et al., </w:t>
      </w:r>
      <w:r>
        <w:rPr>
          <w:i/>
        </w:rPr>
        <w:t xml:space="preserve">The Census Tree, 1910-1920 </w:t>
      </w:r>
      <w:r>
        <w:t xml:space="preserve">[Ann Arbor, MI: Inter-university Consortium for Political and Social Research [distributor], September 2023]; Joseph Price et al., </w:t>
      </w:r>
      <w:r>
        <w:rPr>
          <w:i/>
        </w:rPr>
        <w:t xml:space="preserve">The Census Tree, 1920-1930 </w:t>
      </w:r>
      <w:r>
        <w:t xml:space="preserve">[Ann Arbor, MI: Inter-university Consortium for Political and Social Research [distributor], September 2023]; Joseph Price et al., </w:t>
      </w:r>
      <w:r>
        <w:rPr>
          <w:i/>
        </w:rPr>
        <w:t xml:space="preserve">The Census Tree, 1930-1940 </w:t>
      </w:r>
      <w:r>
        <w:t xml:space="preserve">[Ann Arbor, MI: Interuniversity Consortium for Political and Social Research [distributor], September 2023]), the Census Linking Project (Abramitzky, Boustan, Eriksson, et al. 2022a,b,c), and the IPUMS Multigenerational Longitudinal Panel (Jonas Helgertz et al., </w:t>
      </w:r>
      <w:r>
        <w:rPr>
          <w:i/>
        </w:rPr>
        <w:t xml:space="preserve">IPUMS Multigenerational Longitudinal Panel: Version 1.1 [dataset] </w:t>
      </w:r>
      <w:r>
        <w:t xml:space="preserve">[Minneapolis, MN: IPUMS, 2023]; Steven Ruggles et al., </w:t>
      </w:r>
      <w:r>
        <w:rPr>
          <w:i/>
        </w:rPr>
        <w:t xml:space="preserve">IPUMS Ancestry Full Count Data: Version 3.0 [dataset] </w:t>
      </w:r>
      <w:r>
        <w:t xml:space="preserve">[Minneapolis, MN: IPUMS, 2021]), we use our design to evaluate how the policy change affected the composition of the teacher </w:t>
      </w:r>
      <w:r>
        <w:lastRenderedPageBreak/>
        <w:t>workforce in cross-sections and to track the employment outcomes of individual women over time.</w:t>
      </w:r>
      <w:r>
        <w:rPr>
          <w:color w:val="0000FF"/>
          <w:vertAlign w:val="superscript"/>
        </w:rPr>
        <w:footnoteReference w:id="5"/>
      </w:r>
    </w:p>
    <w:p w14:paraId="16E7640C" w14:textId="77777777" w:rsidR="001C671E" w:rsidRDefault="00000000">
      <w:pPr>
        <w:ind w:left="-15" w:right="102" w:firstLine="468"/>
      </w:pPr>
      <w: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(Claudia Goldin, </w:t>
      </w:r>
      <w:r>
        <w:rPr>
          <w:i/>
        </w:rPr>
        <w:t xml:space="preserve">Career and Family: Women’s Century-Long Journey toward Equity </w:t>
      </w:r>
      <w:r>
        <w:t>[Princeton NJ: Princeton University Press, 2021]), we observe both (1) detailed documentation of employment policies relative to other occupations, and (2) plausibly exogenous prohibitions of marriage bar use in several states.</w:t>
      </w:r>
    </w:p>
    <w:p w14:paraId="45F5D063" w14:textId="77777777" w:rsidR="001C671E" w:rsidRDefault="00000000">
      <w:pPr>
        <w:ind w:left="-15" w:right="102" w:firstLine="468"/>
      </w:pPr>
      <w: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Pr>
          <w:i/>
        </w:rPr>
        <w:t>Gallup Poll 1938-0131: Recreation/Marital Status of Teachers/James Roosevelt/Railroads/Elections, 1938 [Dataset]</w:t>
      </w:r>
      <w:r>
        <w:t xml:space="preserve">, Roper #31087115, Version 3. Gallup Organization [producer]. Cornell University, Ithaca, NY: Roper Center for Public Opinion Research [distributor]. Access Date: Feb-20-2024, 1938). </w:t>
      </w:r>
      <w:r>
        <w:lastRenderedPageBreak/>
        <w:t>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248505E" w14:textId="77777777" w:rsidR="001C671E" w:rsidRDefault="00000000">
      <w:pPr>
        <w:ind w:left="-15" w:right="102" w:firstLine="468"/>
      </w:pPr>
      <w: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2B3FD6EE" w14:textId="77777777" w:rsidR="001C671E" w:rsidRDefault="00000000">
      <w:pPr>
        <w:ind w:left="-15" w:right="102" w:firstLine="468"/>
      </w:pPr>
      <w:r>
        <w:t xml:space="preserve">Our main finding is that prohibiting marriage bars in teaching </w:t>
      </w:r>
      <w:r>
        <w:rPr>
          <w:i/>
        </w:rPr>
        <w:t xml:space="preserve">increased </w:t>
      </w:r>
      <w:r>
        <w:t>the employment of married women in teaching, specifically by increasing white women’s employment, with no effect on Black women. Treated counties experienced a 4.0 percentage point (p.p.) increase between 1930 and 1940 (a 26% increase) in the share of teachers who were married women.</w:t>
      </w:r>
    </w:p>
    <w:p w14:paraId="4B252574" w14:textId="77777777" w:rsidR="001C671E" w:rsidRDefault="00000000">
      <w:pPr>
        <w:ind w:left="-5" w:right="102"/>
      </w:pPr>
      <w:r>
        <w:t>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outcomes, and further suggest that marriage bars were not binding for Black women in the early twentieth century.</w:t>
      </w:r>
    </w:p>
    <w:p w14:paraId="6B1ABE70" w14:textId="77777777" w:rsidR="001C671E" w:rsidRDefault="00000000">
      <w:pPr>
        <w:ind w:left="-15" w:right="102" w:firstLine="468"/>
      </w:pPr>
      <w: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Pr>
          <w:i/>
        </w:rPr>
        <w:t xml:space="preserve">work as a teacher </w:t>
      </w:r>
      <w: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w:t>
      </w:r>
      <w:r>
        <w:lastRenderedPageBreak/>
        <w:t xml:space="preserve">more likely </w:t>
      </w:r>
      <w:r>
        <w:rPr>
          <w:i/>
        </w:rPr>
        <w:t xml:space="preserve">to enter teaching </w:t>
      </w:r>
      <w:r>
        <w:t xml:space="preserve">rather than remain out of the labor force, and unmarried women teachers becoming more likely </w:t>
      </w:r>
      <w:r>
        <w:rPr>
          <w:i/>
        </w:rPr>
        <w:t xml:space="preserve">remain in teaching </w:t>
      </w:r>
      <w:r>
        <w:t>after marriage rather than exiting the workforce. We therefore conclude that the prohibition of marriage bars pulled white married women into teaching from outside the labor force, rather than from other occupations.</w:t>
      </w:r>
    </w:p>
    <w:p w14:paraId="7C08ACB8" w14:textId="77777777" w:rsidR="001C671E" w:rsidRDefault="00000000">
      <w:pPr>
        <w:ind w:left="-15" w:right="102" w:firstLine="468"/>
      </w:pPr>
      <w:r>
        <w:t xml:space="preserve">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mento-women teachers before and after the laws as being consistent with two common beliefs that schools and other employers held at the time: that men and women workers were imperfect substitutes and that employing men took priority over employing women (Goldin, </w:t>
      </w:r>
      <w:r>
        <w:rPr>
          <w:i/>
          <w:color w:val="0000FF"/>
        </w:rPr>
        <w:t>Career and Family: Women’s Century-Long Journey toward Equity</w:t>
      </w:r>
      <w:r>
        <w:t xml:space="preserve">). Indeed, consistent with imperfect substitution, women teachers in many U.S. cities were paid less than a third of what men teachers were paid and tended to be allocated to subjects like home economics rather than mathematics (Chara H Bohan and Wesley Null, “Gender and the Evolution of Normal School Education: A Historical Analysis of Teacher Education Institutions,” </w:t>
      </w:r>
      <w:r>
        <w:rPr>
          <w:i/>
        </w:rPr>
        <w:t xml:space="preserve">Educational Foundations </w:t>
      </w:r>
      <w:r>
        <w:t>21, nos. 3–4 [2007]: 3–26; Jackie Blount, “Manly Men and Womanly</w:t>
      </w:r>
    </w:p>
    <w:p w14:paraId="73D70D8B" w14:textId="77777777" w:rsidR="001C671E" w:rsidRDefault="00000000">
      <w:pPr>
        <w:ind w:left="-5" w:right="102"/>
      </w:pPr>
      <w:r>
        <w:t xml:space="preserve">Women: Deviance, Gender Role Polarization, and the Shift in Women’s School Employment, 1900–1976,” </w:t>
      </w:r>
      <w:r>
        <w:rPr>
          <w:i/>
        </w:rPr>
        <w:t xml:space="preserve">Harvard Educational Review </w:t>
      </w:r>
      <w:r>
        <w:t>66, no. 2 [1996]: 318–339).</w:t>
      </w:r>
    </w:p>
    <w:p w14:paraId="1C2F93B2" w14:textId="77777777" w:rsidR="001C671E" w:rsidRDefault="00000000">
      <w:pPr>
        <w:spacing w:after="35"/>
        <w:ind w:left="-15" w:right="102" w:firstLine="468"/>
      </w:pPr>
      <w:r>
        <w:t xml:space="preserve">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w:t>
      </w:r>
      <w:r>
        <w:lastRenderedPageBreak/>
        <w:t>labor market outcomes, pulling women into the labor force without pushing incumbent women teachers out of the labor force or to lower paying jobs.</w:t>
      </w:r>
      <w:r>
        <w:rPr>
          <w:color w:val="0000FF"/>
          <w:vertAlign w:val="superscript"/>
        </w:rPr>
        <w:footnoteReference w:id="6"/>
      </w:r>
    </w:p>
    <w:p w14:paraId="6841D36D" w14:textId="77777777" w:rsidR="001C671E" w:rsidRDefault="00000000">
      <w:pPr>
        <w:ind w:left="-15" w:right="102" w:firstLine="468"/>
      </w:pPr>
      <w:r>
        <w:t>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However, in our setting, we find an overall positive effect of prohibiting marriage bars on white women’s LFP and earnings.</w:t>
      </w:r>
    </w:p>
    <w:p w14:paraId="4058EC8A" w14:textId="77777777" w:rsidR="001C671E" w:rsidRDefault="00000000">
      <w:pPr>
        <w:spacing w:after="3" w:line="265" w:lineRule="auto"/>
        <w:ind w:right="102"/>
        <w:jc w:val="right"/>
      </w:pPr>
      <w:r>
        <w:t>This paper contributes to our understanding of the historical factors that led to the</w:t>
      </w:r>
    </w:p>
    <w:p w14:paraId="2E775236" w14:textId="77777777" w:rsidR="001C671E" w:rsidRDefault="00000000">
      <w:pPr>
        <w:spacing w:after="29"/>
        <w:ind w:left="-5" w:right="102"/>
      </w:pPr>
      <w:r>
        <w:t xml:space="preserve">rise in women’s LFP in the U.S. throughout the twentieth century. A significant body of work studies the effects of large-scale factors post-1950, including World War II (Claudia Goldin, “The Role of World War II in the Rise of Women’s Employment,” </w:t>
      </w:r>
      <w:r>
        <w:rPr>
          <w:i/>
        </w:rPr>
        <w:t>The American</w:t>
      </w:r>
    </w:p>
    <w:p w14:paraId="3299A08F" w14:textId="77777777" w:rsidR="001C671E" w:rsidRDefault="00000000">
      <w:pPr>
        <w:ind w:left="-5" w:right="102"/>
      </w:pPr>
      <w:r>
        <w:rPr>
          <w:i/>
        </w:rPr>
        <w:t xml:space="preserve">Economic Review </w:t>
      </w:r>
      <w:r>
        <w:t xml:space="preserve">81, no. 4 [1991]: 741–756; Daron Acemoglu, David H. Autor, and David Lyle, “Women, War, and Wages: The Effect of Female Labor Supply on the Wage Structure at Midcentury,” </w:t>
      </w:r>
      <w:r>
        <w:rPr>
          <w:i/>
        </w:rPr>
        <w:t xml:space="preserve">Journal of Political Economy </w:t>
      </w:r>
      <w:r>
        <w:t xml:space="preserve">112, no. 3 [2004]; Evan K. Rose, “The Rise and Fall of Female Labor Force Participation During World War II in the United States,” </w:t>
      </w:r>
      <w:r>
        <w:rPr>
          <w:i/>
        </w:rPr>
        <w:t xml:space="preserve">The Journal of Economic History </w:t>
      </w:r>
      <w:r>
        <w:t>78, no. 3 [2018]: 673–711), the introduction of oral contraceptives (Claudia Goldin and Lawrence Katz, “The Power of the Pill: Oral Contraceptives and</w:t>
      </w:r>
    </w:p>
    <w:p w14:paraId="4AB1579A" w14:textId="77777777" w:rsidR="001C671E" w:rsidRDefault="00000000">
      <w:pPr>
        <w:spacing w:after="169" w:line="259" w:lineRule="auto"/>
        <w:ind w:left="-5" w:right="102"/>
      </w:pPr>
      <w:r>
        <w:t xml:space="preserve">Women’s Career and Marriage Decisions,” </w:t>
      </w:r>
      <w:r>
        <w:rPr>
          <w:i/>
        </w:rPr>
        <w:t xml:space="preserve">Journal of Political Economy </w:t>
      </w:r>
      <w:r>
        <w:t>110, no. 4 [2002]:</w:t>
      </w:r>
    </w:p>
    <w:p w14:paraId="107A9DFE" w14:textId="77777777" w:rsidR="001C671E" w:rsidRDefault="00000000">
      <w:pPr>
        <w:ind w:left="-5" w:right="102"/>
      </w:pPr>
      <w:r>
        <w:t xml:space="preserve">705–946; Bailey, </w:t>
      </w:r>
      <w:r>
        <w:rPr>
          <w:color w:val="0000FF"/>
        </w:rPr>
        <w:t>“More Power to the Pill: The Impact of Contraceptive Freedom on Women’s Life Cycle Labor Supply</w:t>
      </w:r>
      <w:r>
        <w:t xml:space="preserve">”), shifting cultural attitudes (Raquel Ferna´ndez, “Women, Work, and Culture,” </w:t>
      </w:r>
      <w:r>
        <w:rPr>
          <w:i/>
        </w:rPr>
        <w:t xml:space="preserve">Journal of the European Economic Association </w:t>
      </w:r>
      <w:r>
        <w:t xml:space="preserve">5, nos. 2-3 [May 2007]: 305– 332), and improved household technologies (Greenwood, Seshadri, and Yorukoglu, </w:t>
      </w:r>
      <w:r>
        <w:rPr>
          <w:color w:val="0000FF"/>
        </w:rPr>
        <w:t>“Engines of Liberation</w:t>
      </w:r>
      <w:r>
        <w:t>”). However, few papers study the factors that contributed to the initial rise pre-1950, which happened in spite of married women facing active, legal employer discrimination. One notable exception is Goldin,</w:t>
      </w:r>
      <w:r>
        <w:rPr>
          <w:color w:val="0000FF"/>
          <w:vertAlign w:val="superscript"/>
        </w:rPr>
        <w:footnoteReference w:id="7"/>
      </w:r>
      <w:r>
        <w:rPr>
          <w:color w:val="0000FF"/>
          <w:vertAlign w:val="superscript"/>
        </w:rPr>
        <w:t xml:space="preserve"> </w:t>
      </w:r>
      <w:r>
        <w:t>who documents the use of marriage bars in the early 1900s U.S. and explores employers’ economic justifications for using these discriminatory practices.</w:t>
      </w:r>
      <w:r>
        <w:rPr>
          <w:color w:val="0000FF"/>
          <w:vertAlign w:val="superscript"/>
        </w:rPr>
        <w:footnoteReference w:id="8"/>
      </w:r>
      <w:r>
        <w:rPr>
          <w:color w:val="0000FF"/>
          <w:vertAlign w:val="superscript"/>
        </w:rPr>
        <w:t xml:space="preserve"> </w:t>
      </w:r>
      <w: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w:t>
      </w:r>
      <w:r>
        <w:rPr>
          <w:color w:val="0000FF"/>
          <w:vertAlign w:val="superscript"/>
        </w:rPr>
        <w:footnoteReference w:id="9"/>
      </w:r>
      <w:r>
        <w:t>) and improved household technologies (which accounted for over half of the later rise in women’s LFP, according to Greenwood, Seshadri, and Yorukoglu</w:t>
      </w:r>
      <w:r>
        <w:rPr>
          <w:color w:val="0000FF"/>
          <w:vertAlign w:val="superscript"/>
        </w:rPr>
        <w:footnoteReference w:id="10"/>
      </w:r>
      <w:r>
        <w:t>).</w:t>
      </w:r>
    </w:p>
    <w:p w14:paraId="4B0BD418" w14:textId="77777777" w:rsidR="001C671E" w:rsidRDefault="00000000">
      <w:pPr>
        <w:spacing w:after="38"/>
        <w:ind w:left="-5" w:right="102"/>
      </w:pPr>
      <w:r>
        <w:t>We also provide the first empirical evidence that marriage bars were not binding for Black women, as posited by Goldin.</w:t>
      </w:r>
      <w:r>
        <w:rPr>
          <w:color w:val="0000FF"/>
          <w:vertAlign w:val="superscript"/>
        </w:rPr>
        <w:footnoteReference w:id="11"/>
      </w:r>
    </w:p>
    <w:p w14:paraId="1FD466C0" w14:textId="77777777" w:rsidR="001C671E" w:rsidRDefault="00000000">
      <w:pPr>
        <w:ind w:left="-15" w:right="102" w:firstLine="468"/>
      </w:pPr>
      <w:r>
        <w:t>This paper also contributes to the study of the intended and unintended consequences of anti-discrimination policies. While some policies have been found to affect the targeted population as intended—for example, the Equal Pay Act of 1963 and Title VII of the Civil</w:t>
      </w:r>
    </w:p>
    <w:p w14:paraId="327698E9" w14:textId="77777777" w:rsidR="001C671E" w:rsidRDefault="00000000">
      <w:pPr>
        <w:spacing w:after="29"/>
        <w:ind w:left="-5" w:right="102"/>
      </w:pPr>
      <w:r>
        <w:t xml:space="preserve">Rights Act of 1964 resulted in an increase in women’s pay (William J Carrington, Kristin McCue, and Brooks Pierce, “Using Establishment Size to Measure the Impact of Title VII and Affirmative Action,” </w:t>
      </w:r>
      <w:r>
        <w:rPr>
          <w:i/>
        </w:rPr>
        <w:t>Journal of Human Resources</w:t>
      </w:r>
      <w:r>
        <w:t>, 2000, 503–523; David Neumark and</w:t>
      </w:r>
    </w:p>
    <w:p w14:paraId="0AD4EF3A" w14:textId="77777777" w:rsidR="001C671E" w:rsidRDefault="00000000">
      <w:pPr>
        <w:spacing w:after="171" w:line="259" w:lineRule="auto"/>
        <w:ind w:left="-5" w:right="102"/>
      </w:pPr>
      <w:r>
        <w:t xml:space="preserve">Wendy Stock, </w:t>
      </w:r>
      <w:r>
        <w:rPr>
          <w:i/>
        </w:rPr>
        <w:t>The Effects of Race and Sex Discrimination Laws</w:t>
      </w:r>
      <w:r>
        <w:t>, NBER Working Paper No.</w:t>
      </w:r>
    </w:p>
    <w:p w14:paraId="25EA299C" w14:textId="77777777" w:rsidR="001C671E" w:rsidRDefault="00000000">
      <w:pPr>
        <w:ind w:left="-5" w:right="102"/>
      </w:pPr>
      <w:r>
        <w:t xml:space="preserve">8215 [April 2001]; Martha J Bailey, Thomas Helgerman, and Bryan A Stuart, “How the 1963 Equal Pay Act and 1964 Civil Rights Act Shaped the Gender Gap in Pay,” </w:t>
      </w:r>
      <w:r>
        <w:rPr>
          <w:i/>
        </w:rPr>
        <w:t>The Quarterly Journal of Economics</w:t>
      </w:r>
      <w:r>
        <w:t>, 2024, )—other policies have been found to do the opposite. For instance, the American with Disabilities Act (ADA) of 1990 decreased the employment of people with disabilities (Thomas Charles DeLeire, “The Wage and Employment Effects of the Americans with Disabilities Act” [Ph.D. diss., Stanford University, 1997]; Daron</w:t>
      </w:r>
    </w:p>
    <w:p w14:paraId="234B1F97" w14:textId="77777777" w:rsidR="001C671E" w:rsidRDefault="00000000">
      <w:pPr>
        <w:spacing w:after="158" w:line="259" w:lineRule="auto"/>
        <w:ind w:left="-5" w:right="102"/>
      </w:pPr>
      <w:r>
        <w:t>Acemoglu and Joshua D Angrist, “Consequences of Employment Protection? The Case of the</w:t>
      </w:r>
    </w:p>
    <w:p w14:paraId="14079623" w14:textId="77777777" w:rsidR="001C671E" w:rsidRDefault="00000000">
      <w:pPr>
        <w:spacing w:after="140" w:line="259" w:lineRule="auto"/>
        <w:ind w:left="-5" w:right="102"/>
      </w:pPr>
      <w:r>
        <w:t xml:space="preserve">Americans with Disabilities Act,” </w:t>
      </w:r>
      <w:r>
        <w:rPr>
          <w:i/>
        </w:rPr>
        <w:t xml:space="preserve">Journal of Political Economy </w:t>
      </w:r>
      <w:r>
        <w:t>109, no. 5 [2001]: 915–957;</w:t>
      </w:r>
    </w:p>
    <w:p w14:paraId="02176BA0" w14:textId="77777777" w:rsidR="001C671E" w:rsidRDefault="00000000">
      <w:pPr>
        <w:ind w:left="-5" w:right="102"/>
      </w:pPr>
      <w:r>
        <w:t xml:space="preserve">Kathleen Beegle and Wendy Stock, “The Labor Market Effects of Disability Discrimination Laws,” </w:t>
      </w:r>
      <w:r>
        <w:rPr>
          <w:i/>
        </w:rPr>
        <w:t xml:space="preserve">Journal of Human Resources </w:t>
      </w:r>
      <w:r>
        <w:t>38, no. 4 [2003]: 806–859), and the Age Discrimination in Employment Act (ADEA) in 1968 decreased the employment of older workers (David</w:t>
      </w:r>
    </w:p>
    <w:p w14:paraId="5788815C" w14:textId="77777777" w:rsidR="001C671E" w:rsidRDefault="00000000">
      <w:pPr>
        <w:spacing w:after="158" w:line="259" w:lineRule="auto"/>
        <w:ind w:left="-5" w:right="102"/>
      </w:pPr>
      <w:r>
        <w:t>Neumark and Joanne Song, “Do Stronger Age Discrimination Laws Make Social Security</w:t>
      </w:r>
    </w:p>
    <w:p w14:paraId="2AD79505" w14:textId="77777777" w:rsidR="001C671E" w:rsidRDefault="00000000">
      <w:pPr>
        <w:spacing w:after="592"/>
        <w:ind w:left="-5" w:right="102"/>
      </w:pPr>
      <w:r>
        <w:t xml:space="preserve">Reforms More Effective?,” </w:t>
      </w:r>
      <w:r>
        <w:rPr>
          <w:i/>
        </w:rPr>
        <w:t xml:space="preserve">Journal of Public Economics </w:t>
      </w:r>
      <w:r>
        <w:t xml:space="preserve">108 [2013]: 1–16; Joanna Lahey, “State Age Protection Laws and the Age Discrimination in Employment Act,” </w:t>
      </w:r>
      <w:r>
        <w:rPr>
          <w:i/>
        </w:rPr>
        <w:t xml:space="preserve">The Journal of Law and Economics </w:t>
      </w:r>
      <w:r>
        <w:t>51, no. 3 [2008]: 433–460). The latter group of papers illustrate that when an anti-discrimination policy imposes new costs on employers, employers might take actions to try and minimize said costs and inadvertently negatively impact the workers being discriminated against.</w:t>
      </w:r>
      <w:r>
        <w:rPr>
          <w:color w:val="0000FF"/>
          <w:vertAlign w:val="superscript"/>
        </w:rPr>
        <w:footnoteReference w:id="12"/>
      </w:r>
      <w:r>
        <w:rPr>
          <w:color w:val="0000FF"/>
          <w:vertAlign w:val="superscript"/>
        </w:rPr>
        <w:t xml:space="preserve"> </w:t>
      </w:r>
      <w: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2B7CAF31" w14:textId="77777777" w:rsidR="001C671E" w:rsidRDefault="00000000">
      <w:pPr>
        <w:spacing w:after="35" w:line="388" w:lineRule="auto"/>
        <w:ind w:left="29" w:right="136"/>
        <w:jc w:val="center"/>
      </w:pPr>
      <w:r>
        <w:rPr>
          <w:b/>
          <w:sz w:val="34"/>
        </w:rPr>
        <w:t>Employment Discrimination against Married Women in the Early Twentieth Century U.S.</w:t>
      </w:r>
    </w:p>
    <w:p w14:paraId="6959C47D" w14:textId="77777777" w:rsidR="001C671E" w:rsidRDefault="00000000">
      <w:pPr>
        <w:spacing w:after="95"/>
        <w:ind w:left="-15" w:right="102" w:firstLine="468"/>
      </w:pPr>
      <w:r>
        <w:t>This section provides historical background on the evolution of the institutional barriers to employment that married women faced in the early twentieth century U.S., both nationwide and specifically in the teaching profession.</w:t>
      </w:r>
    </w:p>
    <w:p w14:paraId="33D3D982" w14:textId="77777777" w:rsidR="001C671E" w:rsidRDefault="00000000">
      <w:pPr>
        <w:pStyle w:val="Heading1"/>
        <w:spacing w:after="222"/>
        <w:ind w:left="-5" w:right="0"/>
      </w:pPr>
      <w:r>
        <w:rPr>
          <w:sz w:val="29"/>
        </w:rPr>
        <w:t>The Evolution of Marriage Bar Use: 1900-1960</w:t>
      </w:r>
    </w:p>
    <w:p w14:paraId="614C31DB" w14:textId="77777777" w:rsidR="001C671E" w:rsidRDefault="00000000">
      <w:pPr>
        <w:ind w:left="-5" w:right="102"/>
      </w:pPr>
      <w:r>
        <w:t>Marriage bars, the class of discriminatory employment practices that excluded married women from the workplace, began to emerge across the world throughout the late 1800s and early 1900s. Goldin</w:t>
      </w:r>
      <w:r>
        <w:rPr>
          <w:color w:val="0000FF"/>
          <w:vertAlign w:val="superscript"/>
        </w:rPr>
        <w:footnoteReference w:id="13"/>
      </w:r>
      <w:r>
        <w:rPr>
          <w:color w:val="0000FF"/>
          <w:vertAlign w:val="superscript"/>
        </w:rPr>
        <w:t xml:space="preserve"> </w:t>
      </w:r>
      <w:r>
        <w:t>argues that marriage bars were “the most numerically important of all prohibitions in their impact on the employment of married women” . In the US, marriage bars were popular among employers that employed women as clerical workers (such as banks and insurance companies) and government agencies that employed women (such as</w:t>
      </w:r>
    </w:p>
    <w:p w14:paraId="43219266" w14:textId="77777777" w:rsidR="001C671E" w:rsidRDefault="00000000">
      <w:pPr>
        <w:spacing w:after="128" w:line="259" w:lineRule="auto"/>
        <w:ind w:left="-5" w:right="102"/>
      </w:pPr>
      <w:r>
        <w:t>school districts).</w:t>
      </w:r>
    </w:p>
    <w:p w14:paraId="79FA25D9" w14:textId="77777777" w:rsidR="001C671E" w:rsidRDefault="00000000">
      <w:pPr>
        <w:ind w:left="-15" w:right="102" w:firstLine="468"/>
      </w:pPr>
      <w:r>
        <w:t xml:space="preserve">Importantly, marriage bars were mainly a discriminatory barrier to employment for white married women but not for Black women, as Black women were significantly more likely to work during this time period due to Jim Crow era laws (Costa, </w:t>
      </w:r>
      <w:r>
        <w:rPr>
          <w:color w:val="0000FF"/>
        </w:rPr>
        <w:t>“From Mill Town to Board Room: The Rise of Women’s Paid Labor</w:t>
      </w:r>
      <w:r>
        <w:t xml:space="preserve">”), and tended to work in highly segregated occupations in agriculture, manufacturing, or in the case of education, in segregated schools (Leah Boustan and William Collins, “The Origin and Persistence of Black–White Differences in Women’s Labor Force Participation,” in </w:t>
      </w:r>
      <w:r>
        <w:rPr>
          <w:i/>
        </w:rPr>
        <w:t xml:space="preserve">Human Capital in History: The American Record </w:t>
      </w:r>
      <w:r>
        <w:t>[University of Chicago Press, 2014], 205–240). As such, the details that follow largely describe employers’ perceptions of white married women in the workplace.</w:t>
      </w:r>
    </w:p>
    <w:p w14:paraId="0C8AEB06" w14:textId="77777777" w:rsidR="001C671E" w:rsidRDefault="00000000">
      <w:pPr>
        <w:ind w:left="-15" w:right="102" w:firstLine="468"/>
      </w:pPr>
      <w: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4866FBF4" w14:textId="77777777" w:rsidR="001C671E" w:rsidRDefault="00000000">
      <w:pPr>
        <w:ind w:left="-15" w:right="102" w:firstLine="468"/>
      </w:pPr>
      <w: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Pr>
          <w:color w:val="0000FF"/>
        </w:rPr>
        <w:t>“Manly Men and Womanly Women: Deviance, Gender Role Polarization, and the Shift in Women’s School Employment, 1900–1976</w:t>
      </w:r>
      <w:r>
        <w:t>”).</w:t>
      </w:r>
    </w:p>
    <w:p w14:paraId="31DC9104" w14:textId="77777777" w:rsidR="001C671E" w:rsidRDefault="00000000">
      <w:pPr>
        <w:ind w:left="-15" w:right="102" w:firstLine="468"/>
      </w:pPr>
      <w:r>
        <w:t xml:space="preserve">Second, it was believed that due to their household responsibilities, married women were less efficient workers than unmarried women and men (“the married women lacks genuine interest in her work” (Dennis H. Cooke and C. W. Simms, “Local Residents and Married Women as Teachers,” </w:t>
      </w:r>
      <w:r>
        <w:rPr>
          <w:i/>
        </w:rPr>
        <w:t xml:space="preserve">Review of Educational Research </w:t>
      </w:r>
      <w:r>
        <w:t xml:space="preserve">10, no. 3 [1940]: 204–209)).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Pr>
          <w:color w:val="0000FF"/>
        </w:rPr>
        <w:t>“Marriage Bars: Discrimination Against Married Women Workers from the 1920s to the 1950s.</w:t>
      </w:r>
      <w:r>
        <w:t>”). Incidentally, teaching was a key example of an occupation that featured fixed salary schedules in the majority of school districts as early as the 1920s.</w:t>
      </w:r>
    </w:p>
    <w:p w14:paraId="75B403F7" w14:textId="77777777" w:rsidR="001C671E" w:rsidRDefault="00000000">
      <w:pPr>
        <w:ind w:left="-15" w:right="102" w:firstLine="468"/>
      </w:pPr>
      <w: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(Irene Mosca and Robert E Wright, </w:t>
      </w:r>
      <w:r>
        <w:rPr>
          <w:i/>
        </w:rPr>
        <w:t>Economics of</w:t>
      </w:r>
    </w:p>
    <w:p w14:paraId="16091FCE" w14:textId="77777777" w:rsidR="001C671E" w:rsidRDefault="00000000">
      <w:pPr>
        <w:ind w:left="-5" w:right="102"/>
      </w:pPr>
      <w:r>
        <w:rPr>
          <w:i/>
        </w:rPr>
        <w:t>Marriage Bars</w:t>
      </w:r>
      <w:r>
        <w:t xml:space="preserve">, Global Labor Organization (GLO) Discussion Paper No. 933 [2021]). Formal marriage bar policies were less common, but still affected over a quarter of working women in urban centers due to the greater likelihood of large employers adopting formal policies (Goldin, </w:t>
      </w:r>
      <w:r>
        <w:rPr>
          <w:color w:val="0000FF"/>
        </w:rPr>
        <w:t>“Marriage Bars: Discrimination Against Married Women Workers from the 1920s to the 1950s.</w:t>
      </w:r>
      <w:r>
        <w:t>”).</w:t>
      </w:r>
    </w:p>
    <w:p w14:paraId="7715EC16" w14:textId="77777777" w:rsidR="001C671E" w:rsidRDefault="00000000">
      <w:pPr>
        <w:ind w:left="-15" w:right="102" w:firstLine="468"/>
      </w:pPr>
      <w:r>
        <w:t>The most comprehensive data on marriage bar use was collected by the National Education Association (NEA) in their surveys of school districts in 1928, 1930 to 1931, 1942, and</w:t>
      </w:r>
    </w:p>
    <w:p w14:paraId="1F0F086C" w14:textId="77777777" w:rsidR="001C671E" w:rsidRDefault="00000000">
      <w:pPr>
        <w:spacing w:after="140" w:line="259" w:lineRule="auto"/>
        <w:ind w:left="0" w:right="0" w:firstLine="0"/>
        <w:jc w:val="left"/>
      </w:pPr>
      <w:r>
        <w:t xml:space="preserve">1950 to 1951 (Goldin, </w:t>
      </w:r>
      <w:r>
        <w:rPr>
          <w:i/>
          <w:color w:val="0000FF"/>
        </w:rPr>
        <w:t>Career and Family: Women’s Century-Long Journey toward Equity</w:t>
      </w:r>
      <w:r>
        <w:t>).</w:t>
      </w:r>
    </w:p>
    <w:p w14:paraId="1EC2D79A" w14:textId="77777777" w:rsidR="001C671E" w:rsidRDefault="00000000">
      <w:pPr>
        <w:ind w:left="-5" w:right="102"/>
      </w:pPr>
      <w:r>
        <w:t>The surveys show that marriage bar use in schools increased over the course of the Great Depression, a trend that has been attributed to rising unemployment and scarcity of jobs for men, then dropped significantly throughout the 1940s.</w:t>
      </w:r>
      <w:r>
        <w:rPr>
          <w:color w:val="0000FF"/>
          <w:vertAlign w:val="superscript"/>
        </w:rPr>
        <w:footnoteReference w:id="14"/>
      </w:r>
      <w:r>
        <w:rPr>
          <w:color w:val="0000FF"/>
          <w:vertAlign w:val="superscript"/>
        </w:rPr>
        <w:t xml:space="preserve"> </w:t>
      </w:r>
      <w:r>
        <w:t>“Hire bars” in school districts, for instance, rose from affecting 60% of the urban population in 1920 to nearly 80% in 1942, before a dramatic decline to 17% in 1950/51.</w:t>
      </w:r>
    </w:p>
    <w:p w14:paraId="33D5E38C" w14:textId="77777777" w:rsidR="001C671E" w:rsidRDefault="00000000">
      <w:pPr>
        <w:spacing w:after="40"/>
        <w:ind w:left="-15" w:right="102" w:firstLine="468"/>
      </w:pPr>
      <w: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Pr>
          <w:color w:val="0000FF"/>
        </w:rPr>
        <w:t>“Marriage Bars: Discrimination Against Married Women Workers from the 1920s to the 1950s.</w:t>
      </w:r>
      <w:r>
        <w:t>”). As such, marriage bar use in the US quickly declined and largely ended by the 1950s and 1960s.</w:t>
      </w:r>
      <w:r>
        <w:rPr>
          <w:color w:val="0000FF"/>
          <w:vertAlign w:val="superscript"/>
        </w:rPr>
        <w:footnoteReference w:id="15"/>
      </w:r>
    </w:p>
    <w:p w14:paraId="2F8738F8" w14:textId="77777777" w:rsidR="001C671E" w:rsidRDefault="00000000">
      <w:pPr>
        <w:ind w:left="-15" w:right="102" w:firstLine="468"/>
      </w:pPr>
      <w: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71A14407" w14:textId="77777777" w:rsidR="001C671E" w:rsidRDefault="00000000">
      <w:pPr>
        <w:pStyle w:val="Heading1"/>
        <w:spacing w:after="222"/>
        <w:ind w:left="-5" w:right="0"/>
      </w:pPr>
      <w:r>
        <w:rPr>
          <w:sz w:val="29"/>
        </w:rPr>
        <w:t>The Prohibition of Marriage Bars in Teaching</w:t>
      </w:r>
    </w:p>
    <w:p w14:paraId="52BBBAC0" w14:textId="77777777" w:rsidR="001C671E" w:rsidRDefault="00000000">
      <w:pPr>
        <w:ind w:left="-5" w:right="102"/>
      </w:pPr>
      <w:r>
        <w:t>School districts were the most prominent employers that used marriage bars throughout the early twentieth century. Their use was particularly notable as teaching was a womendominated occupation and one of the few socially-accepted occupations for educated women at the time: in 1940, 31% of married women in the workforce with any college were teachers.</w:t>
      </w:r>
    </w:p>
    <w:p w14:paraId="06F83B7C" w14:textId="77777777" w:rsidR="001C671E" w:rsidRDefault="00000000">
      <w:pPr>
        <w:ind w:left="-15" w:right="102" w:firstLine="468"/>
      </w:pPr>
      <w:r>
        <w:t>School districts used the same justifications as other employers to rationalize the use 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w:t>
      </w:r>
    </w:p>
    <w:p w14:paraId="7C0EAE74" w14:textId="77777777" w:rsidR="001C671E" w:rsidRDefault="00000000">
      <w:pPr>
        <w:ind w:left="-5" w:right="102"/>
      </w:pPr>
      <w:r>
        <w:t>SC) to indicating that marriage was not a just cause for dismissal (such as in NY, WV, OR, IN) (</w:t>
      </w:r>
      <w:r>
        <w:rPr>
          <w:i/>
          <w:color w:val="0000FF"/>
        </w:rPr>
        <w:t xml:space="preserve">Tampa Morning Tribune, </w:t>
      </w:r>
      <w:r>
        <w:t xml:space="preserve">various dates. Tampa Bay, FL 1934, 1938). By 1931, localities in nine states had passed tenure legislation for teachers that included protection against dismissal due to marital status; by 1939, the number increased to 13, and by 1943 to 33 (Dennis H. Cooke, W. G. Knox, and R. H. Libby, “Chapter VI: Local Residents and Married Women as Teachers,” </w:t>
      </w:r>
      <w:r>
        <w:rPr>
          <w:i/>
        </w:rPr>
        <w:t xml:space="preserve">Review of Educational Research </w:t>
      </w:r>
      <w:r>
        <w:t>13, no. 3 [1943]: 252–261).</w:t>
      </w:r>
    </w:p>
    <w:p w14:paraId="5A479100" w14:textId="77777777" w:rsidR="001C671E" w:rsidRDefault="00000000">
      <w:pPr>
        <w:ind w:left="-15" w:right="102" w:firstLine="468"/>
      </w:pPr>
      <w: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6928665" w14:textId="77777777" w:rsidR="001C671E" w:rsidRDefault="00000000">
      <w:pPr>
        <w:spacing w:after="40"/>
        <w:ind w:left="-15" w:right="102" w:firstLine="468"/>
      </w:pPr>
      <w:r>
        <w:t xml:space="preserve">By 1940, only two states—KY and NC—had passed state-level legislation containing employment protections that explicitly prohibited discrimination against married women in teaching (Cooke and Simms, </w:t>
      </w:r>
      <w:r>
        <w:rPr>
          <w:color w:val="0000FF"/>
        </w:rPr>
        <w:t>“Local Residents and Married Women as Teachers</w:t>
      </w:r>
      <w:r>
        <w:t xml:space="preserve">”). The legislation in NC in 1933 was broad in its application: the NC Public Laws Chapter 562 Section 11 declared that “in the employment of teachers no rule shall be made or enforced on the ground of marriage or nonmarriage” (North Carolina General Assembly, </w:t>
      </w:r>
      <w:r>
        <w:rPr>
          <w:i/>
        </w:rPr>
        <w:t>Public Laws and Legislations</w:t>
      </w:r>
      <w:r>
        <w:t xml:space="preserve">, Regular session, 1933, chap. 52).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 </w:t>
      </w:r>
      <w:r>
        <w:rPr>
          <w:i/>
        </w:rPr>
        <w:t>Acts of the General Assembly of the Commonwealth of Kentucky</w:t>
      </w:r>
      <w:r>
        <w:t>, 1st and 2nd special sessions, 1938). The laws received virtually no coverage in local newspapers at the time, which suggests that the laws may have been more salient to school districts that were wary of being sued than to the general public.</w:t>
      </w:r>
      <w:r>
        <w:rPr>
          <w:color w:val="0000FF"/>
          <w:vertAlign w:val="superscript"/>
        </w:rPr>
        <w:footnoteReference w:id="16"/>
      </w:r>
    </w:p>
    <w:p w14:paraId="3E3A788E" w14:textId="77777777" w:rsidR="001C671E" w:rsidRDefault="00000000">
      <w:pPr>
        <w:ind w:left="-15" w:right="102" w:firstLine="468"/>
      </w:pPr>
      <w:r>
        <w:t xml:space="preserve">We conclude with descriptive evidence that suggests that the state-wide prohibitions in KY and NC may have led to greater employment of married women in teaching. Figure </w:t>
      </w:r>
      <w:r>
        <w:rPr>
          <w:color w:val="0000FF"/>
        </w:rPr>
        <w:t xml:space="preserve">1 </w:t>
      </w:r>
      <w: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Pr>
          <w:color w:val="0000FF"/>
          <w:vertAlign w:val="superscript"/>
        </w:rPr>
        <w:footnoteReference w:id="17"/>
      </w:r>
      <w:r>
        <w:rPr>
          <w:color w:val="0000FF"/>
          <w:vertAlign w:val="superscript"/>
        </w:rPr>
        <w:t xml:space="preserve"> </w:t>
      </w:r>
      <w: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Pr>
          <w:color w:val="0000FF"/>
          <w:vertAlign w:val="superscript"/>
        </w:rPr>
        <w:footnoteReference w:id="18"/>
      </w:r>
      <w:r>
        <w:rPr>
          <w:color w:val="0000FF"/>
          <w:vertAlign w:val="superscript"/>
        </w:rPr>
        <w:t xml:space="preserve"> </w:t>
      </w:r>
      <w:r>
        <w:t>Our empirical design leverages this variation to formally evaluate the effects of the laws in KY and NC on women’s employment in teaching.</w:t>
      </w:r>
    </w:p>
    <w:p w14:paraId="642FAB56" w14:textId="77777777" w:rsidR="001C671E" w:rsidRDefault="00000000">
      <w:pPr>
        <w:pStyle w:val="Heading1"/>
        <w:spacing w:after="358"/>
        <w:jc w:val="center"/>
      </w:pPr>
      <w:r>
        <w:t>Data</w:t>
      </w:r>
    </w:p>
    <w:p w14:paraId="13CCF496" w14:textId="77777777" w:rsidR="001C671E" w:rsidRDefault="00000000">
      <w:pPr>
        <w:pStyle w:val="Heading2"/>
        <w:ind w:left="-5"/>
      </w:pPr>
      <w:r>
        <w:t>Cross-Sectional Sample</w:t>
      </w:r>
    </w:p>
    <w:p w14:paraId="38CFD903" w14:textId="77777777" w:rsidR="001C671E" w:rsidRDefault="00000000">
      <w:pPr>
        <w:spacing w:after="439"/>
        <w:ind w:left="-5" w:right="102"/>
      </w:pPr>
      <w:r>
        <w:t xml:space="preserve">For the first part of our analysis, we use data on teachers in the repeated cross-sectional full-count U.S. Decennial Censuses from 1910 to 1950, which cover all individuals in the U.S. (Ruggles et al., </w:t>
      </w:r>
      <w:r>
        <w:rPr>
          <w:i/>
          <w:color w:val="0000FF"/>
        </w:rPr>
        <w:t>IPUMS Ancestry Full Count Data: Version 4.0 [dataset]</w:t>
      </w:r>
      <w:r>
        <w:t xml:space="preserve">). We define teachers as individuals between the ages of 16 and 64 who report teaching as their occupation and who are not self-employed. The data do not separately identify public and private school teachers, but because private schools accounted for less than 10% of total enrollment in the early 1900s, public school teachers likely comprise the bulk of the teachers we identify (U.S. Department of Education, National Center for Education Statistics, </w:t>
      </w:r>
      <w:r>
        <w:rPr>
          <w:i/>
        </w:rPr>
        <w:t xml:space="preserve">120 Years of American Education: A Statistical Portrait </w:t>
      </w:r>
      <w:r>
        <w:t>[January 1993]).</w:t>
      </w:r>
    </w:p>
    <w:p w14:paraId="18C51C9D" w14:textId="77777777" w:rsidR="001C671E" w:rsidRDefault="00000000">
      <w:pPr>
        <w:pStyle w:val="Heading2"/>
        <w:ind w:left="-5"/>
      </w:pPr>
      <w:r>
        <w:t>Linked Samples</w:t>
      </w:r>
    </w:p>
    <w:p w14:paraId="5CE76250" w14:textId="77777777" w:rsidR="001C671E" w:rsidRDefault="00000000">
      <w:pPr>
        <w:spacing w:after="30"/>
        <w:ind w:left="-5" w:right="102"/>
      </w:pPr>
      <w:r>
        <w:t xml:space="preserve">For the second part of our analysis, we use panel data on the women who can be linked between consecutive years of U.S. Censuses from 1910 to 1940. We use the links provided by the Census Tree, which is based on linkages obtained directly from a genealogical website called FamilySearch (Kasey Buckles et al., </w:t>
      </w:r>
      <w:r>
        <w:rPr>
          <w:i/>
        </w:rPr>
        <w:t>Breakthroughs in Historical Record Linking Using Genealogy Data: The Census Tree Project</w:t>
      </w:r>
      <w:r>
        <w:t xml:space="preserve">, NBER Working Paper No. 31671 [September 2023]). Additional linkages are added using a machine learning algorithm trained on the FamilySearch linkages (Joseph Price et al., “Combining Family History and Machine Learning to Link Historical Records: The Census Tree Data Set,” </w:t>
      </w:r>
      <w:r>
        <w:rPr>
          <w:i/>
        </w:rPr>
        <w:t>Explorations in Economic</w:t>
      </w:r>
    </w:p>
    <w:p w14:paraId="33B38881" w14:textId="77777777" w:rsidR="001C671E" w:rsidRDefault="00000000">
      <w:pPr>
        <w:ind w:left="-5" w:right="102"/>
      </w:pPr>
      <w:r>
        <w:rPr>
          <w:i/>
        </w:rPr>
        <w:t xml:space="preserve">History </w:t>
      </w:r>
      <w:r>
        <w:t xml:space="preserve">80 [2021]: 101391), the Census Linking Project (Ran Abramitzky et al., “Automated Linking of Historical Data,” </w:t>
      </w:r>
      <w:r>
        <w:rPr>
          <w:i/>
        </w:rPr>
        <w:t xml:space="preserve">Journal of Economic Literature </w:t>
      </w:r>
      <w:r>
        <w:t xml:space="preserve">59, no. 3 [2021]: 865–918), and the IPUMS Multigenerational Longitudinal Panel (Helgertz et al., </w:t>
      </w:r>
      <w:r>
        <w:rPr>
          <w:i/>
          <w:color w:val="0000FF"/>
        </w:rPr>
        <w:t>IPUMS Multigenerational Longitudinal Panel: Version 1.1 [dataset]</w:t>
      </w:r>
      <w:r>
        <w:t>).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E.</w:t>
      </w:r>
    </w:p>
    <w:p w14:paraId="098896DB" w14:textId="77777777" w:rsidR="001C671E" w:rsidRDefault="00000000">
      <w:pPr>
        <w:pStyle w:val="Heading2"/>
        <w:ind w:left="-5"/>
      </w:pPr>
      <w:r>
        <w:t>County Sample Selection</w:t>
      </w:r>
    </w:p>
    <w:p w14:paraId="581008CD" w14:textId="77777777" w:rsidR="001C671E" w:rsidRDefault="00000000">
      <w:pPr>
        <w:ind w:left="-5" w:right="102"/>
      </w:pPr>
      <w:r>
        <w:t xml:space="preserve">Our analysis focuses on the counties within and surrounding the states that passed prohibitions (KY/NC). To motivate this focus, Table </w:t>
      </w:r>
      <w:r>
        <w:rPr>
          <w:color w:val="0000FF"/>
        </w:rPr>
        <w:t xml:space="preserve">1 </w:t>
      </w:r>
      <w:r>
        <w:t>provides summary statistics comparing counties in KY/NC to counties in other states in 1930.</w:t>
      </w:r>
    </w:p>
    <w:p w14:paraId="7A2E97FB" w14:textId="77777777" w:rsidR="001C671E" w:rsidRDefault="00000000">
      <w:pPr>
        <w:ind w:left="-15" w:right="102" w:firstLine="468"/>
      </w:pPr>
      <w: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Pr>
          <w:color w:val="0000FF"/>
          <w:vertAlign w:val="superscript"/>
        </w:rPr>
        <w:footnoteReference w:id="19"/>
      </w:r>
      <w:r>
        <w:rPr>
          <w:color w:val="0000FF"/>
          <w:vertAlign w:val="superscript"/>
        </w:rPr>
        <w:t xml:space="preserve"> </w:t>
      </w:r>
      <w: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68896D85" w14:textId="77777777" w:rsidR="001C671E" w:rsidRDefault="00000000">
      <w:pPr>
        <w:ind w:left="-15" w:right="102" w:firstLine="468"/>
      </w:pPr>
      <w:r>
        <w:t>Our main analysis sample includes all 220 counties in treated states and all 320 counties in the neighboring Southern states. In parts of our analysis where we examine countylevel outcomes (rather than individual-level outcomes), we restrict to a balanced sample consisting of 217 treated counties and 310 neighboring Southern control counties.</w:t>
      </w:r>
      <w:r>
        <w:rPr>
          <w:color w:val="0000FF"/>
          <w:vertAlign w:val="superscript"/>
        </w:rPr>
        <w:footnoteReference w:id="20"/>
      </w:r>
      <w:r>
        <w:rPr>
          <w:color w:val="0000FF"/>
          <w:vertAlign w:val="superscript"/>
        </w:rPr>
        <w:t xml:space="preserve"> </w:t>
      </w:r>
      <w:r>
        <w:t>We make two further restrictions for analyses by race: when we examine county-level outcomes for white teachers, we exclude one control county with fewer than ten white teachers in 1930 or 1940; similarly, when we examine county-level outcomes for Black teachers, we exclude 109 treated and 129 control counties with fewer than ten Black teachers in 1930 or 1940.</w:t>
      </w:r>
    </w:p>
    <w:p w14:paraId="7B3B7289" w14:textId="77777777" w:rsidR="001C671E" w:rsidRDefault="00000000">
      <w:pPr>
        <w:ind w:left="-5" w:right="102"/>
      </w:pPr>
      <w:r>
        <w:t>Our results are robust to alternate sample specifications.</w:t>
      </w:r>
    </w:p>
    <w:p w14:paraId="32A5EF33" w14:textId="77777777" w:rsidR="001C671E" w:rsidRDefault="00000000">
      <w:pPr>
        <w:pStyle w:val="Heading1"/>
        <w:spacing w:after="358"/>
        <w:jc w:val="center"/>
      </w:pPr>
      <w:r>
        <w:t>Empirical Strategy</w:t>
      </w:r>
    </w:p>
    <w:p w14:paraId="22D65411" w14:textId="77777777" w:rsidR="001C671E" w:rsidRDefault="00000000">
      <w:pPr>
        <w:pStyle w:val="Heading2"/>
        <w:spacing w:after="251"/>
        <w:ind w:left="-5"/>
      </w:pPr>
      <w:r>
        <w:t>Main specification</w:t>
      </w:r>
    </w:p>
    <w:p w14:paraId="1363D02B" w14:textId="77777777" w:rsidR="001C671E" w:rsidRDefault="00000000">
      <w:pPr>
        <w:ind w:left="-5" w:right="102"/>
      </w:pPr>
      <w:r>
        <w:t xml:space="preserve">It is unclear </w:t>
      </w:r>
      <w:r>
        <w:rPr>
          <w:i/>
        </w:rPr>
        <w:t xml:space="preserve">a priori </w:t>
      </w:r>
      <w: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7735B9BD" w14:textId="77777777" w:rsidR="001C671E" w:rsidRDefault="00000000">
      <w:pPr>
        <w:ind w:left="-15" w:right="102" w:firstLine="468"/>
      </w:pPr>
      <w:r>
        <w:t xml:space="preserve">We evaluate the impact of the prohibitions on employment outcomes by comparing outcomes over time in counties that passed the laws—KY and NC—with counties in neighboring Southern states that did not. We use a </w:t>
      </w:r>
      <w:r>
        <w:rPr>
          <w:i/>
        </w:rPr>
        <w:t xml:space="preserve">difference-in-differences </w:t>
      </w:r>
      <w:r>
        <w:t>design to evaluate the effects of the state-wide policy changes on the composition of the teacher workforce and on men’s</w:t>
      </w:r>
    </w:p>
    <w:p w14:paraId="632389BC" w14:textId="77777777" w:rsidR="001C671E" w:rsidRDefault="00000000">
      <w:pPr>
        <w:spacing w:after="206" w:line="259" w:lineRule="auto"/>
        <w:ind w:left="-5" w:right="102"/>
      </w:pPr>
      <w:r>
        <w:t>and women’s employment.</w:t>
      </w:r>
      <w:r>
        <w:rPr>
          <w:color w:val="0000FF"/>
          <w:vertAlign w:val="superscript"/>
        </w:rPr>
        <w:footnoteReference w:id="21"/>
      </w:r>
      <w:r>
        <w:rPr>
          <w:vertAlign w:val="superscript"/>
        </w:rPr>
        <w:t>,</w:t>
      </w:r>
      <w:r>
        <w:rPr>
          <w:color w:val="0000FF"/>
          <w:vertAlign w:val="superscript"/>
        </w:rPr>
        <w:footnoteReference w:id="22"/>
      </w:r>
    </w:p>
    <w:p w14:paraId="6567D7B9" w14:textId="77777777" w:rsidR="001C671E" w:rsidRDefault="00000000">
      <w:pPr>
        <w:ind w:left="-15" w:right="102" w:firstLine="468"/>
      </w:pPr>
      <w:r>
        <w:t>Our outcomes of interest, which are outlined in the following section, include region-level outcomes (such as the share of teachers in a county who are married women) and individuallevel outcomes (such as the likelihood that an unmarried woman in 1930 becomes a married woman teacher in 1940). We therefore use both county- and individual-level specifications.</w:t>
      </w:r>
    </w:p>
    <w:p w14:paraId="5BCBB9A9" w14:textId="77777777" w:rsidR="001C671E" w:rsidRDefault="00000000">
      <w:pPr>
        <w:spacing w:after="622"/>
        <w:ind w:left="-5" w:right="102"/>
      </w:pPr>
      <w:r>
        <w:t>Our preferred county-level specification is:</w:t>
      </w:r>
    </w:p>
    <w:p w14:paraId="319E5FFD" w14:textId="77777777" w:rsidR="001C671E" w:rsidRDefault="00000000">
      <w:pPr>
        <w:tabs>
          <w:tab w:val="center" w:pos="4680"/>
          <w:tab w:val="right" w:pos="9477"/>
        </w:tabs>
        <w:spacing w:after="67" w:line="259" w:lineRule="auto"/>
        <w:ind w:left="0" w:right="0" w:firstLine="0"/>
        <w:jc w:val="left"/>
      </w:pPr>
      <w:r>
        <w:rPr>
          <w:rFonts w:ascii="Calibri" w:eastAsia="Calibri" w:hAnsi="Calibri" w:cs="Calibri"/>
          <w:sz w:val="22"/>
        </w:rPr>
        <w:tab/>
      </w:r>
      <w:r>
        <w:rPr>
          <w:i/>
        </w:rPr>
        <w:t>y</w:t>
      </w:r>
      <w:r>
        <w:rPr>
          <w:i/>
          <w:sz w:val="16"/>
        </w:rPr>
        <w:t xml:space="preserve">ct </w:t>
      </w:r>
      <w:r>
        <w:t xml:space="preserve">= </w:t>
      </w:r>
      <w:r>
        <w:rPr>
          <w:i/>
        </w:rPr>
        <w:t>α</w:t>
      </w:r>
      <w:r>
        <w:rPr>
          <w:i/>
          <w:sz w:val="16"/>
        </w:rPr>
        <w:t xml:space="preserve">tDD </w:t>
      </w:r>
      <w:r>
        <w:t xml:space="preserve">+ </w:t>
      </w:r>
      <w:r>
        <w:rPr>
          <w:i/>
        </w:rPr>
        <w:t>β</w:t>
      </w:r>
      <w:r>
        <w:rPr>
          <w:i/>
          <w:sz w:val="16"/>
        </w:rPr>
        <w:t xml:space="preserve">cDD </w:t>
      </w:r>
      <w:r>
        <w:t xml:space="preserve">+ X </w:t>
      </w:r>
      <w:r>
        <w:rPr>
          <w:i/>
        </w:rPr>
        <w:t>γ</w:t>
      </w:r>
      <w:r>
        <w:rPr>
          <w:i/>
          <w:sz w:val="16"/>
        </w:rPr>
        <w:t xml:space="preserve">kDD </w:t>
      </w:r>
      <w:r>
        <w:t xml:space="preserve">× </w:t>
      </w:r>
      <w:r>
        <w:rPr>
          <w:i/>
        </w:rPr>
        <w:t>Treat</w:t>
      </w:r>
      <w:r>
        <w:rPr>
          <w:i/>
          <w:sz w:val="16"/>
        </w:rPr>
        <w:t>s</w:t>
      </w:r>
      <w:r>
        <w:rPr>
          <w:sz w:val="16"/>
        </w:rPr>
        <w:t>(</w:t>
      </w:r>
      <w:r>
        <w:rPr>
          <w:i/>
          <w:sz w:val="16"/>
        </w:rPr>
        <w:t>c</w:t>
      </w:r>
      <w:r>
        <w:rPr>
          <w:sz w:val="16"/>
        </w:rPr>
        <w:t xml:space="preserve">) </w:t>
      </w:r>
      <w:r>
        <w:t xml:space="preserve">× </w:t>
      </w:r>
      <w:r>
        <w:rPr>
          <w:i/>
        </w:rPr>
        <w:t>Y ear</w:t>
      </w:r>
      <w:r>
        <w:rPr>
          <w:i/>
          <w:sz w:val="16"/>
        </w:rPr>
        <w:t>k</w:t>
      </w:r>
      <w:r>
        <w:rPr>
          <w:sz w:val="16"/>
        </w:rPr>
        <w:t>=</w:t>
      </w:r>
      <w:r>
        <w:rPr>
          <w:i/>
          <w:sz w:val="16"/>
        </w:rPr>
        <w:t xml:space="preserve">t </w:t>
      </w:r>
      <w:r>
        <w:t xml:space="preserve">+ </w:t>
      </w:r>
      <w:r>
        <w:rPr>
          <w:i/>
        </w:rPr>
        <w:t>ε</w:t>
      </w:r>
      <w:r>
        <w:rPr>
          <w:i/>
          <w:sz w:val="16"/>
        </w:rPr>
        <w:t>ct</w:t>
      </w:r>
      <w:r>
        <w:rPr>
          <w:i/>
        </w:rPr>
        <w:t>,</w:t>
      </w:r>
      <w:r>
        <w:rPr>
          <w:i/>
        </w:rPr>
        <w:tab/>
      </w:r>
      <w:r>
        <w:t>(1)</w:t>
      </w:r>
    </w:p>
    <w:p w14:paraId="23D52D5A" w14:textId="77777777" w:rsidR="001C671E" w:rsidRDefault="00000000">
      <w:pPr>
        <w:spacing w:after="376" w:line="346" w:lineRule="auto"/>
        <w:ind w:left="3081" w:right="0"/>
        <w:jc w:val="left"/>
      </w:pPr>
      <w:r>
        <w:rPr>
          <w:i/>
          <w:sz w:val="16"/>
        </w:rPr>
        <w:t>k</w:t>
      </w:r>
      <w:r>
        <w:rPr>
          <w:sz w:val="16"/>
        </w:rPr>
        <w:t>∈{1910</w:t>
      </w:r>
      <w:r>
        <w:rPr>
          <w:i/>
          <w:sz w:val="16"/>
        </w:rPr>
        <w:t>,</w:t>
      </w:r>
      <w:r>
        <w:rPr>
          <w:sz w:val="16"/>
        </w:rPr>
        <w:t>1920</w:t>
      </w:r>
      <w:r>
        <w:rPr>
          <w:i/>
          <w:sz w:val="16"/>
        </w:rPr>
        <w:t>,</w:t>
      </w:r>
      <w:r>
        <w:rPr>
          <w:sz w:val="16"/>
        </w:rPr>
        <w:t>1940</w:t>
      </w:r>
      <w:r>
        <w:rPr>
          <w:i/>
          <w:sz w:val="16"/>
        </w:rPr>
        <w:t>,</w:t>
      </w:r>
      <w:r>
        <w:rPr>
          <w:sz w:val="16"/>
        </w:rPr>
        <w:t>1950}</w:t>
      </w:r>
    </w:p>
    <w:p w14:paraId="44399143" w14:textId="77777777" w:rsidR="001C671E" w:rsidRDefault="00000000">
      <w:pPr>
        <w:spacing w:after="34"/>
        <w:ind w:left="-5" w:right="102"/>
      </w:pPr>
      <w:r>
        <w:t xml:space="preserve">where </w:t>
      </w:r>
      <w:r>
        <w:rPr>
          <w:i/>
        </w:rPr>
        <w:t xml:space="preserve">c </w:t>
      </w:r>
      <w:r>
        <w:t xml:space="preserve">indexes county, </w:t>
      </w:r>
      <w:r>
        <w:rPr>
          <w:i/>
        </w:rPr>
        <w:t xml:space="preserve">t </w:t>
      </w:r>
      <w:r>
        <w:t xml:space="preserve">indexes Census year, </w:t>
      </w:r>
      <w:r>
        <w:rPr>
          <w:i/>
        </w:rPr>
        <w:t>s</w:t>
      </w:r>
      <w:r>
        <w:t>(</w:t>
      </w:r>
      <w:r>
        <w:rPr>
          <w:i/>
        </w:rPr>
        <w:t>c</w:t>
      </w:r>
      <w:r>
        <w:t xml:space="preserve">) is the state county </w:t>
      </w:r>
      <w:r>
        <w:rPr>
          <w:i/>
        </w:rPr>
        <w:t xml:space="preserve">c </w:t>
      </w:r>
      <w:r>
        <w:t xml:space="preserve">is in, </w:t>
      </w:r>
      <w:r>
        <w:rPr>
          <w:i/>
        </w:rPr>
        <w:t>y</w:t>
      </w:r>
      <w:r>
        <w:rPr>
          <w:i/>
          <w:vertAlign w:val="subscript"/>
        </w:rPr>
        <w:t xml:space="preserve">ct </w:t>
      </w:r>
      <w:r>
        <w:t xml:space="preserve">is the outcome variable of interest, </w:t>
      </w:r>
      <w:r>
        <w:rPr>
          <w:i/>
        </w:rPr>
        <w:t>Treat</w:t>
      </w:r>
      <w:r>
        <w:rPr>
          <w:i/>
          <w:vertAlign w:val="subscript"/>
        </w:rPr>
        <w:t>s</w:t>
      </w:r>
      <w:r>
        <w:rPr>
          <w:vertAlign w:val="subscript"/>
        </w:rPr>
        <w:t>(</w:t>
      </w:r>
      <w:r>
        <w:rPr>
          <w:i/>
          <w:vertAlign w:val="subscript"/>
        </w:rPr>
        <w:t>c</w:t>
      </w:r>
      <w:r>
        <w:rPr>
          <w:vertAlign w:val="subscript"/>
        </w:rPr>
        <w:t xml:space="preserve">) </w:t>
      </w:r>
      <w:r>
        <w:t xml:space="preserve">is an indicator for whether a county is in a treated state, and </w:t>
      </w:r>
      <w:r>
        <w:rPr>
          <w:i/>
        </w:rPr>
        <w:t>α</w:t>
      </w:r>
      <w:r>
        <w:rPr>
          <w:i/>
          <w:vertAlign w:val="subscript"/>
        </w:rPr>
        <w:t>t</w:t>
      </w:r>
      <w:r>
        <w:rPr>
          <w:i/>
          <w:vertAlign w:val="superscript"/>
        </w:rPr>
        <w:t xml:space="preserve">DD </w:t>
      </w:r>
      <w:r>
        <w:t>and</w:t>
      </w:r>
      <w:r>
        <w:rPr>
          <w:noProof/>
        </w:rPr>
        <w:drawing>
          <wp:inline distT="0" distB="0" distL="0" distR="0" wp14:anchorId="6DDD8B9C" wp14:editId="6741CFEA">
            <wp:extent cx="271272" cy="167640"/>
            <wp:effectExtent l="0" t="0" r="0" b="0"/>
            <wp:docPr id="52105" name="Picture 52105"/>
            <wp:cNvGraphicFramePr/>
            <a:graphic xmlns:a="http://schemas.openxmlformats.org/drawingml/2006/main">
              <a:graphicData uri="http://schemas.openxmlformats.org/drawingml/2006/picture">
                <pic:pic xmlns:pic="http://schemas.openxmlformats.org/drawingml/2006/picture">
                  <pic:nvPicPr>
                    <pic:cNvPr id="52105" name="Picture 52105"/>
                    <pic:cNvPicPr/>
                  </pic:nvPicPr>
                  <pic:blipFill>
                    <a:blip r:embed="rId7"/>
                    <a:stretch>
                      <a:fillRect/>
                    </a:stretch>
                  </pic:blipFill>
                  <pic:spPr>
                    <a:xfrm>
                      <a:off x="0" y="0"/>
                      <a:ext cx="271272" cy="167640"/>
                    </a:xfrm>
                    <a:prstGeom prst="rect">
                      <a:avLst/>
                    </a:prstGeom>
                  </pic:spPr>
                </pic:pic>
              </a:graphicData>
            </a:graphic>
          </wp:inline>
        </w:drawing>
      </w:r>
      <w:r>
        <w:t xml:space="preserve"> capture year and county fixed effects respectively.</w:t>
      </w:r>
      <w:r>
        <w:rPr>
          <w:color w:val="0000FF"/>
          <w:vertAlign w:val="superscript"/>
        </w:rPr>
        <w:footnoteReference w:id="23"/>
      </w:r>
      <w:r>
        <w:rPr>
          <w:color w:val="0000FF"/>
          <w:vertAlign w:val="superscript"/>
        </w:rPr>
        <w:t xml:space="preserve"> </w:t>
      </w:r>
      <w:r>
        <w:t xml:space="preserve">The main parameter of interest is </w:t>
      </w:r>
      <w:r>
        <w:rPr>
          <w:i/>
        </w:rPr>
        <w:t>γ</w:t>
      </w:r>
      <w:r>
        <w:rPr>
          <w:i/>
          <w:vertAlign w:val="subscript"/>
        </w:rPr>
        <w:t>k</w:t>
      </w:r>
      <w:r>
        <w:rPr>
          <w:i/>
          <w:vertAlign w:val="superscript"/>
        </w:rPr>
        <w:t xml:space="preserve">DD </w:t>
      </w:r>
      <w:r>
        <w:t xml:space="preserve">which, under certain assumptions, captures the effect of being in a treated state in year </w:t>
      </w:r>
      <w:r>
        <w:rPr>
          <w:i/>
        </w:rPr>
        <w:t xml:space="preserve">k </w:t>
      </w:r>
      <w:r>
        <w:t xml:space="preserve">on county-level outcome </w:t>
      </w:r>
      <w:r>
        <w:rPr>
          <w:i/>
        </w:rPr>
        <w:t>y</w:t>
      </w:r>
      <w:r>
        <w:t>. Standard errors are clustered at the county level in the main analysis.</w:t>
      </w:r>
      <w:r>
        <w:rPr>
          <w:color w:val="0000FF"/>
          <w:vertAlign w:val="superscript"/>
        </w:rPr>
        <w:footnoteReference w:id="24"/>
      </w:r>
    </w:p>
    <w:p w14:paraId="6F86A0B0" w14:textId="77777777" w:rsidR="001C671E" w:rsidRDefault="00000000">
      <w:pPr>
        <w:spacing w:after="632"/>
        <w:ind w:left="478" w:right="102"/>
      </w:pPr>
      <w:r>
        <w:t>Analogously, our preferred individual-level specification is:</w:t>
      </w:r>
    </w:p>
    <w:p w14:paraId="1ACF689D" w14:textId="77777777" w:rsidR="001C671E" w:rsidRDefault="00000000">
      <w:pPr>
        <w:tabs>
          <w:tab w:val="center" w:pos="4680"/>
          <w:tab w:val="right" w:pos="9477"/>
        </w:tabs>
        <w:spacing w:after="67" w:line="259" w:lineRule="auto"/>
        <w:ind w:left="0" w:right="0" w:firstLine="0"/>
        <w:jc w:val="left"/>
      </w:pPr>
      <w:r>
        <w:rPr>
          <w:rFonts w:ascii="Calibri" w:eastAsia="Calibri" w:hAnsi="Calibri" w:cs="Calibri"/>
          <w:sz w:val="22"/>
        </w:rPr>
        <w:tab/>
      </w:r>
      <w:r>
        <w:rPr>
          <w:i/>
        </w:rPr>
        <w:t>y</w:t>
      </w:r>
      <w:r>
        <w:rPr>
          <w:i/>
          <w:sz w:val="16"/>
        </w:rPr>
        <w:t xml:space="preserve">it </w:t>
      </w:r>
      <w:r>
        <w:t xml:space="preserve">= </w:t>
      </w:r>
      <w:r>
        <w:rPr>
          <w:i/>
        </w:rPr>
        <w:t>α</w:t>
      </w:r>
      <w:r>
        <w:rPr>
          <w:i/>
          <w:sz w:val="16"/>
        </w:rPr>
        <w:t xml:space="preserve">tDD </w:t>
      </w:r>
      <w:r>
        <w:t xml:space="preserve">+ </w:t>
      </w:r>
      <w:r>
        <w:rPr>
          <w:i/>
        </w:rPr>
        <w:t>β</w:t>
      </w:r>
      <w:r>
        <w:rPr>
          <w:i/>
          <w:sz w:val="16"/>
        </w:rPr>
        <w:t>cDD</w:t>
      </w:r>
      <w:r>
        <w:rPr>
          <w:sz w:val="16"/>
        </w:rPr>
        <w:t>(</w:t>
      </w:r>
      <w:r>
        <w:rPr>
          <w:i/>
          <w:sz w:val="16"/>
        </w:rPr>
        <w:t>i</w:t>
      </w:r>
      <w:r>
        <w:rPr>
          <w:sz w:val="16"/>
        </w:rPr>
        <w:t xml:space="preserve">) </w:t>
      </w:r>
      <w:r>
        <w:t xml:space="preserve">+ X </w:t>
      </w:r>
      <w:r>
        <w:rPr>
          <w:i/>
        </w:rPr>
        <w:t>γ</w:t>
      </w:r>
      <w:r>
        <w:rPr>
          <w:i/>
          <w:sz w:val="16"/>
        </w:rPr>
        <w:t xml:space="preserve">kDD </w:t>
      </w:r>
      <w:r>
        <w:t xml:space="preserve">× </w:t>
      </w:r>
      <w:r>
        <w:rPr>
          <w:i/>
        </w:rPr>
        <w:t>Treat</w:t>
      </w:r>
      <w:r>
        <w:rPr>
          <w:i/>
          <w:sz w:val="16"/>
        </w:rPr>
        <w:t>s</w:t>
      </w:r>
      <w:r>
        <w:rPr>
          <w:sz w:val="16"/>
        </w:rPr>
        <w:t>(</w:t>
      </w:r>
      <w:r>
        <w:rPr>
          <w:i/>
          <w:sz w:val="16"/>
        </w:rPr>
        <w:t>i</w:t>
      </w:r>
      <w:r>
        <w:rPr>
          <w:sz w:val="16"/>
        </w:rPr>
        <w:t xml:space="preserve">) </w:t>
      </w:r>
      <w:r>
        <w:t xml:space="preserve">× </w:t>
      </w:r>
      <w:r>
        <w:rPr>
          <w:i/>
        </w:rPr>
        <w:t>Y ear</w:t>
      </w:r>
      <w:r>
        <w:rPr>
          <w:i/>
          <w:sz w:val="16"/>
        </w:rPr>
        <w:t>k</w:t>
      </w:r>
      <w:r>
        <w:rPr>
          <w:sz w:val="16"/>
        </w:rPr>
        <w:t>=</w:t>
      </w:r>
      <w:r>
        <w:rPr>
          <w:i/>
          <w:sz w:val="16"/>
        </w:rPr>
        <w:t xml:space="preserve">t </w:t>
      </w:r>
      <w:r>
        <w:t xml:space="preserve">+ </w:t>
      </w:r>
      <w:r>
        <w:rPr>
          <w:i/>
        </w:rPr>
        <w:t>ε</w:t>
      </w:r>
      <w:r>
        <w:rPr>
          <w:i/>
          <w:sz w:val="16"/>
        </w:rPr>
        <w:t>it</w:t>
      </w:r>
      <w:r>
        <w:rPr>
          <w:i/>
        </w:rPr>
        <w:t>,</w:t>
      </w:r>
      <w:r>
        <w:rPr>
          <w:i/>
        </w:rPr>
        <w:tab/>
      </w:r>
      <w:r>
        <w:t>(2)</w:t>
      </w:r>
    </w:p>
    <w:p w14:paraId="21ED1F6F" w14:textId="77777777" w:rsidR="001C671E" w:rsidRDefault="00000000">
      <w:pPr>
        <w:spacing w:after="376" w:line="346" w:lineRule="auto"/>
        <w:ind w:left="3081" w:right="0"/>
        <w:jc w:val="left"/>
      </w:pPr>
      <w:r>
        <w:rPr>
          <w:i/>
          <w:sz w:val="16"/>
        </w:rPr>
        <w:t>k</w:t>
      </w:r>
      <w:r>
        <w:rPr>
          <w:sz w:val="16"/>
        </w:rPr>
        <w:t>∈{1910</w:t>
      </w:r>
      <w:r>
        <w:rPr>
          <w:i/>
          <w:sz w:val="16"/>
        </w:rPr>
        <w:t>,</w:t>
      </w:r>
      <w:r>
        <w:rPr>
          <w:sz w:val="16"/>
        </w:rPr>
        <w:t>1920</w:t>
      </w:r>
      <w:r>
        <w:rPr>
          <w:i/>
          <w:sz w:val="16"/>
        </w:rPr>
        <w:t>,</w:t>
      </w:r>
      <w:r>
        <w:rPr>
          <w:sz w:val="16"/>
        </w:rPr>
        <w:t>1940</w:t>
      </w:r>
      <w:r>
        <w:rPr>
          <w:i/>
          <w:sz w:val="16"/>
        </w:rPr>
        <w:t>,</w:t>
      </w:r>
      <w:r>
        <w:rPr>
          <w:sz w:val="16"/>
        </w:rPr>
        <w:t>1950}</w:t>
      </w:r>
    </w:p>
    <w:p w14:paraId="20DBBB58" w14:textId="77777777" w:rsidR="001C671E" w:rsidRDefault="00000000">
      <w:pPr>
        <w:spacing w:after="429"/>
        <w:ind w:left="-5" w:right="102"/>
      </w:pPr>
      <w:r>
        <w:t xml:space="preserve">where </w:t>
      </w:r>
      <w:r>
        <w:rPr>
          <w:i/>
        </w:rPr>
        <w:t xml:space="preserve">i </w:t>
      </w:r>
      <w:r>
        <w:t>indexes individual and the notation follows from the county-level specification above. As above, we include county and year fixed effects and cluster standard errors at the county level. We also add age fixed effects to account for the fact that the likelihood of marriage is strongly related to age.</w:t>
      </w:r>
    </w:p>
    <w:p w14:paraId="28AEE687" w14:textId="77777777" w:rsidR="001C671E" w:rsidRDefault="00000000">
      <w:pPr>
        <w:pStyle w:val="Heading2"/>
        <w:ind w:left="-5"/>
      </w:pPr>
      <w:r>
        <w:t>Outcome variables</w:t>
      </w:r>
    </w:p>
    <w:p w14:paraId="58CE8E6D" w14:textId="77777777" w:rsidR="001C671E" w:rsidRDefault="00000000">
      <w:pPr>
        <w:ind w:left="-5" w:right="102"/>
      </w:pPr>
      <w: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Pr>
          <w:i/>
        </w:rPr>
        <w:t xml:space="preserve">county-level </w:t>
      </w:r>
      <w:r>
        <w:t xml:space="preserve">outcomes for local teacher workforces: the share of teachers in county </w:t>
      </w:r>
      <w:r>
        <w:rPr>
          <w:i/>
        </w:rPr>
        <w:t xml:space="preserve">c </w:t>
      </w:r>
      <w:r>
        <w:t xml:space="preserve">in year </w:t>
      </w:r>
      <w:r>
        <w:rPr>
          <w:i/>
        </w:rPr>
        <w:t xml:space="preserve">t </w:t>
      </w:r>
      <w:r>
        <w:t xml:space="preserve">who are married women, unmarried women, and men; the share of teachers in county </w:t>
      </w:r>
      <w:r>
        <w:rPr>
          <w:i/>
        </w:rPr>
        <w:t xml:space="preserve">c </w:t>
      </w:r>
      <w:r>
        <w:t xml:space="preserve">in year </w:t>
      </w:r>
      <w:r>
        <w:rPr>
          <w:i/>
        </w:rPr>
        <w:t xml:space="preserve">t </w:t>
      </w:r>
      <w:r>
        <w:t xml:space="preserve">who are women with children; the number of married women teachers per hundred married women in county </w:t>
      </w:r>
      <w:r>
        <w:rPr>
          <w:i/>
        </w:rPr>
        <w:t xml:space="preserve">c </w:t>
      </w:r>
      <w:r>
        <w:t xml:space="preserve">in year </w:t>
      </w:r>
      <w:r>
        <w:rPr>
          <w:i/>
        </w:rPr>
        <w:t>t</w:t>
      </w:r>
      <w:r>
        <w:t xml:space="preserve">; and the total number of teachers in county </w:t>
      </w:r>
      <w:r>
        <w:rPr>
          <w:i/>
        </w:rPr>
        <w:t xml:space="preserve">c </w:t>
      </w:r>
      <w:r>
        <w:t xml:space="preserve">in year </w:t>
      </w:r>
      <w:r>
        <w:rPr>
          <w:i/>
        </w:rPr>
        <w:t>t</w:t>
      </w:r>
      <w:r>
        <w:t>.</w:t>
      </w:r>
    </w:p>
    <w:p w14:paraId="073ACD15" w14:textId="77777777" w:rsidR="001C671E" w:rsidRDefault="00000000">
      <w:pPr>
        <w:spacing w:after="27"/>
        <w:ind w:left="-15" w:right="102" w:firstLine="468"/>
      </w:pPr>
      <w:r>
        <w:t xml:space="preserve">The second set of outcomes allows us to understand the mechanisms by which the prohibitions affected the composition of teachers. These outcomes are constructed at the </w:t>
      </w:r>
      <w:r>
        <w:rPr>
          <w:i/>
        </w:rPr>
        <w:t xml:space="preserve">individual level </w:t>
      </w:r>
      <w:r>
        <w:t xml:space="preserve">using the linked decennial Censuses, allowing us to investigate women’s transitions in and out of marriage, teaching, and the workforce. For each woman </w:t>
      </w:r>
      <w:r>
        <w:rPr>
          <w:i/>
        </w:rPr>
        <w:t xml:space="preserve">i </w:t>
      </w:r>
      <w:r>
        <w:t xml:space="preserve">observed in year </w:t>
      </w:r>
      <w:r>
        <w:rPr>
          <w:i/>
        </w:rPr>
        <w:t xml:space="preserve">t </w:t>
      </w:r>
      <w:r>
        <w:t>− 10 ∈{1910</w:t>
      </w:r>
      <w:r>
        <w:rPr>
          <w:i/>
        </w:rPr>
        <w:t>,</w:t>
      </w:r>
      <w:r>
        <w:t>1920</w:t>
      </w:r>
      <w:r>
        <w:rPr>
          <w:i/>
        </w:rPr>
        <w:t>,</w:t>
      </w:r>
      <w:r>
        <w:t xml:space="preserve">1930}, our main outcomes of interest include: an indicator for her marital status in year </w:t>
      </w:r>
      <w:r>
        <w:rPr>
          <w:i/>
        </w:rPr>
        <w:t>t</w:t>
      </w:r>
      <w:r>
        <w:t xml:space="preserve">, and an indicator for the interaction between her marital status in year </w:t>
      </w:r>
      <w:r>
        <w:rPr>
          <w:i/>
        </w:rPr>
        <w:t xml:space="preserve">t </w:t>
      </w:r>
      <w:r>
        <w:t xml:space="preserve">and her occupational status in year </w:t>
      </w:r>
      <w:r>
        <w:rPr>
          <w:i/>
        </w:rPr>
        <w:t xml:space="preserve">t </w:t>
      </w:r>
      <w:r>
        <w:t xml:space="preserve">(either teaching, not teaching but in the labor force, or not in the labor force). Treatment status is defined based on the county in which the person lives in year </w:t>
      </w:r>
      <w:r>
        <w:rPr>
          <w:i/>
        </w:rPr>
        <w:t xml:space="preserve">t </w:t>
      </w:r>
      <w:r>
        <w:t>− 10.</w:t>
      </w:r>
    </w:p>
    <w:p w14:paraId="75DA5E2A" w14:textId="77777777" w:rsidR="001C671E" w:rsidRDefault="00000000">
      <w:pPr>
        <w:spacing w:after="426"/>
        <w:ind w:left="-15" w:right="102" w:firstLine="468"/>
      </w:pPr>
      <w:r>
        <w:t xml:space="preserve">Additional linked outcomes include a woman’s occupational score in year </w:t>
      </w:r>
      <w:r>
        <w:rPr>
          <w:i/>
        </w:rPr>
        <w:t xml:space="preserve">t </w:t>
      </w:r>
      <w:r>
        <w:t xml:space="preserve">and indicators for whether, in year </w:t>
      </w:r>
      <w:r>
        <w:rPr>
          <w:i/>
        </w:rPr>
        <w:t>t</w:t>
      </w:r>
      <w:r>
        <w:t>, she has any children, is in the labor force, or is living in a different state.</w:t>
      </w:r>
      <w:r>
        <w:rPr>
          <w:color w:val="0000FF"/>
          <w:vertAlign w:val="superscript"/>
        </w:rPr>
        <w:footnoteReference w:id="25"/>
      </w:r>
      <w:r>
        <w:rPr>
          <w:color w:val="0000FF"/>
          <w:vertAlign w:val="superscript"/>
        </w:rPr>
        <w:t xml:space="preserve"> </w:t>
      </w:r>
      <w:r>
        <w:t xml:space="preserve">We follow prior work (Ran Abramitzky, Leah Boustan, and Katherine Eriksson, “Europe’s tired, poor, huddled masses: Self-selection and economic outcomes in the age of mass migration,” </w:t>
      </w:r>
      <w:r>
        <w:rPr>
          <w:i/>
        </w:rPr>
        <w:t xml:space="preserve">American Economic Review </w:t>
      </w:r>
      <w:r>
        <w:t>102, no. 5 [2012]: 1832–1856) in using occupational scores, which are numerical ratings of occupations ranging from 0-80 based on the average income associated with the occupation in 1950, as a proxy for income.</w:t>
      </w:r>
    </w:p>
    <w:p w14:paraId="555B72A8" w14:textId="77777777" w:rsidR="001C671E" w:rsidRDefault="00000000">
      <w:pPr>
        <w:pStyle w:val="Heading2"/>
        <w:ind w:left="-5"/>
      </w:pPr>
      <w:r>
        <w:t>Identifying assumption</w:t>
      </w:r>
    </w:p>
    <w:p w14:paraId="304A8B8C" w14:textId="77777777" w:rsidR="001C671E" w:rsidRDefault="00000000">
      <w:pPr>
        <w:ind w:left="-5" w:right="102"/>
      </w:pPr>
      <w: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36D83EA5" w14:textId="77777777" w:rsidR="001C671E" w:rsidRDefault="00000000">
      <w:pPr>
        <w:spacing w:after="345"/>
        <w:ind w:left="-15" w:right="102" w:firstLine="468"/>
      </w:pPr>
      <w: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20E8100B" w14:textId="77777777" w:rsidR="001C671E" w:rsidRDefault="00000000">
      <w:pPr>
        <w:ind w:left="-5" w:right="102"/>
      </w:pPr>
      <w:r>
        <w:rPr>
          <w:b/>
        </w:rPr>
        <w:t xml:space="preserve">Support for parallel trends. </w:t>
      </w:r>
      <w:r>
        <w:t>First, we find that there are no differential pre-trends in our outcomes of interest between the treated and control counties until 1930. While a lack of pretrends is neither necessary nor sufficient evidence that the parallel trends assumption holds, it is re-assuring for our identification strategy that KY and NC were on similar trajectories as their neighboring states prior to 1930.</w:t>
      </w:r>
    </w:p>
    <w:p w14:paraId="01BC3025" w14:textId="77777777" w:rsidR="001C671E" w:rsidRDefault="00000000">
      <w:pPr>
        <w:spacing w:after="123"/>
        <w:ind w:left="-15" w:right="102" w:firstLine="468"/>
      </w:pPr>
      <w: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Pr>
          <w:i/>
          <w:color w:val="0000FF"/>
        </w:rPr>
        <w:t>Gallup Poll 1938-0131: Recreation/Marital Status of Teachers/James Roosevelt/Railroads/Elections, 1938 [Dataset]</w:t>
      </w:r>
      <w:r>
        <w:t>), respondents were asked the following question: “Schools in some states only hire unmarried teachers and discharge them if they get married. Do you approve of this rule?” We compare the responses to this question between KY and neighboring control states.</w:t>
      </w:r>
      <w:r>
        <w:rPr>
          <w:color w:val="0000FF"/>
          <w:vertAlign w:val="superscript"/>
        </w:rPr>
        <w:footnoteReference w:id="26"/>
      </w:r>
      <w:r>
        <w:rPr>
          <w:color w:val="0000FF"/>
          <w:vertAlign w:val="superscript"/>
        </w:rPr>
        <w:t xml:space="preserve"> </w:t>
      </w:r>
      <w:r>
        <w:t>We find that respondents in KY were weakly less likely to approve of the rule (22.0%, s.e. 4.9%) compared to respondents in TN and WV (27.9%, s.e. 5.9%), but that the gap is statistically indistinguishable from zero at the 90% confidence level (t-statistic: 0.77). We conclude that there were no meaningful differences in norms regarding the employment of married women in teaching between the treated and control states.</w:t>
      </w:r>
    </w:p>
    <w:p w14:paraId="2B8FAD1F" w14:textId="77777777" w:rsidR="001C671E" w:rsidRDefault="00000000">
      <w:pPr>
        <w:ind w:left="-15" w:right="102" w:firstLine="468"/>
      </w:pPr>
      <w: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w:t>
      </w:r>
    </w:p>
    <w:p w14:paraId="41F14226" w14:textId="77777777" w:rsidR="001C671E" w:rsidRDefault="00000000">
      <w:pPr>
        <w:spacing w:after="352"/>
        <w:ind w:left="-5" w:right="102"/>
      </w:pPr>
      <w:r>
        <w:t>SC, CA, KS, and FL upholding the school boards’ right to dismiss while other courts in NY, AL, CA, FL, IL, IN, KY, LA, NJ, NY, OR, TN, and WV did the opposite (</w:t>
      </w:r>
      <w:r>
        <w:rPr>
          <w:i/>
          <w:color w:val="0000FF"/>
        </w:rPr>
        <w:t xml:space="preserve">Tampa Morning Tribune, </w:t>
      </w:r>
      <w:r>
        <w:t>various dates. Tampa Bay, FL 1934, 1938). Furthermore, KY and NC were not the only states in which bills protecting married women against dismissal were introduced. In 1932, a Mrs. Emma Lee White introduced a similar bill to the Virginia General Assembly which was ultimately unsuccessful (</w:t>
      </w:r>
      <w:r>
        <w:rPr>
          <w:i/>
          <w:color w:val="0000FF"/>
        </w:rPr>
        <w:t xml:space="preserve">Daily Press, </w:t>
      </w:r>
      <w:r>
        <w:t>27 January 1932. Newport News, VA 1932). We take these data as evidence that the policy discussion and sentiments towards married women teachers were similar in KY and NC and the neighboring Southern states.</w:t>
      </w:r>
    </w:p>
    <w:p w14:paraId="5F838C03" w14:textId="77777777" w:rsidR="001C671E" w:rsidRDefault="00000000">
      <w:pPr>
        <w:ind w:left="-5" w:right="102"/>
      </w:pPr>
      <w:r>
        <w:rPr>
          <w:b/>
        </w:rPr>
        <w:t xml:space="preserve">The Great Depression and New Deal. </w:t>
      </w:r>
      <w: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Pr>
          <w:color w:val="0000FF"/>
          <w:vertAlign w:val="superscript"/>
        </w:rPr>
        <w:footnoteReference w:id="27"/>
      </w:r>
      <w:r>
        <w:rPr>
          <w:color w:val="0000FF"/>
          <w:vertAlign w:val="superscript"/>
        </w:rPr>
        <w:t xml:space="preserve"> </w:t>
      </w:r>
      <w:r>
        <w:t>One of the key changes in teacher training in the early 1900s was the shift from two-year “normal schools” to four-year college programs, but these changes largely took place before 1930.</w:t>
      </w:r>
    </w:p>
    <w:p w14:paraId="549F319F" w14:textId="77777777" w:rsidR="001C671E" w:rsidRDefault="00000000">
      <w:pPr>
        <w:ind w:left="-15" w:right="102" w:firstLine="468"/>
      </w:pPr>
      <w: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7A3F7521" w14:textId="77777777" w:rsidR="001C671E" w:rsidRDefault="00000000">
      <w:pPr>
        <w:ind w:left="-15" w:right="102" w:firstLine="468"/>
      </w:pPr>
      <w:r>
        <w:t>The first difference is that the average treated county experienced a more severe economic downturn and a more muted recovery than the average control county during the Great Depression.</w:t>
      </w:r>
      <w:r>
        <w:rPr>
          <w:color w:val="0000FF"/>
          <w:vertAlign w:val="superscript"/>
        </w:rPr>
        <w:footnoteReference w:id="28"/>
      </w:r>
      <w:r>
        <w:rPr>
          <w:color w:val="0000FF"/>
          <w:vertAlign w:val="superscript"/>
        </w:rPr>
        <w:t xml:space="preserve"> </w:t>
      </w:r>
      <w: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6F7D610E" w14:textId="77777777" w:rsidR="001C671E" w:rsidRDefault="00000000">
      <w:pPr>
        <w:spacing w:after="122" w:line="265" w:lineRule="auto"/>
        <w:ind w:right="102"/>
        <w:jc w:val="right"/>
      </w:pPr>
      <w:r>
        <w:t>How might these differential trends bias our results? Prior literature finds that the Great</w:t>
      </w:r>
    </w:p>
    <w:p w14:paraId="38014FD8" w14:textId="77777777" w:rsidR="001C671E" w:rsidRDefault="00000000">
      <w:pPr>
        <w:spacing w:after="158" w:line="259" w:lineRule="auto"/>
        <w:ind w:left="-5" w:right="102"/>
      </w:pPr>
      <w:r>
        <w:t>Depression delayed women’s decisions to marry (Matthew J Hill, “Love in the Time of the</w:t>
      </w:r>
    </w:p>
    <w:p w14:paraId="2560F1C1" w14:textId="77777777" w:rsidR="001C671E" w:rsidRDefault="00000000">
      <w:pPr>
        <w:ind w:left="-5" w:right="102"/>
      </w:pPr>
      <w:r>
        <w:t xml:space="preserve">Depression: The Effect of Economic Conditions on Marriage in the Great Depression,” </w:t>
      </w:r>
      <w:r>
        <w:rPr>
          <w:i/>
        </w:rPr>
        <w:t xml:space="preserve">The Journal of Economic History </w:t>
      </w:r>
      <w:r>
        <w:t xml:space="preserve">75, no. 1 [2015]: 163–189) and contributed to more widespread implementation of marriage bars, to preserve job openings for men (Goldin, </w:t>
      </w:r>
      <w:r>
        <w:rPr>
          <w:color w:val="0000FF"/>
        </w:rPr>
        <w:t>“Marriage Bars: Discrimination Against Married Women Workers from the 1920s to the 1950s.</w:t>
      </w:r>
      <w:r>
        <w:t>”). At the same time, Bellou and Cardia</w:t>
      </w:r>
      <w:r>
        <w:rPr>
          <w:color w:val="0000FF"/>
          <w:vertAlign w:val="superscript"/>
        </w:rPr>
        <w:footnoteReference w:id="29"/>
      </w:r>
      <w:r>
        <w:rPr>
          <w:color w:val="0000FF"/>
          <w:vertAlign w:val="superscript"/>
        </w:rPr>
        <w:t xml:space="preserve"> </w:t>
      </w:r>
      <w:r>
        <w:t xml:space="preserve">find that more severe economic downturns pushed more white women into the labor market, with suggestive evidence that married women were affected as well—although this “added worker” effect was tempered by New Deal programs (T Aldrich Finegan and Robert A Margo, “Work Relief and the Labor Force Participation of Married Women in 1940,” </w:t>
      </w:r>
      <w:r>
        <w:rPr>
          <w:i/>
        </w:rPr>
        <w:t xml:space="preserve">The Journal of Economic History </w:t>
      </w:r>
      <w:r>
        <w:t>54, no. 1 [1994]: 64–84).</w:t>
      </w:r>
      <w:r>
        <w:rPr>
          <w:color w:val="0000FF"/>
          <w:vertAlign w:val="superscript"/>
        </w:rPr>
        <w:footnoteReference w:id="30"/>
      </w:r>
    </w:p>
    <w:p w14:paraId="13273C41" w14:textId="77777777" w:rsidR="001C671E" w:rsidRDefault="00000000">
      <w:pPr>
        <w:ind w:left="-15" w:right="102" w:firstLine="468"/>
      </w:pPr>
      <w:r>
        <w:t>The direction of potential bias is therefore ambiguous. In the absence of the marriage bar prohibitions, worse economic conditions in treated states relative to control states would have increased the use of marriage bars, delayed marriage among women, and decreased resources for schools, all of which would have reduced the relative likelihood that women got married or taught in treated states compared to control ones. At the same time, the “added worker” effect may have resulted larger inflows of married women into the labor force in treated states compared to control states. Our estimates could thus be biased downward by the reduced likelihood of treated women getting married or teaching in treated states, or biased upward by the “added worker” effect in treated states.</w:t>
      </w:r>
    </w:p>
    <w:p w14:paraId="633F337F" w14:textId="77777777" w:rsidR="001C671E" w:rsidRDefault="00000000">
      <w:pPr>
        <w:ind w:left="-15" w:right="102" w:firstLine="468"/>
      </w:pPr>
      <w: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0AA77D96" w14:textId="77777777" w:rsidR="001C671E" w:rsidRDefault="00000000">
      <w:pPr>
        <w:ind w:left="-15" w:right="102" w:firstLine="468"/>
      </w:pPr>
      <w:r>
        <w:t xml:space="preserve">The second notable difference between treated and control states was their exposure to New Deal policies. A large number of control counties in TN, but only a small number of treated counties, 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higher-paying manufacturing jobs (Patrick Kline and Enrico Moretti, “Local Economic Development, Agglomeration Economies, and the Big Push: 100 Years of Evidence From the Tennessee Valley Authority,” </w:t>
      </w:r>
      <w:r>
        <w:rPr>
          <w:i/>
        </w:rPr>
        <w:t xml:space="preserve">The Quarterly Journal of Economics </w:t>
      </w:r>
      <w:r>
        <w:t>129, no. 1 [2014]: 275–331).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6898CED" w14:textId="77777777" w:rsidR="001C671E" w:rsidRDefault="00000000">
      <w:pPr>
        <w:pStyle w:val="Heading1"/>
        <w:spacing w:after="344"/>
        <w:ind w:left="155" w:right="0"/>
      </w:pPr>
      <w:r>
        <w:t>The Effects of Prohibiting Marriage Bars in Teaching</w:t>
      </w:r>
    </w:p>
    <w:p w14:paraId="75F04B18" w14:textId="77777777" w:rsidR="001C671E" w:rsidRDefault="00000000">
      <w:pPr>
        <w:pStyle w:val="Heading2"/>
        <w:ind w:left="-5"/>
      </w:pPr>
      <w:r>
        <w:t>Direct Effects on Married Women</w:t>
      </w:r>
    </w:p>
    <w:p w14:paraId="1E7DC03F" w14:textId="77777777" w:rsidR="001C671E" w:rsidRDefault="00000000">
      <w:pPr>
        <w:ind w:left="-5" w:right="102"/>
      </w:pPr>
      <w:r>
        <w:t>We start by examining how the prohibitions of marriage bars in teaching affected the employment of married women as teachers. Results from estimating Equation (</w:t>
      </w:r>
      <w:r>
        <w:rPr>
          <w:color w:val="0000FF"/>
        </w:rPr>
        <w:t>1</w:t>
      </w:r>
      <w:r>
        <w:t xml:space="preserve">) are shown in Table </w:t>
      </w:r>
      <w:r>
        <w:rPr>
          <w:color w:val="0000FF"/>
        </w:rPr>
        <w:t>2</w:t>
      </w:r>
      <w:r>
        <w:t xml:space="preserve">. Column (1) (and triangles in Figure </w:t>
      </w:r>
      <w:r>
        <w:rPr>
          <w:color w:val="0000FF"/>
        </w:rPr>
        <w:t>2</w:t>
      </w:r>
      <w:r>
        <w:t>) shows the estimated effects of the prohibitions on the share of teachers in a county who were married women, while Column (2) shows the estimated effects on the number of married women teachers per hundred married women.</w:t>
      </w:r>
    </w:p>
    <w:p w14:paraId="5944F359" w14:textId="77777777" w:rsidR="001C671E" w:rsidRDefault="00000000">
      <w:pPr>
        <w:ind w:left="-15" w:right="102" w:firstLine="468"/>
      </w:pPr>
      <w: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45387B98" w14:textId="77777777" w:rsidR="001C671E" w:rsidRDefault="00000000">
      <w:pPr>
        <w:spacing w:after="122" w:line="265" w:lineRule="auto"/>
        <w:ind w:right="102"/>
        <w:jc w:val="right"/>
      </w:pPr>
      <w:r>
        <w:t>These effects were completely driven by white teachers (Columns (3) and (4), and Figure</w:t>
      </w:r>
    </w:p>
    <w:p w14:paraId="22EA3D07" w14:textId="77777777" w:rsidR="001C671E" w:rsidRDefault="00000000">
      <w:pPr>
        <w:ind w:left="-5" w:right="102"/>
      </w:pPr>
      <w:r>
        <w:rPr>
          <w:color w:val="0000FF"/>
        </w:rPr>
        <w:t>3a</w:t>
      </w:r>
      <w:r>
        <w:t xml:space="preserve">), with no effects on the composition of Black teachers (Columns (5) and (6), and Figure </w:t>
      </w:r>
      <w:r>
        <w:rPr>
          <w:color w:val="0000FF"/>
        </w:rPr>
        <w:t>3b</w:t>
      </w:r>
      <w:r>
        <w:t>).</w:t>
      </w:r>
      <w:r>
        <w:rPr>
          <w:color w:val="0000FF"/>
          <w:vertAlign w:val="superscript"/>
        </w:rPr>
        <w:footnoteReference w:id="31"/>
      </w:r>
      <w:r>
        <w:rPr>
          <w:color w:val="0000FF"/>
          <w:vertAlign w:val="superscript"/>
        </w:rPr>
        <w:t xml:space="preserve"> </w:t>
      </w:r>
      <w:r>
        <w:t>We interpret these findings as evidence that marriage bars were binding for white women but not Black women, as posited by Goldin.</w:t>
      </w:r>
      <w:r>
        <w:rPr>
          <w:color w:val="0000FF"/>
          <w:vertAlign w:val="superscript"/>
        </w:rPr>
        <w:footnoteReference w:id="32"/>
      </w:r>
      <w:r>
        <w:rPr>
          <w:color w:val="0000FF"/>
          <w:vertAlign w:val="superscript"/>
        </w:rPr>
        <w:t xml:space="preserve"> </w:t>
      </w:r>
      <w:r>
        <w:t xml:space="preserve">Our findings are consistent with the fact that white and Black women in this setting worked in segregated schools due to Jim Crow era laws, and the fact that Black married women were more likely to work during this time period in general (Costa, </w:t>
      </w:r>
      <w:r>
        <w:rPr>
          <w:color w:val="0000FF"/>
        </w:rPr>
        <w:t>“From Mill Town to Board Room: The Rise of Women’s Paid Labor</w:t>
      </w:r>
      <w:r>
        <w:t>”).</w:t>
      </w:r>
    </w:p>
    <w:p w14:paraId="0F3401F9" w14:textId="77777777" w:rsidR="001C671E" w:rsidRDefault="00000000">
      <w:pPr>
        <w:spacing w:after="3" w:line="368" w:lineRule="auto"/>
        <w:ind w:right="102"/>
        <w:jc w:val="right"/>
      </w:pPr>
      <w: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593C6B6C" w14:textId="77777777" w:rsidR="001C671E" w:rsidRDefault="00000000">
      <w:pPr>
        <w:spacing w:after="429"/>
        <w:ind w:left="-15" w:right="102" w:firstLine="468"/>
      </w:pPr>
      <w: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7DF1F063" w14:textId="77777777" w:rsidR="001C671E" w:rsidRDefault="00000000">
      <w:pPr>
        <w:pStyle w:val="Heading2"/>
        <w:ind w:left="-5"/>
      </w:pPr>
      <w:r>
        <w:t>Mechanisms Behind Direct Effects</w:t>
      </w:r>
    </w:p>
    <w:p w14:paraId="45A00438" w14:textId="77777777" w:rsidR="001C671E" w:rsidRDefault="00000000">
      <w:pPr>
        <w:ind w:left="-5" w:right="102"/>
      </w:pPr>
      <w:r>
        <w:t>What are the mechanisms driving our main effect? Did the prohibitions pull married women into the labor force (an ‘extensive margin’ effect), or did the prohibitions only affect women who would have worked even absent the policy (an ‘intensive margin’ effect), by either inducing unmarried teachers to marry or by inducing married workers to switch to teaching?</w:t>
      </w:r>
    </w:p>
    <w:p w14:paraId="26CEB4BB" w14:textId="77777777" w:rsidR="001C671E" w:rsidRDefault="00000000">
      <w:pPr>
        <w:ind w:left="-15" w:right="102" w:firstLine="468"/>
      </w:pPr>
      <w:r>
        <w:t xml:space="preserve">We answer this question using our linked Census data, which allows us to trace out individual transitions into marriage and employment for three groups of white women, grouped by their marital and employment status in year </w:t>
      </w:r>
      <w:r>
        <w:rPr>
          <w:i/>
        </w:rPr>
        <w:t xml:space="preserve">t </w:t>
      </w:r>
      <w:r>
        <w:t>− 10: (1) unmarried women teachers, (2) married women not in the labor force, and (3) unmarried women not in the labor force.</w:t>
      </w:r>
      <w:r>
        <w:rPr>
          <w:color w:val="0000FF"/>
          <w:vertAlign w:val="superscript"/>
        </w:rPr>
        <w:footnoteReference w:id="33"/>
      </w:r>
      <w:r>
        <w:t>Results from estimating Equation (</w:t>
      </w:r>
      <w:r>
        <w:rPr>
          <w:color w:val="0000FF"/>
        </w:rPr>
        <w:t>2</w:t>
      </w:r>
      <w:r>
        <w:t xml:space="preserve">) for each group are shown in Table </w:t>
      </w:r>
      <w:r>
        <w:rPr>
          <w:color w:val="0000FF"/>
        </w:rPr>
        <w:t>3</w:t>
      </w:r>
      <w:r>
        <w:t>. Given our findings that the marriage bars had no direct effects on Black teachers, from here on, we focus on white teachers in our analysis of mechanisms.</w:t>
      </w:r>
    </w:p>
    <w:p w14:paraId="62F84259" w14:textId="77777777" w:rsidR="001C671E" w:rsidRDefault="00000000">
      <w:pPr>
        <w:spacing w:after="152" w:line="265" w:lineRule="auto"/>
        <w:ind w:right="102"/>
        <w:jc w:val="right"/>
      </w:pPr>
      <w:r>
        <w:t>We start by looking at the effects for women who were unmarried and teaching in</w:t>
      </w:r>
    </w:p>
    <w:p w14:paraId="6916370E" w14:textId="77777777" w:rsidR="001C671E" w:rsidRDefault="00000000">
      <w:pPr>
        <w:spacing w:after="36"/>
        <w:ind w:left="-5" w:right="102"/>
      </w:pPr>
      <w:r>
        <w:t>1930 in Panel 1.</w:t>
      </w:r>
      <w:r>
        <w:tab/>
        <w:t>Column (2) shows that the prohibitions led to a 2.2 p.p.</w:t>
      </w:r>
      <w:r>
        <w:tab/>
        <w:t xml:space="preserve">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Pr>
          <w:i/>
        </w:rPr>
        <w:t>keeping their jobs</w:t>
      </w:r>
      <w:r>
        <w:t xml:space="preserve">: their propensity to exit the labor force fell by 3.0 p.p. (Column (4)), with no change in their likelihood of working outside of teaching (Column (3)). The prohibitions therefore had an </w:t>
      </w:r>
      <w:r>
        <w:rPr>
          <w:i/>
        </w:rPr>
        <w:t xml:space="preserve">extensive margin </w:t>
      </w:r>
      <w:r>
        <w:t>effect on the LFP of unmarried women teachers by keeping them in the labor force when they would have left after marriage absent the prohibitions.</w:t>
      </w:r>
      <w:r>
        <w:rPr>
          <w:color w:val="0000FF"/>
          <w:vertAlign w:val="superscript"/>
        </w:rPr>
        <w:footnoteReference w:id="34"/>
      </w:r>
    </w:p>
    <w:p w14:paraId="144B156A" w14:textId="77777777" w:rsidR="001C671E" w:rsidRDefault="00000000">
      <w:pPr>
        <w:ind w:left="-15" w:right="102" w:firstLine="468"/>
      </w:pPr>
      <w:r>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1F814A9E" w14:textId="77777777" w:rsidR="001C671E" w:rsidRDefault="00000000">
      <w:pPr>
        <w:ind w:left="-15" w:right="102" w:firstLine="468"/>
      </w:pPr>
      <w:r>
        <w:t>Finally, we examine the effects on unmarried women who were not in the labor force prior to the prohibitions. Panel 3 shows that these women became more 0.13 p.p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3E185156" w14:textId="77777777" w:rsidR="001C671E" w:rsidRDefault="00000000">
      <w:pPr>
        <w:ind w:left="-15" w:right="102" w:firstLine="468"/>
      </w:pPr>
      <w: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45F52416" w14:textId="77777777" w:rsidR="001C671E" w:rsidRDefault="00000000">
      <w:pPr>
        <w:ind w:left="-15" w:right="102" w:firstLine="468"/>
      </w:pPr>
      <w:r>
        <w:t xml:space="preserve">Our results suggest that the increase in married women in teaching was driven entirely by changes in extensive margin labor supply, both by increasing </w:t>
      </w:r>
      <w:r>
        <w:rPr>
          <w:i/>
        </w:rPr>
        <w:t xml:space="preserve">retention </w:t>
      </w:r>
      <w:r>
        <w:t xml:space="preserve">of incumbent teachers who would otherwise have exited the labor force, and by increasing </w:t>
      </w:r>
      <w:r>
        <w:rPr>
          <w:i/>
        </w:rPr>
        <w:t xml:space="preserve">hiring </w:t>
      </w:r>
      <w: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687643A5" w14:textId="77777777" w:rsidR="001C671E" w:rsidRDefault="00000000">
      <w:pPr>
        <w:ind w:left="-15" w:right="102" w:firstLine="468"/>
      </w:pPr>
      <w:r>
        <w:t xml:space="preserve">Furthermore, our estimates suggest that new hiring contributed more to the increase in married women teachers than the retention of incumbent teachers did. To see this, we scale the estimated effects in Table </w:t>
      </w:r>
      <w:r>
        <w:rPr>
          <w:color w:val="0000FF"/>
        </w:rPr>
        <w:t xml:space="preserve">3 </w:t>
      </w:r>
      <w: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Pr>
          <w:color w:val="0000FF"/>
          <w:vertAlign w:val="superscript"/>
        </w:rPr>
        <w:footnoteReference w:id="35"/>
      </w:r>
    </w:p>
    <w:p w14:paraId="1C0E011D" w14:textId="77777777" w:rsidR="001C671E" w:rsidRDefault="00000000">
      <w:pPr>
        <w:pStyle w:val="Heading2"/>
        <w:ind w:left="-5"/>
      </w:pPr>
      <w:r>
        <w:t>Effects on Men and Unmarried Women</w:t>
      </w:r>
    </w:p>
    <w:p w14:paraId="604D65CA" w14:textId="77777777" w:rsidR="001C671E" w:rsidRDefault="00000000">
      <w:pPr>
        <w:ind w:left="-5" w:right="102"/>
      </w:pPr>
      <w: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women teachers. We are able to conclusively rule out this possibility in Table </w:t>
      </w:r>
      <w:r>
        <w:rPr>
          <w:color w:val="0000FF"/>
        </w:rPr>
        <w:t>4</w:t>
      </w:r>
      <w: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Pr>
          <w:color w:val="0000FF"/>
        </w:rPr>
        <w:t>1</w:t>
      </w:r>
      <w:r>
        <w:t>) using as outcomes the share of teachers that were men and unmarried women.</w:t>
      </w:r>
    </w:p>
    <w:p w14:paraId="1446CF53" w14:textId="77777777" w:rsidR="001C671E" w:rsidRDefault="00000000">
      <w:pPr>
        <w:ind w:left="-15" w:right="102" w:firstLine="468"/>
      </w:pPr>
      <w:r>
        <w:t xml:space="preserve">Results for all teachers are shown in Figure </w:t>
      </w:r>
      <w:r>
        <w:rPr>
          <w:color w:val="0000FF"/>
        </w:rPr>
        <w:t>2</w:t>
      </w:r>
      <w:r>
        <w:t xml:space="preserve">, with results split by race in Figure </w:t>
      </w:r>
      <w:r>
        <w:rPr>
          <w:color w:val="0000FF"/>
        </w:rPr>
        <w:t xml:space="preserve">3 </w:t>
      </w:r>
      <w:r>
        <w:t xml:space="preserve">and for white teachers only in Table </w:t>
      </w:r>
      <w:r>
        <w:rPr>
          <w:color w:val="0000FF"/>
        </w:rPr>
        <w:t>4</w:t>
      </w:r>
      <w:r>
        <w:t xml:space="preserve">. Consistent with our earlier finding that marriage bars were not binding for Black married women, Figure </w:t>
      </w:r>
      <w:r>
        <w:rPr>
          <w:color w:val="0000FF"/>
        </w:rPr>
        <w:t xml:space="preserve">3b </w:t>
      </w:r>
      <w:r>
        <w:t xml:space="preserve">shows that the prohibitions had no effect on Black men or Black unmarried women teachers, either. For white teachers, however, Figure </w:t>
      </w:r>
      <w:r>
        <w:rPr>
          <w:color w:val="0000FF"/>
        </w:rPr>
        <w:t xml:space="preserve">3a </w:t>
      </w:r>
      <w:r>
        <w:t xml:space="preserve">and Table </w:t>
      </w:r>
      <w:r>
        <w:rPr>
          <w:color w:val="0000FF"/>
        </w:rPr>
        <w:t xml:space="preserve">4 </w:t>
      </w:r>
      <w: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7B8C6DED" w14:textId="77777777" w:rsidR="001C671E" w:rsidRDefault="00000000">
      <w:pPr>
        <w:ind w:left="-15" w:right="102" w:firstLine="468"/>
      </w:pPr>
      <w:r>
        <w:t>What happened to the white unmarried women who left teaching following the prohibitions? Did they switch to other occupations, or were they pushed out of the labor force entirely? We explore this question using our linked sample of unmarried women teachers.</w:t>
      </w:r>
    </w:p>
    <w:p w14:paraId="556227F0" w14:textId="77777777" w:rsidR="001C671E" w:rsidRDefault="00000000">
      <w:pPr>
        <w:spacing w:after="85" w:line="259" w:lineRule="auto"/>
        <w:ind w:left="0" w:right="0" w:firstLine="0"/>
        <w:jc w:val="left"/>
      </w:pPr>
      <w:r>
        <w:rPr>
          <w:rFonts w:ascii="Calibri" w:eastAsia="Calibri" w:hAnsi="Calibri" w:cs="Calibri"/>
          <w:noProof/>
          <w:sz w:val="22"/>
        </w:rPr>
        <mc:AlternateContent>
          <mc:Choice Requires="wpg">
            <w:drawing>
              <wp:inline distT="0" distB="0" distL="0" distR="0" wp14:anchorId="62D221BE" wp14:editId="326558C8">
                <wp:extent cx="2377402" cy="5055"/>
                <wp:effectExtent l="0" t="0" r="0" b="0"/>
                <wp:docPr id="39428" name="Group 39428"/>
                <wp:cNvGraphicFramePr/>
                <a:graphic xmlns:a="http://schemas.openxmlformats.org/drawingml/2006/main">
                  <a:graphicData uri="http://schemas.microsoft.com/office/word/2010/wordprocessingGroup">
                    <wpg:wgp>
                      <wpg:cNvGrpSpPr/>
                      <wpg:grpSpPr>
                        <a:xfrm>
                          <a:off x="0" y="0"/>
                          <a:ext cx="2377402" cy="5055"/>
                          <a:chOff x="0" y="0"/>
                          <a:chExt cx="2377402" cy="5055"/>
                        </a:xfrm>
                      </wpg:grpSpPr>
                      <wps:wsp>
                        <wps:cNvPr id="1785" name="Shape 1785"/>
                        <wps:cNvSpPr/>
                        <wps:spPr>
                          <a:xfrm>
                            <a:off x="0" y="0"/>
                            <a:ext cx="2377402" cy="0"/>
                          </a:xfrm>
                          <a:custGeom>
                            <a:avLst/>
                            <a:gdLst/>
                            <a:ahLst/>
                            <a:cxnLst/>
                            <a:rect l="0" t="0" r="0" b="0"/>
                            <a:pathLst>
                              <a:path w="2377402">
                                <a:moveTo>
                                  <a:pt x="0" y="0"/>
                                </a:moveTo>
                                <a:lnTo>
                                  <a:pt x="23774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28" style="width:187.197pt;height:0.398pt;mso-position-horizontal-relative:char;mso-position-vertical-relative:line" coordsize="23774,50">
                <v:shape id="Shape 1785" style="position:absolute;width:23774;height:0;left:0;top:0;" coordsize="2377402,0" path="m0,0l2377402,0">
                  <v:stroke weight="0.398pt" endcap="flat" joinstyle="miter" miterlimit="10" on="true" color="#000000"/>
                  <v:fill on="false" color="#000000" opacity="0"/>
                </v:shape>
              </v:group>
            </w:pict>
          </mc:Fallback>
        </mc:AlternateContent>
      </w:r>
    </w:p>
    <w:p w14:paraId="31A3125B" w14:textId="77777777" w:rsidR="001C671E" w:rsidRDefault="00000000">
      <w:pPr>
        <w:spacing w:after="12" w:line="254" w:lineRule="auto"/>
        <w:ind w:left="-5" w:right="0"/>
      </w:pPr>
      <w:r>
        <w:rPr>
          <w:sz w:val="20"/>
        </w:rPr>
        <w:t>women outside of labor force will likely be driven by hiring effects.</w:t>
      </w:r>
    </w:p>
    <w:p w14:paraId="580403AD" w14:textId="77777777" w:rsidR="001C671E" w:rsidRDefault="00000000">
      <w:pPr>
        <w:ind w:left="-5" w:right="102"/>
      </w:pPr>
      <w: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2D0DDCCA" w14:textId="77777777" w:rsidR="001C671E" w:rsidRDefault="00000000">
      <w:pPr>
        <w:ind w:left="-15" w:right="102" w:firstLine="468"/>
      </w:pPr>
      <w:r>
        <w:t xml:space="preserve">Table </w:t>
      </w:r>
      <w:r>
        <w:rPr>
          <w:color w:val="0000FF"/>
        </w:rPr>
        <w:t xml:space="preserve">5 </w:t>
      </w:r>
      <w:r>
        <w:t xml:space="preserve">shows the estimated effects of the prohibitions on the likelihood that unmarried women teachers in </w:t>
      </w:r>
      <w:r>
        <w:rPr>
          <w:i/>
        </w:rPr>
        <w:t xml:space="preserve">t </w:t>
      </w:r>
      <w:r>
        <w:t xml:space="preserve">− 10 remained unmarried (Column 1) and either stayed teachers (2), stayed in the labor force but changed occupations (3), and left the labor force (4). In line with Table </w:t>
      </w:r>
      <w:r>
        <w:rPr>
          <w:color w:val="0000FF"/>
        </w:rPr>
        <w:t>4</w:t>
      </w:r>
      <w: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07DBFC2A" w14:textId="77777777" w:rsidR="001C671E" w:rsidRDefault="00000000">
      <w:pPr>
        <w:ind w:left="-15" w:right="102" w:firstLine="468"/>
      </w:pPr>
      <w:r>
        <w:t xml:space="preserve">These displaced unmarried women teachers did not leave to lower-paying jobs, but we find some evidence that they may have been induced to move. Online Appendix Table B5 examines the effect of the prohibitions on the </w:t>
      </w:r>
      <w:r>
        <w:rPr>
          <w:i/>
        </w:rPr>
        <w:t xml:space="preserve">occupational scores </w:t>
      </w:r>
      <w:r>
        <w:t>(Columns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Pr>
          <w:color w:val="0000FF"/>
          <w:vertAlign w:val="superscript"/>
        </w:rPr>
        <w:footnoteReference w:id="36"/>
      </w:r>
    </w:p>
    <w:p w14:paraId="1D659560" w14:textId="77777777" w:rsidR="001C671E" w:rsidRDefault="00000000">
      <w:pPr>
        <w:ind w:left="-15" w:right="102" w:firstLine="468"/>
      </w:pPr>
      <w:r>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5D204D9A" w14:textId="77777777" w:rsidR="001C671E" w:rsidRDefault="00000000">
      <w:pPr>
        <w:spacing w:after="429"/>
        <w:ind w:left="-15" w:right="102" w:firstLine="468"/>
      </w:pPr>
      <w:r>
        <w:t>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3B4E02F5" w14:textId="77777777" w:rsidR="001C671E" w:rsidRDefault="00000000">
      <w:pPr>
        <w:pStyle w:val="Heading2"/>
        <w:ind w:left="-5"/>
      </w:pPr>
      <w:r>
        <w:t>Robustness Checks</w:t>
      </w:r>
    </w:p>
    <w:p w14:paraId="3AD44E11" w14:textId="77777777" w:rsidR="001C671E" w:rsidRDefault="00000000">
      <w:pPr>
        <w:spacing w:after="354"/>
        <w:ind w:left="-5" w:right="102"/>
      </w:pPr>
      <w: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7DC3AC93" w14:textId="77777777" w:rsidR="001C671E" w:rsidRDefault="00000000">
      <w:pPr>
        <w:ind w:left="-5" w:right="102"/>
      </w:pPr>
      <w:r>
        <w:rPr>
          <w:b/>
        </w:rPr>
        <w:t xml:space="preserve">Secretary placebo. </w:t>
      </w:r>
      <w:r>
        <w:t xml:space="preserve">First, to test whether the bans may have coincided with differential trends in attitudes towards employing married women or economic conditions in treated and control states, we conduct a placebo test by examining whether the prohibitions in teaching affected workers in a different occupation: </w:t>
      </w:r>
      <w:r>
        <w:rPr>
          <w:i/>
        </w:rPr>
        <w:t>secretarial/clerical work</w:t>
      </w:r>
      <w:r>
        <w:t>. Much like teaching,</w:t>
      </w:r>
    </w:p>
    <w:p w14:paraId="56C091C4" w14:textId="77777777" w:rsidR="001C671E" w:rsidRDefault="00000000">
      <w:pPr>
        <w:spacing w:after="85" w:line="259" w:lineRule="auto"/>
        <w:ind w:left="0" w:right="0" w:firstLine="0"/>
        <w:jc w:val="left"/>
      </w:pPr>
      <w:r>
        <w:rPr>
          <w:rFonts w:ascii="Calibri" w:eastAsia="Calibri" w:hAnsi="Calibri" w:cs="Calibri"/>
          <w:noProof/>
          <w:sz w:val="22"/>
        </w:rPr>
        <mc:AlternateContent>
          <mc:Choice Requires="wpg">
            <w:drawing>
              <wp:inline distT="0" distB="0" distL="0" distR="0" wp14:anchorId="750BB390" wp14:editId="5CF4A361">
                <wp:extent cx="2377402" cy="5055"/>
                <wp:effectExtent l="0" t="0" r="0" b="0"/>
                <wp:docPr id="39629" name="Group 39629"/>
                <wp:cNvGraphicFramePr/>
                <a:graphic xmlns:a="http://schemas.openxmlformats.org/drawingml/2006/main">
                  <a:graphicData uri="http://schemas.microsoft.com/office/word/2010/wordprocessingGroup">
                    <wpg:wgp>
                      <wpg:cNvGrpSpPr/>
                      <wpg:grpSpPr>
                        <a:xfrm>
                          <a:off x="0" y="0"/>
                          <a:ext cx="2377402" cy="5055"/>
                          <a:chOff x="0" y="0"/>
                          <a:chExt cx="2377402" cy="5055"/>
                        </a:xfrm>
                      </wpg:grpSpPr>
                      <wps:wsp>
                        <wps:cNvPr id="1892" name="Shape 1892"/>
                        <wps:cNvSpPr/>
                        <wps:spPr>
                          <a:xfrm>
                            <a:off x="0" y="0"/>
                            <a:ext cx="2377402" cy="0"/>
                          </a:xfrm>
                          <a:custGeom>
                            <a:avLst/>
                            <a:gdLst/>
                            <a:ahLst/>
                            <a:cxnLst/>
                            <a:rect l="0" t="0" r="0" b="0"/>
                            <a:pathLst>
                              <a:path w="2377402">
                                <a:moveTo>
                                  <a:pt x="0" y="0"/>
                                </a:moveTo>
                                <a:lnTo>
                                  <a:pt x="23774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29" style="width:187.197pt;height:0.398pt;mso-position-horizontal-relative:char;mso-position-vertical-relative:line" coordsize="23774,50">
                <v:shape id="Shape 1892" style="position:absolute;width:23774;height:0;left:0;top:0;" coordsize="2377402,0" path="m0,0l2377402,0">
                  <v:stroke weight="0.398pt" endcap="flat" joinstyle="miter" miterlimit="10" on="true" color="#000000"/>
                  <v:fill on="false" color="#000000" opacity="0"/>
                </v:shape>
              </v:group>
            </w:pict>
          </mc:Fallback>
        </mc:AlternateContent>
      </w:r>
    </w:p>
    <w:p w14:paraId="34A4EA8A" w14:textId="77777777" w:rsidR="001C671E" w:rsidRDefault="00000000">
      <w:pPr>
        <w:spacing w:after="12" w:line="254" w:lineRule="auto"/>
        <w:ind w:left="-5" w:right="117"/>
      </w:pPr>
      <w:r>
        <w:rPr>
          <w:sz w:val="20"/>
        </w:rPr>
        <w:t xml:space="preserve">affecting the number of young women who </w:t>
      </w:r>
      <w:r>
        <w:rPr>
          <w:i/>
          <w:sz w:val="20"/>
        </w:rPr>
        <w:t xml:space="preserve">became </w:t>
      </w:r>
      <w:r>
        <w:rPr>
          <w:sz w:val="20"/>
        </w:rPr>
        <w:t>teachers, but find no evidence that this was the case. Online Appendix Table B7 shows that the prohibitions had no effect on the likelihood of unmarried women entering teaching and stayed unmarried.</w:t>
      </w:r>
    </w:p>
    <w:p w14:paraId="35C67DE9" w14:textId="77777777" w:rsidR="001C671E" w:rsidRDefault="00000000">
      <w:pPr>
        <w:spacing w:after="352"/>
        <w:ind w:left="-5" w:right="102"/>
      </w:pPr>
      <w:r>
        <w:t xml:space="preserve">secretarial/clerical work was an occupation that was dominated by women during the early 1900s and in which employers regularly discriminated against women based on their marital status (Goldin, </w:t>
      </w:r>
      <w:r>
        <w:rPr>
          <w:color w:val="0000FF"/>
        </w:rPr>
        <w:t>“Marriage Bars: Discrimination Against Married Women Workers from the 1920s to the 1950s.</w:t>
      </w:r>
      <w: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Pr>
          <w:color w:val="0000FF"/>
        </w:rPr>
        <w:t>1</w:t>
      </w:r>
      <w:r>
        <w:t xml:space="preserve">) using outcomes related to the employment of secretaries rather than our teaching-related outcomes of interest. The results are shown in Online Appendix Figure A3, which is analogous to Figure </w:t>
      </w:r>
      <w:r>
        <w:rPr>
          <w:color w:val="0000FF"/>
        </w:rPr>
        <w:t xml:space="preserve">2 </w:t>
      </w:r>
      <w: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1AD91BF4" w14:textId="77777777" w:rsidR="001C671E" w:rsidRDefault="00000000">
      <w:pPr>
        <w:ind w:left="-5" w:right="102"/>
      </w:pPr>
      <w:r>
        <w:rPr>
          <w:b/>
        </w:rPr>
        <w:t xml:space="preserve">Alternate Control Groups. </w:t>
      </w:r>
      <w: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16121DFC" w14:textId="77777777" w:rsidR="001C671E" w:rsidRDefault="00000000">
      <w:pPr>
        <w:spacing w:after="354"/>
        <w:ind w:left="-15" w:right="102" w:firstLine="468"/>
      </w:pPr>
      <w: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501504D1" w14:textId="77777777" w:rsidR="001C671E" w:rsidRDefault="00000000">
      <w:pPr>
        <w:spacing w:after="340"/>
        <w:ind w:left="-5" w:right="102"/>
      </w:pPr>
      <w:r>
        <w:rPr>
          <w:b/>
        </w:rPr>
        <w:t xml:space="preserve">State-Level Analysis. </w:t>
      </w:r>
      <w: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 Appendix D. The magnitudes and significance levels of our estimates remain similar. We also find that our main results are robust to clustering at the state level (using the wild cluster bootstrap as in Cameron, Gelbach, and Miller</w:t>
      </w:r>
      <w:r>
        <w:rPr>
          <w:color w:val="0000FF"/>
          <w:vertAlign w:val="superscript"/>
        </w:rPr>
        <w:footnoteReference w:id="37"/>
      </w:r>
      <w:r>
        <w:rPr>
          <w:color w:val="0000FF"/>
          <w:vertAlign w:val="superscript"/>
        </w:rPr>
        <w:t xml:space="preserve"> </w:t>
      </w:r>
      <w:r>
        <w:t>and Canay, Santos, and Shaikh</w:t>
      </w:r>
      <w:r>
        <w:rPr>
          <w:color w:val="0000FF"/>
          <w:vertAlign w:val="superscript"/>
        </w:rPr>
        <w:footnoteReference w:id="38"/>
      </w:r>
      <w:r>
        <w:t>), as shown in Online Appendix Figure A4.</w:t>
      </w:r>
    </w:p>
    <w:p w14:paraId="5166AF93" w14:textId="77777777" w:rsidR="001C671E" w:rsidRDefault="00000000">
      <w:pPr>
        <w:spacing w:after="354"/>
        <w:ind w:left="-5" w:right="102"/>
      </w:pPr>
      <w:r>
        <w:rPr>
          <w:b/>
        </w:rPr>
        <w:t xml:space="preserve">Additional Controls. </w:t>
      </w:r>
      <w: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6B6A7896" w14:textId="77777777" w:rsidR="001C671E" w:rsidRDefault="00000000">
      <w:pPr>
        <w:ind w:left="-5" w:right="102"/>
      </w:pPr>
      <w:r>
        <w:rPr>
          <w:b/>
        </w:rPr>
        <w:t xml:space="preserve">The Great Depression and New Deal. </w:t>
      </w:r>
      <w:r>
        <w:t>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6EA0F8B1" w14:textId="77777777" w:rsidR="001C671E" w:rsidRDefault="00000000">
      <w:pPr>
        <w:pStyle w:val="Heading1"/>
        <w:spacing w:after="147"/>
        <w:jc w:val="center"/>
      </w:pPr>
      <w:r>
        <w:t>Conclusion</w:t>
      </w:r>
    </w:p>
    <w:p w14:paraId="30719537" w14:textId="77777777" w:rsidR="001C671E" w:rsidRDefault="00000000">
      <w:pPr>
        <w:ind w:left="-15" w:right="102" w:firstLine="468"/>
      </w:pPr>
      <w: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10761CA6" w14:textId="77777777" w:rsidR="001C671E" w:rsidRDefault="00000000">
      <w:pPr>
        <w:ind w:left="-15" w:right="102" w:firstLine="468"/>
      </w:pPr>
      <w:r>
        <w:t>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1E35D297" w14:textId="77777777" w:rsidR="001C671E" w:rsidRDefault="00000000">
      <w:pPr>
        <w:ind w:left="-15" w:right="102" w:firstLine="468"/>
      </w:pPr>
      <w: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11DCACDF" w14:textId="77777777" w:rsidR="001C671E" w:rsidRDefault="00000000">
      <w:pPr>
        <w:ind w:left="-15" w:right="102" w:firstLine="468"/>
      </w:pPr>
      <w:r>
        <w:t>More generally, our findings suggest that the broader decline of marriage bar use across occupations may have been an important force behind the rise in women’s LFP by 1950.</w:t>
      </w:r>
    </w:p>
    <w:p w14:paraId="59E09B76" w14:textId="77777777" w:rsidR="001C671E" w:rsidRDefault="00000000">
      <w:pPr>
        <w:spacing w:after="158" w:line="259" w:lineRule="auto"/>
        <w:ind w:left="-5" w:right="102"/>
      </w:pPr>
      <w:r>
        <w:t>Marriage bars were already in steep decline by the 1950s and had largely disappeared by the</w:t>
      </w:r>
    </w:p>
    <w:p w14:paraId="18B8DD67" w14:textId="77777777" w:rsidR="001C671E" w:rsidRDefault="00000000">
      <w:pPr>
        <w:spacing w:after="213"/>
        <w:ind w:left="-5" w:right="102"/>
      </w:pPr>
      <w:r>
        <w:t xml:space="preserve">1960s (Goldin, </w:t>
      </w:r>
      <w:r>
        <w:rPr>
          <w:color w:val="0000FF"/>
        </w:rPr>
        <w:t>“Marriage Bars: Discrimination Against Married Women Workers from the 1920s to the 1950s.</w:t>
      </w:r>
      <w:r>
        <w:t>”). At the same time, women’s LFP rose sharply between 1940 and 1960, and existing work highlights the role of WWII war production in driving the increase. More recent research, however, shows that while war production initially drove higher women’s LFP, the war itself had little impact on women’s LFP in 1950 (for example, Rose</w:t>
      </w:r>
      <w:r>
        <w:rPr>
          <w:color w:val="0000FF"/>
          <w:vertAlign w:val="superscript"/>
        </w:rPr>
        <w:footnoteReference w:id="39"/>
      </w:r>
      <w: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0712829A" w14:textId="77777777" w:rsidR="001C671E" w:rsidRDefault="00000000">
      <w:pPr>
        <w:pStyle w:val="Heading1"/>
        <w:spacing w:after="231"/>
        <w:ind w:left="-5" w:right="0"/>
      </w:pPr>
      <w:r>
        <w:t>References</w:t>
      </w:r>
    </w:p>
    <w:p w14:paraId="6C28FAAD" w14:textId="77777777" w:rsidR="001C671E" w:rsidRDefault="00000000">
      <w:pPr>
        <w:spacing w:after="176"/>
        <w:ind w:left="453" w:right="102" w:hanging="468"/>
      </w:pPr>
      <w:r>
        <w:t xml:space="preserve">Abramitzky, Ran, Leah Boustan, and Katherine Eriksson. “Europe’s tired, poor, huddled masses: Self-selection and economic outcomes in the age of mass migration.” </w:t>
      </w:r>
      <w:r>
        <w:rPr>
          <w:i/>
        </w:rPr>
        <w:t xml:space="preserve">American Economic Review </w:t>
      </w:r>
      <w:r>
        <w:t>102, no. 5 (2012): 1832–1856.</w:t>
      </w:r>
    </w:p>
    <w:p w14:paraId="7B25A98B" w14:textId="77777777" w:rsidR="001C671E" w:rsidRDefault="00000000">
      <w:pPr>
        <w:spacing w:after="166"/>
        <w:ind w:left="453" w:right="102" w:hanging="468"/>
      </w:pPr>
      <w:r>
        <w:t xml:space="preserve">Abramitzky, Ran, Leah Boustan, Katherine Eriksson, James Feigenbaum, and Santiago P´erez. “Automated Linking of Historical Data.” </w:t>
      </w:r>
      <w:r>
        <w:rPr>
          <w:i/>
        </w:rPr>
        <w:t xml:space="preserve">Journal of Economic Literature </w:t>
      </w:r>
      <w:r>
        <w:t>59, no. 3 (2021): 865–918.</w:t>
      </w:r>
    </w:p>
    <w:p w14:paraId="6EE62C82" w14:textId="77777777" w:rsidR="001C671E" w:rsidRDefault="00000000">
      <w:pPr>
        <w:spacing w:after="158" w:line="259" w:lineRule="auto"/>
        <w:ind w:left="-5" w:right="102"/>
      </w:pPr>
      <w:r>
        <w:t>Acemoglu, Daron, and Joshua D Angrist. “Consequences of Employment Protection? The</w:t>
      </w:r>
    </w:p>
    <w:p w14:paraId="0F46708A" w14:textId="77777777" w:rsidR="001C671E" w:rsidRDefault="00000000">
      <w:pPr>
        <w:spacing w:after="168"/>
        <w:ind w:left="478" w:right="102"/>
      </w:pPr>
      <w:r>
        <w:t xml:space="preserve">Case of the Americans with Disabilities Act.” </w:t>
      </w:r>
      <w:r>
        <w:rPr>
          <w:i/>
        </w:rPr>
        <w:t xml:space="preserve">Journal of Political Economy </w:t>
      </w:r>
      <w:r>
        <w:t>109, no. 5 (2001): 915–957.</w:t>
      </w:r>
    </w:p>
    <w:p w14:paraId="1C58149C" w14:textId="77777777" w:rsidR="001C671E" w:rsidRDefault="00000000">
      <w:pPr>
        <w:spacing w:after="176"/>
        <w:ind w:left="453" w:right="102" w:hanging="468"/>
      </w:pPr>
      <w:r>
        <w:t xml:space="preserve">Acemoglu, Daron, David H. Autor, and David Lyle. “Women, War, and Wages: The Effect of Female Labor Supply on the Wage Structure at Midcentury.” </w:t>
      </w:r>
      <w:r>
        <w:rPr>
          <w:i/>
        </w:rPr>
        <w:t xml:space="preserve">Journal of Political Economy </w:t>
      </w:r>
      <w:r>
        <w:t>112, no. 3 (2004).</w:t>
      </w:r>
    </w:p>
    <w:p w14:paraId="7A1B5A2B" w14:textId="77777777" w:rsidR="001C671E" w:rsidRDefault="00000000">
      <w:pPr>
        <w:spacing w:after="158" w:line="259" w:lineRule="auto"/>
        <w:ind w:left="-5" w:right="102"/>
      </w:pPr>
      <w:r>
        <w:t>Bailey, Martha J. “More Power to the Pill: The Impact of Contraceptive Freedom on</w:t>
      </w:r>
    </w:p>
    <w:p w14:paraId="065F17FD" w14:textId="77777777" w:rsidR="001C671E" w:rsidRDefault="00000000">
      <w:pPr>
        <w:ind w:left="478" w:right="102"/>
      </w:pPr>
      <w:r>
        <w:t xml:space="preserve">Women’s Life Cycle Labor Supply.” </w:t>
      </w:r>
      <w:r>
        <w:rPr>
          <w:i/>
        </w:rPr>
        <w:t xml:space="preserve">The Quarterly Journal of Economics </w:t>
      </w:r>
      <w:r>
        <w:t>121, no. 1 (2006): 289–320.</w:t>
      </w:r>
    </w:p>
    <w:p w14:paraId="0927FBD6" w14:textId="77777777" w:rsidR="001C671E" w:rsidRDefault="00000000">
      <w:pPr>
        <w:spacing w:after="166"/>
        <w:ind w:left="453" w:right="102" w:hanging="468"/>
      </w:pPr>
      <w:r>
        <w:t xml:space="preserve">Bailey, Martha J, Thomas Helgerman, and Bryan A Stuart. “How the 1963 Equal Pay Act and 1964 Civil Rights Act Shaped the Gender Gap in Pay.” </w:t>
      </w:r>
      <w:r>
        <w:rPr>
          <w:i/>
        </w:rPr>
        <w:t>The Quarterly Journal of Economics</w:t>
      </w:r>
      <w:r>
        <w:t>, 2024.</w:t>
      </w:r>
    </w:p>
    <w:p w14:paraId="5DF4F9B0" w14:textId="77777777" w:rsidR="001C671E" w:rsidRDefault="00000000">
      <w:pPr>
        <w:spacing w:after="158" w:line="259" w:lineRule="auto"/>
        <w:ind w:left="-5" w:right="102"/>
      </w:pPr>
      <w:r>
        <w:t>Beegle, Kathleen, and Wendy Stock. “The Labor Market Effects of Disability Discrimination</w:t>
      </w:r>
    </w:p>
    <w:p w14:paraId="1A1BB094" w14:textId="77777777" w:rsidR="001C671E" w:rsidRDefault="00000000">
      <w:pPr>
        <w:spacing w:after="319" w:line="259" w:lineRule="auto"/>
        <w:ind w:left="478" w:right="102"/>
      </w:pPr>
      <w:r>
        <w:t xml:space="preserve">Laws.” </w:t>
      </w:r>
      <w:r>
        <w:rPr>
          <w:i/>
        </w:rPr>
        <w:t xml:space="preserve">Journal of Human Resources </w:t>
      </w:r>
      <w:r>
        <w:t>38, no. 4 (2003): 806–859.</w:t>
      </w:r>
    </w:p>
    <w:p w14:paraId="3351D6DD" w14:textId="77777777" w:rsidR="001C671E" w:rsidRDefault="00000000">
      <w:pPr>
        <w:spacing w:after="177"/>
        <w:ind w:left="453" w:right="102" w:hanging="468"/>
      </w:pPr>
      <w:r>
        <w:t xml:space="preserve">Bellou, Andriana, and Emanuela Cardia. “The Great Depression and the Rise of Female Employment: A New Hypothesis.” </w:t>
      </w:r>
      <w:r>
        <w:rPr>
          <w:i/>
        </w:rPr>
        <w:t xml:space="preserve">Explorations in Economic History </w:t>
      </w:r>
      <w:r>
        <w:t>80 (2021): 101383.</w:t>
      </w:r>
    </w:p>
    <w:p w14:paraId="65AC9F7E" w14:textId="77777777" w:rsidR="001C671E" w:rsidRDefault="00000000">
      <w:pPr>
        <w:spacing w:after="158" w:line="259" w:lineRule="auto"/>
        <w:ind w:left="-5" w:right="102"/>
      </w:pPr>
      <w:r>
        <w:t>Bertrand, Marianne, Emir Kamenica, and Jessica Pan. “Gender Identity and Relative Income</w:t>
      </w:r>
    </w:p>
    <w:p w14:paraId="2A6FA25B" w14:textId="77777777" w:rsidR="001C671E" w:rsidRDefault="00000000">
      <w:pPr>
        <w:spacing w:after="313" w:line="265" w:lineRule="auto"/>
        <w:ind w:right="102"/>
        <w:jc w:val="right"/>
      </w:pPr>
      <w:r>
        <w:t xml:space="preserve">Within Households.” </w:t>
      </w:r>
      <w:r>
        <w:rPr>
          <w:i/>
        </w:rPr>
        <w:t xml:space="preserve">The Quarterly Journal of Economics </w:t>
      </w:r>
      <w:r>
        <w:t>130, no. 2 (2015): 571–614.</w:t>
      </w:r>
    </w:p>
    <w:p w14:paraId="17B44105" w14:textId="77777777" w:rsidR="001C671E" w:rsidRDefault="00000000">
      <w:pPr>
        <w:spacing w:after="166"/>
        <w:ind w:left="453" w:right="102" w:hanging="468"/>
      </w:pPr>
      <w:r>
        <w:t xml:space="preserve">Blount, Jackie. “Manly Men and Womanly Women: Deviance, Gender Role Polarization, and the Shift in Women’s School Employment, 1900–1976.” </w:t>
      </w:r>
      <w:r>
        <w:rPr>
          <w:i/>
        </w:rPr>
        <w:t xml:space="preserve">Harvard Educational Review </w:t>
      </w:r>
      <w:r>
        <w:t>66, no. 2 (1996): 318–339.</w:t>
      </w:r>
    </w:p>
    <w:p w14:paraId="792F2CFD" w14:textId="77777777" w:rsidR="001C671E" w:rsidRDefault="00000000">
      <w:pPr>
        <w:spacing w:after="166"/>
        <w:ind w:left="453" w:right="102" w:hanging="468"/>
      </w:pPr>
      <w:r>
        <w:t xml:space="preserve">Bohan, Chara H, and Wesley Null. “Gender and the Evolution of Normal School Education: A Historical Analysis of Teacher Education Institutions.” </w:t>
      </w:r>
      <w:r>
        <w:rPr>
          <w:i/>
        </w:rPr>
        <w:t xml:space="preserve">Educational Foundations </w:t>
      </w:r>
      <w:r>
        <w:t>21, nos. 3–4 (2007): 3–26.</w:t>
      </w:r>
    </w:p>
    <w:p w14:paraId="21DDCD63" w14:textId="77777777" w:rsidR="001C671E" w:rsidRDefault="00000000">
      <w:pPr>
        <w:spacing w:after="196"/>
        <w:ind w:left="453" w:right="102" w:hanging="468"/>
      </w:pPr>
      <w:r>
        <w:t xml:space="preserve">Boustan, Leah, and William Collins. “The Origin and Persistence of Black–White Differences in Women’s Labor Force Participation.” In </w:t>
      </w:r>
      <w:r>
        <w:rPr>
          <w:i/>
        </w:rPr>
        <w:t>Human Capital in History: The American Record</w:t>
      </w:r>
      <w:r>
        <w:t>, 205–240. University of Chicago Press, 2014.</w:t>
      </w:r>
    </w:p>
    <w:p w14:paraId="551D22F5" w14:textId="77777777" w:rsidR="001C671E" w:rsidRDefault="00000000">
      <w:pPr>
        <w:spacing w:after="169"/>
        <w:ind w:left="453" w:right="102" w:hanging="468"/>
      </w:pPr>
      <w:r>
        <w:t xml:space="preserve">Buckles, Kasey, Adrian Haws, Joseph Price, and Haley Wilbert. </w:t>
      </w:r>
      <w:r>
        <w:rPr>
          <w:i/>
        </w:rPr>
        <w:t>Breakthroughs in Historical Record Linking Using Genealogy Data: The Census Tree Project</w:t>
      </w:r>
      <w:r>
        <w:t>, NBER Working Paper No. 31671. September 2023.</w:t>
      </w:r>
    </w:p>
    <w:p w14:paraId="59D30298" w14:textId="77777777" w:rsidR="001C671E" w:rsidRDefault="00000000">
      <w:pPr>
        <w:ind w:left="453" w:right="102" w:hanging="468"/>
      </w:pPr>
      <w:r>
        <w:t xml:space="preserve">Cameron, A Colin, Jonah B Gelbach, and Douglas L Miller. “Bootstrap-Based Improvements for Inference With Clustered Errors.” </w:t>
      </w:r>
      <w:r>
        <w:rPr>
          <w:i/>
        </w:rPr>
        <w:t xml:space="preserve">The Review of Economics and Statistics </w:t>
      </w:r>
      <w:r>
        <w:t>90, no.</w:t>
      </w:r>
    </w:p>
    <w:p w14:paraId="0F176926" w14:textId="77777777" w:rsidR="001C671E" w:rsidRDefault="00000000">
      <w:pPr>
        <w:spacing w:line="259" w:lineRule="auto"/>
        <w:ind w:left="478" w:right="102"/>
      </w:pPr>
      <w:r>
        <w:t>3 (2008): 414–427.</w:t>
      </w:r>
    </w:p>
    <w:p w14:paraId="102987D0" w14:textId="77777777" w:rsidR="001C671E" w:rsidRDefault="00000000">
      <w:pPr>
        <w:spacing w:after="158" w:line="259" w:lineRule="auto"/>
        <w:ind w:left="-5" w:right="102"/>
      </w:pPr>
      <w:r>
        <w:t>Canay, Ivan A, Andres Santos, and Azeem M Shaikh. “The Wild Bootstrap With a “Small”</w:t>
      </w:r>
    </w:p>
    <w:p w14:paraId="244BE219" w14:textId="77777777" w:rsidR="001C671E" w:rsidRDefault="00000000">
      <w:pPr>
        <w:spacing w:after="168"/>
        <w:ind w:left="478" w:right="102"/>
      </w:pPr>
      <w:r>
        <w:t xml:space="preserve">Number of “Large” Clusters.” </w:t>
      </w:r>
      <w:r>
        <w:rPr>
          <w:i/>
        </w:rPr>
        <w:t xml:space="preserve">Review of Economics and Statistics </w:t>
      </w:r>
      <w:r>
        <w:t>103, no. 2 (2021): 346–363.</w:t>
      </w:r>
    </w:p>
    <w:p w14:paraId="0E2DA104" w14:textId="77777777" w:rsidR="001C671E" w:rsidRDefault="00000000">
      <w:pPr>
        <w:spacing w:after="158" w:line="259" w:lineRule="auto"/>
        <w:ind w:left="-5" w:right="102"/>
      </w:pPr>
      <w:r>
        <w:t>Carrington, William J, Kristin McCue, and Brooks Pierce. “Using Establishment Size to</w:t>
      </w:r>
    </w:p>
    <w:p w14:paraId="0786D852" w14:textId="77777777" w:rsidR="001C671E" w:rsidRDefault="00000000">
      <w:pPr>
        <w:spacing w:after="168"/>
        <w:ind w:left="478" w:right="102"/>
      </w:pPr>
      <w:r>
        <w:t xml:space="preserve">Measure the Impact of Title VII and Affirmative Action.” </w:t>
      </w:r>
      <w:r>
        <w:rPr>
          <w:i/>
        </w:rPr>
        <w:t>Journal of Human Resources</w:t>
      </w:r>
      <w:r>
        <w:t>, 2000, 503–523.</w:t>
      </w:r>
    </w:p>
    <w:p w14:paraId="5B25684D" w14:textId="77777777" w:rsidR="001C671E" w:rsidRDefault="00000000">
      <w:pPr>
        <w:spacing w:after="158" w:line="259" w:lineRule="auto"/>
        <w:ind w:left="-5" w:right="102"/>
      </w:pPr>
      <w:r>
        <w:t>Cooke, Dennis H., W. G. Knox, and R. H. Libby. “Chapter VI: Local Residents and Married</w:t>
      </w:r>
    </w:p>
    <w:p w14:paraId="451F39C0" w14:textId="77777777" w:rsidR="001C671E" w:rsidRDefault="00000000">
      <w:pPr>
        <w:spacing w:after="319" w:line="259" w:lineRule="auto"/>
        <w:ind w:left="478" w:right="102"/>
      </w:pPr>
      <w:r>
        <w:t xml:space="preserve">Women as Teachers.” </w:t>
      </w:r>
      <w:r>
        <w:rPr>
          <w:i/>
        </w:rPr>
        <w:t xml:space="preserve">Review of Educational Research </w:t>
      </w:r>
      <w:r>
        <w:t>13, no. 3 (1943): 252–261.</w:t>
      </w:r>
    </w:p>
    <w:p w14:paraId="59F7442E" w14:textId="77777777" w:rsidR="001C671E" w:rsidRDefault="00000000">
      <w:pPr>
        <w:spacing w:after="158" w:line="259" w:lineRule="auto"/>
        <w:ind w:left="-5" w:right="102"/>
      </w:pPr>
      <w:r>
        <w:t>Cooke, Dennis H., and C. W. Simms. “Local Residents and Married Women as Teachers.”</w:t>
      </w:r>
    </w:p>
    <w:p w14:paraId="7DFF72D9" w14:textId="77777777" w:rsidR="001C671E" w:rsidRDefault="00000000">
      <w:pPr>
        <w:spacing w:after="349" w:line="259" w:lineRule="auto"/>
        <w:ind w:left="478" w:right="102"/>
      </w:pPr>
      <w:r>
        <w:rPr>
          <w:i/>
        </w:rPr>
        <w:t xml:space="preserve">Review of Educational Research </w:t>
      </w:r>
      <w:r>
        <w:t>10, no. 3 (1940): 204–209.</w:t>
      </w:r>
    </w:p>
    <w:p w14:paraId="4BE5DC60" w14:textId="77777777" w:rsidR="001C671E" w:rsidRDefault="00000000">
      <w:pPr>
        <w:spacing w:after="204"/>
        <w:ind w:left="453" w:right="102" w:hanging="468"/>
      </w:pPr>
      <w:r>
        <w:t xml:space="preserve">Costa, Dora L. “From Mill Town to Board Room: The Rise of Women’s Paid Labor.” </w:t>
      </w:r>
      <w:r>
        <w:rPr>
          <w:i/>
        </w:rPr>
        <w:t xml:space="preserve">Journal of Economic Perspectives </w:t>
      </w:r>
      <w:r>
        <w:t>14, no. 4 (2000): 101–122.</w:t>
      </w:r>
    </w:p>
    <w:p w14:paraId="4C443E4B" w14:textId="77777777" w:rsidR="001C671E" w:rsidRDefault="00000000">
      <w:pPr>
        <w:spacing w:after="349" w:line="259" w:lineRule="auto"/>
        <w:ind w:left="-5" w:right="102"/>
      </w:pPr>
      <w:r>
        <w:t xml:space="preserve">. </w:t>
      </w:r>
      <w:r>
        <w:rPr>
          <w:i/>
        </w:rPr>
        <w:t xml:space="preserve">Courier Journal, </w:t>
      </w:r>
      <w:r>
        <w:t>12 March 1938. Louisville, KY.</w:t>
      </w:r>
    </w:p>
    <w:p w14:paraId="7116A0E7" w14:textId="77777777" w:rsidR="001C671E" w:rsidRDefault="00000000">
      <w:pPr>
        <w:spacing w:after="319" w:line="259" w:lineRule="auto"/>
        <w:ind w:left="-5" w:right="102"/>
      </w:pPr>
      <w:r>
        <w:t xml:space="preserve">. </w:t>
      </w:r>
      <w:r>
        <w:rPr>
          <w:i/>
        </w:rPr>
        <w:t xml:space="preserve">Daily Press, </w:t>
      </w:r>
      <w:r>
        <w:t>27 January 1932. Newport News, VA.</w:t>
      </w:r>
    </w:p>
    <w:p w14:paraId="0C27C012" w14:textId="77777777" w:rsidR="001C671E" w:rsidRDefault="00000000">
      <w:pPr>
        <w:spacing w:after="199"/>
        <w:ind w:left="453" w:right="102" w:hanging="468"/>
      </w:pPr>
      <w:r>
        <w:t>DeLeire, Thomas Charles. “The Wage and Employment Effects of the Americans with Disabilities Act.” Ph.D. diss., Stanford University, 1997.</w:t>
      </w:r>
    </w:p>
    <w:p w14:paraId="6C0039A5" w14:textId="77777777" w:rsidR="001C671E" w:rsidRDefault="00000000">
      <w:pPr>
        <w:spacing w:after="175"/>
        <w:ind w:left="453" w:right="102" w:hanging="468"/>
      </w:pPr>
      <w:r>
        <w:t xml:space="preserve">Fern´andez, Raquel. “Women, Work, and Culture.” </w:t>
      </w:r>
      <w:r>
        <w:rPr>
          <w:i/>
        </w:rPr>
        <w:t xml:space="preserve">Journal of the European Economic Association </w:t>
      </w:r>
      <w:r>
        <w:t>5, nos. 2-3 (May 2007): 305–332.</w:t>
      </w:r>
    </w:p>
    <w:p w14:paraId="5FB0573D" w14:textId="77777777" w:rsidR="001C671E" w:rsidRDefault="00000000">
      <w:pPr>
        <w:spacing w:after="158" w:line="259" w:lineRule="auto"/>
        <w:ind w:left="-5" w:right="102"/>
      </w:pPr>
      <w:r>
        <w:t>Fern´andez, Raquel, and Joyce Wong. “Unilateral Divorce, the Decreasing Gender Gap, and</w:t>
      </w:r>
    </w:p>
    <w:p w14:paraId="0B0FB95F" w14:textId="77777777" w:rsidR="001C671E" w:rsidRDefault="00000000">
      <w:pPr>
        <w:spacing w:after="168"/>
        <w:ind w:left="478" w:right="102"/>
      </w:pPr>
      <w:r>
        <w:t xml:space="preserve">Married Women’s Labor Force Participation.” </w:t>
      </w:r>
      <w:r>
        <w:rPr>
          <w:i/>
        </w:rPr>
        <w:t xml:space="preserve">American Economic Review </w:t>
      </w:r>
      <w:r>
        <w:t>104, no. 5 (2014): 342–47.</w:t>
      </w:r>
    </w:p>
    <w:p w14:paraId="75472ECD" w14:textId="77777777" w:rsidR="001C671E" w:rsidRDefault="00000000">
      <w:pPr>
        <w:ind w:left="453" w:right="102" w:hanging="468"/>
      </w:pPr>
      <w:r>
        <w:t xml:space="preserve">Finegan, T Aldrich, and Robert A Margo. “Work Relief and the Labor Force Participation of Married Women in 1940.” </w:t>
      </w:r>
      <w:r>
        <w:rPr>
          <w:i/>
        </w:rPr>
        <w:t xml:space="preserve">The Journal of Economic History </w:t>
      </w:r>
      <w:r>
        <w:t>54, no. 1 (1994): 64–84.</w:t>
      </w:r>
    </w:p>
    <w:p w14:paraId="46DB5EA4" w14:textId="77777777" w:rsidR="001C671E" w:rsidRDefault="00000000">
      <w:pPr>
        <w:spacing w:after="158" w:line="259" w:lineRule="auto"/>
        <w:ind w:left="-5" w:right="102"/>
      </w:pPr>
      <w:r>
        <w:t>Fishback, Price V, Michael R Haines, and Shawn Kantor. “Births, Deaths, and New Deal</w:t>
      </w:r>
    </w:p>
    <w:p w14:paraId="68CA9045" w14:textId="77777777" w:rsidR="001C671E" w:rsidRDefault="00000000">
      <w:pPr>
        <w:spacing w:after="197"/>
        <w:ind w:left="478" w:right="102"/>
      </w:pPr>
      <w:r>
        <w:t xml:space="preserve">Relief during the Great Depression.” </w:t>
      </w:r>
      <w:r>
        <w:rPr>
          <w:i/>
        </w:rPr>
        <w:t xml:space="preserve">The Review of Economics and Statistics </w:t>
      </w:r>
      <w:r>
        <w:t>89, no. 1 (2007): 1–14.</w:t>
      </w:r>
    </w:p>
    <w:p w14:paraId="3E0D86FA" w14:textId="77777777" w:rsidR="001C671E" w:rsidRDefault="00000000">
      <w:pPr>
        <w:spacing w:after="198"/>
        <w:ind w:left="453" w:right="102" w:hanging="468"/>
      </w:pPr>
      <w:r>
        <w:t xml:space="preserve">Gallup Organization. </w:t>
      </w:r>
      <w:r>
        <w:rPr>
          <w:i/>
        </w:rPr>
        <w:t>Gallup Poll 1938-0131: Recreation/Marital Status of Teachers/James Roosevelt/Railroads/Elections, 1938 [Dataset]</w:t>
      </w:r>
      <w:r>
        <w:t>. Roper #31087115, Version 3. Gallup Organization [producer]. Cornell University, Ithaca, NY: Roper Center for Public Opinion Research [distributor]. Access Date: Feb-20-2024, 1938.</w:t>
      </w:r>
    </w:p>
    <w:p w14:paraId="27FFEB7B" w14:textId="77777777" w:rsidR="001C671E" w:rsidRDefault="00000000">
      <w:pPr>
        <w:spacing w:after="168"/>
        <w:ind w:left="453" w:right="102" w:hanging="468"/>
      </w:pPr>
      <w:r>
        <w:t xml:space="preserve">Goldin, Claudia. </w:t>
      </w:r>
      <w:r>
        <w:rPr>
          <w:i/>
        </w:rPr>
        <w:t>Career and Family: Women’s Century-Long Journey toward Equity</w:t>
      </w:r>
      <w:r>
        <w:t>. Princeton NJ: Princeton University Press, 2021.</w:t>
      </w:r>
    </w:p>
    <w:p w14:paraId="1FF98C2D" w14:textId="77777777" w:rsidR="001C671E" w:rsidRDefault="00000000">
      <w:pPr>
        <w:spacing w:after="196"/>
        <w:ind w:left="468" w:right="102" w:firstLine="23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2CBB0C" wp14:editId="3F108A0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01" style="width:35.118pt;height:0.598pt;position:absolute;z-index:16;mso-position-horizontal-relative:text;mso-position-horizontal:absolute;margin-left:9.15527e-05pt;mso-position-vertical-relative:text;margin-top:5.9389pt;" coordsize="4459,75">
                <v:shape id="Shape 2228" style="position:absolute;width:4459;height:0;left:0;top:0;" coordsize="445999,0" path="m0,0l445999,0">
                  <v:stroke weight="0.598pt" endcap="flat" joinstyle="miter" miterlimit="10" on="true" color="#000000"/>
                  <v:fill on="false" color="#000000" opacity="0"/>
                </v:shape>
              </v:group>
            </w:pict>
          </mc:Fallback>
        </mc:AlternateContent>
      </w:r>
      <w:r>
        <w:t xml:space="preserve">. “Marriage Bars: Discrimination Against Married Women Workers from the 1920s to the 1950s.” In </w:t>
      </w:r>
      <w:r>
        <w:rPr>
          <w:i/>
        </w:rPr>
        <w:t>Favorites of Fortune: Technology, Growth, and Economic Development since the Industrial Revolution</w:t>
      </w:r>
      <w:r>
        <w:t>, 511–536. Harvard University Press, 1991.</w:t>
      </w:r>
    </w:p>
    <w:p w14:paraId="4383608E" w14:textId="77777777" w:rsidR="001C671E" w:rsidRDefault="00000000">
      <w:pPr>
        <w:spacing w:after="175"/>
        <w:ind w:left="468" w:right="102" w:firstLine="23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88C4A77" wp14:editId="3911B735">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02" style="width:35.118pt;height:0.598pt;position:absolute;z-index:22;mso-position-horizontal-relative:text;mso-position-horizontal:absolute;margin-left:9.15527e-05pt;mso-position-vertical-relative:text;margin-top:5.9389pt;" coordsize="4459,75">
                <v:shape id="Shape 2234" style="position:absolute;width:4459;height:0;left:0;top:0;" coordsize="445999,0" path="m0,0l445999,0">
                  <v:stroke weight="0.598pt" endcap="flat" joinstyle="miter" miterlimit="10" on="true" color="#000000"/>
                  <v:fill on="false" color="#000000" opacity="0"/>
                </v:shape>
              </v:group>
            </w:pict>
          </mc:Fallback>
        </mc:AlternateContent>
      </w:r>
      <w:r>
        <w:t xml:space="preserve">. “The Role of World War II in the Rise of Women’s Employment.” </w:t>
      </w:r>
      <w:r>
        <w:rPr>
          <w:i/>
        </w:rPr>
        <w:t xml:space="preserve">The American Economic Review </w:t>
      </w:r>
      <w:r>
        <w:t>81, no. 4 (1991): 741–756.</w:t>
      </w:r>
    </w:p>
    <w:p w14:paraId="221C08FF" w14:textId="77777777" w:rsidR="001C671E" w:rsidRDefault="00000000">
      <w:pPr>
        <w:spacing w:after="158" w:line="259" w:lineRule="auto"/>
        <w:ind w:left="-5" w:right="102"/>
      </w:pPr>
      <w:r>
        <w:t>Goldin, Claudia, and Lawrence Katz. “The Power of the Pill: Oral Contraceptives and</w:t>
      </w:r>
    </w:p>
    <w:p w14:paraId="2891D736" w14:textId="77777777" w:rsidR="001C671E" w:rsidRDefault="00000000">
      <w:pPr>
        <w:spacing w:after="197"/>
        <w:ind w:left="478" w:right="102"/>
      </w:pPr>
      <w:r>
        <w:t xml:space="preserve">Women’s Career and Marriage Decisions.” </w:t>
      </w:r>
      <w:r>
        <w:rPr>
          <w:i/>
        </w:rPr>
        <w:t xml:space="preserve">Journal of Political Economy </w:t>
      </w:r>
      <w:r>
        <w:t>110, no. 4 (2002): 705–946.</w:t>
      </w:r>
    </w:p>
    <w:p w14:paraId="7DF9EB69" w14:textId="77777777" w:rsidR="001C671E" w:rsidRDefault="00000000">
      <w:pPr>
        <w:spacing w:after="169" w:line="259" w:lineRule="auto"/>
        <w:ind w:left="-5" w:right="102"/>
      </w:pPr>
      <w:r>
        <w:t xml:space="preserve">Greenwood, Jeremy, Ananth Seshadri, and Mehmet Yorukoglu. “Engines of Liberation.” </w:t>
      </w:r>
      <w:r>
        <w:rPr>
          <w:i/>
        </w:rPr>
        <w:t>The</w:t>
      </w:r>
    </w:p>
    <w:p w14:paraId="77C90F35" w14:textId="77777777" w:rsidR="001C671E" w:rsidRDefault="00000000">
      <w:pPr>
        <w:spacing w:after="349" w:line="259" w:lineRule="auto"/>
        <w:ind w:left="478" w:right="102"/>
      </w:pPr>
      <w:r>
        <w:rPr>
          <w:i/>
        </w:rPr>
        <w:t xml:space="preserve">Review of Economic Studies </w:t>
      </w:r>
      <w:r>
        <w:t>72, no. 1 (2005): 109–133.</w:t>
      </w:r>
    </w:p>
    <w:p w14:paraId="77594C07" w14:textId="77777777" w:rsidR="001C671E" w:rsidRDefault="00000000">
      <w:pPr>
        <w:spacing w:after="171" w:line="373" w:lineRule="auto"/>
        <w:ind w:left="453" w:right="102" w:hanging="468"/>
      </w:pPr>
      <w:r>
        <w:t xml:space="preserve">Harper, Charles Athiel. </w:t>
      </w:r>
      <w:r>
        <w:rPr>
          <w:i/>
        </w:rPr>
        <w:t>A Century of Public Teacher Education: The Story of the State Teachers Colleges as They Evolved From the Normal Schools</w:t>
      </w:r>
      <w:r>
        <w:t>. Washington DC: Greenwood Press, 1939.</w:t>
      </w:r>
    </w:p>
    <w:p w14:paraId="37C69869" w14:textId="77777777" w:rsidR="001C671E" w:rsidRDefault="00000000">
      <w:pPr>
        <w:spacing w:after="158" w:line="259" w:lineRule="auto"/>
        <w:ind w:left="-5" w:right="102"/>
      </w:pPr>
      <w:r>
        <w:t>Helgertz, Jonas, Steven Ruggles, John R Warren, Catherine A Fitch, J David Hacker, Matt A</w:t>
      </w:r>
    </w:p>
    <w:p w14:paraId="58D1D553" w14:textId="77777777" w:rsidR="001C671E" w:rsidRDefault="00000000">
      <w:pPr>
        <w:spacing w:after="140" w:line="259" w:lineRule="auto"/>
        <w:ind w:left="478" w:right="102"/>
      </w:pPr>
      <w:r>
        <w:t xml:space="preserve">Nelson, Joseph P Price, Evan Roberts, and Matthew Sobek. </w:t>
      </w:r>
      <w:r>
        <w:rPr>
          <w:i/>
        </w:rPr>
        <w:t>IPUMS Multigenerational</w:t>
      </w:r>
    </w:p>
    <w:p w14:paraId="04F1C18C" w14:textId="77777777" w:rsidR="001C671E" w:rsidRDefault="00000000">
      <w:pPr>
        <w:spacing w:after="171" w:line="259" w:lineRule="auto"/>
        <w:ind w:left="478" w:right="102"/>
      </w:pPr>
      <w:r>
        <w:rPr>
          <w:i/>
        </w:rPr>
        <w:t>Longitudinal Panel: Version 1.1 [dataset]</w:t>
      </w:r>
      <w:r>
        <w:t>. Minneapolis, MN: IPUMS, 2023.</w:t>
      </w:r>
    </w:p>
    <w:p w14:paraId="499ADD05" w14:textId="77777777" w:rsidR="001C671E" w:rsidRDefault="00000000">
      <w:pPr>
        <w:spacing w:after="158" w:line="259" w:lineRule="auto"/>
        <w:ind w:left="-5" w:right="102"/>
      </w:pPr>
      <w:r>
        <w:t>Hill, Matthew J. “Love in the Time of the Depression: The Effect of Economic Conditions on</w:t>
      </w:r>
    </w:p>
    <w:p w14:paraId="551DD564" w14:textId="77777777" w:rsidR="001C671E" w:rsidRDefault="00000000">
      <w:pPr>
        <w:spacing w:after="197"/>
        <w:ind w:left="478" w:right="102"/>
      </w:pPr>
      <w:r>
        <w:t xml:space="preserve">Marriage in the Great Depression.” </w:t>
      </w:r>
      <w:r>
        <w:rPr>
          <w:i/>
        </w:rPr>
        <w:t xml:space="preserve">The Journal of Economic History </w:t>
      </w:r>
      <w:r>
        <w:t>75, no. 1 (2015): 163–189.</w:t>
      </w:r>
    </w:p>
    <w:p w14:paraId="74904F97" w14:textId="77777777" w:rsidR="001C671E" w:rsidRDefault="00000000">
      <w:pPr>
        <w:spacing w:after="168"/>
        <w:ind w:left="453" w:right="102" w:hanging="468"/>
      </w:pPr>
      <w:r>
        <w:t xml:space="preserve">Kentucky General Assembly. </w:t>
      </w:r>
      <w:r>
        <w:rPr>
          <w:i/>
        </w:rPr>
        <w:t>Acts of the General Assembly of the Commonwealth of Kentucky</w:t>
      </w:r>
      <w:r>
        <w:t>, 1st and 2nd special sessions, 1938.</w:t>
      </w:r>
    </w:p>
    <w:p w14:paraId="5F4A5422" w14:textId="77777777" w:rsidR="001C671E" w:rsidRDefault="00000000">
      <w:pPr>
        <w:spacing w:after="176"/>
        <w:ind w:left="453" w:right="0" w:hanging="468"/>
      </w:pPr>
      <w:r>
        <w:t xml:space="preserve">Kline, Patrick, and Enrico Moretti. “Local Economic Development, Agglomeration Economies, and the Big Push: 100 Years of Evidence From the Tennessee Valley Authority.” </w:t>
      </w:r>
      <w:r>
        <w:rPr>
          <w:i/>
        </w:rPr>
        <w:t xml:space="preserve">The Quarterly Journal of Economics </w:t>
      </w:r>
      <w:r>
        <w:t>129, no. 1 (2014): 275–331.</w:t>
      </w:r>
    </w:p>
    <w:p w14:paraId="418A74FE" w14:textId="77777777" w:rsidR="001C671E" w:rsidRDefault="00000000">
      <w:pPr>
        <w:spacing w:after="158" w:line="259" w:lineRule="auto"/>
        <w:ind w:left="-5" w:right="102"/>
      </w:pPr>
      <w:r>
        <w:t>Lahey, Joanna. “State Age Protection Laws and the Age Discrimination in Employment</w:t>
      </w:r>
    </w:p>
    <w:p w14:paraId="77B7098A" w14:textId="77777777" w:rsidR="001C671E" w:rsidRDefault="00000000">
      <w:pPr>
        <w:spacing w:after="319" w:line="259" w:lineRule="auto"/>
        <w:ind w:left="478" w:right="102"/>
      </w:pPr>
      <w:r>
        <w:t xml:space="preserve">Act.” </w:t>
      </w:r>
      <w:r>
        <w:rPr>
          <w:i/>
        </w:rPr>
        <w:t xml:space="preserve">The Journal of Law and Economics </w:t>
      </w:r>
      <w:r>
        <w:t>51, no. 3 (2008): 433–460.</w:t>
      </w:r>
    </w:p>
    <w:p w14:paraId="43F5E819" w14:textId="77777777" w:rsidR="001C671E" w:rsidRDefault="00000000">
      <w:pPr>
        <w:spacing w:after="205"/>
        <w:ind w:left="453" w:right="102" w:hanging="468"/>
      </w:pPr>
      <w:r>
        <w:t xml:space="preserve">Mosca, Irene, Vincent O’Sullivan, and Robert E Wright. “The Educational Attainment of the Children of Stay-at-Home Mothers: Evidence From the Irish Marriage Bar.” </w:t>
      </w:r>
      <w:r>
        <w:rPr>
          <w:i/>
        </w:rPr>
        <w:t xml:space="preserve">Oxford Economic Papers </w:t>
      </w:r>
      <w:r>
        <w:t>73, no. 2 (2021): 534–560.</w:t>
      </w:r>
    </w:p>
    <w:p w14:paraId="4BD5CF63" w14:textId="77777777" w:rsidR="001C671E" w:rsidRDefault="00000000">
      <w:pPr>
        <w:spacing w:after="169" w:line="259" w:lineRule="auto"/>
        <w:ind w:left="-5" w:right="102"/>
      </w:pPr>
      <w:r>
        <w:t xml:space="preserve">Mosca, Irene, and Robert E Wright. </w:t>
      </w:r>
      <w:r>
        <w:rPr>
          <w:i/>
        </w:rPr>
        <w:t>Economics of Marriage Bars</w:t>
      </w:r>
      <w:r>
        <w:t>, Global Labor Organization</w:t>
      </w:r>
    </w:p>
    <w:p w14:paraId="6481EDAB" w14:textId="77777777" w:rsidR="001C671E" w:rsidRDefault="00000000">
      <w:pPr>
        <w:spacing w:after="349" w:line="259" w:lineRule="auto"/>
        <w:ind w:left="478" w:right="102"/>
      </w:pPr>
      <w:r>
        <w:t>(GLO) Discussion Paper No. 933. 2021.</w:t>
      </w:r>
    </w:p>
    <w:p w14:paraId="678797C1" w14:textId="77777777" w:rsidR="001C671E" w:rsidRDefault="00000000">
      <w:pPr>
        <w:spacing w:after="175"/>
        <w:ind w:left="468" w:right="102" w:firstLine="23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7AE4F62" wp14:editId="7528485A">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719" style="width:35.118pt;height:0.598pt;position:absolute;z-index:28;mso-position-horizontal-relative:text;mso-position-horizontal:absolute;margin-left:9.15527e-05pt;mso-position-vertical-relative:text;margin-top:5.93893pt;" coordsize="4459,75">
                <v:shape id="Shape 2294" style="position:absolute;width:4459;height:0;left:0;top:0;" coordsize="445999,0" path="m0,0l445999,0">
                  <v:stroke weight="0.598pt" endcap="flat" joinstyle="miter" miterlimit="10" on="true" color="#000000"/>
                  <v:fill on="false" color="#000000" opacity="0"/>
                </v:shape>
              </v:group>
            </w:pict>
          </mc:Fallback>
        </mc:AlternateContent>
      </w:r>
      <w:r>
        <w:t xml:space="preserve">. “The Long-Term Consequences of the Irish Marriage Bar.” </w:t>
      </w:r>
      <w:r>
        <w:rPr>
          <w:i/>
        </w:rPr>
        <w:t xml:space="preserve">The Economic and Social Review </w:t>
      </w:r>
      <w:r>
        <w:t>51, no. 1, Spring (2020): 1–34.</w:t>
      </w:r>
    </w:p>
    <w:p w14:paraId="57D5B0C3" w14:textId="77777777" w:rsidR="001C671E" w:rsidRDefault="00000000">
      <w:pPr>
        <w:spacing w:after="158" w:line="259" w:lineRule="auto"/>
        <w:ind w:left="-5" w:right="102"/>
      </w:pPr>
      <w:r>
        <w:t>Neumark, David, and Joanne Song. “Do Stronger Age Discrimination Laws Make Social</w:t>
      </w:r>
    </w:p>
    <w:p w14:paraId="3BEB0706" w14:textId="77777777" w:rsidR="001C671E" w:rsidRDefault="00000000">
      <w:pPr>
        <w:spacing w:after="349" w:line="259" w:lineRule="auto"/>
        <w:ind w:left="478" w:right="102"/>
      </w:pPr>
      <w:r>
        <w:t xml:space="preserve">Security Reforms More Effective?” </w:t>
      </w:r>
      <w:r>
        <w:rPr>
          <w:i/>
        </w:rPr>
        <w:t xml:space="preserve">Journal of Public Economics </w:t>
      </w:r>
      <w:r>
        <w:t>108 (2013): 1–16.</w:t>
      </w:r>
    </w:p>
    <w:p w14:paraId="42795762" w14:textId="77777777" w:rsidR="001C671E" w:rsidRDefault="00000000">
      <w:pPr>
        <w:spacing w:after="140" w:line="259" w:lineRule="auto"/>
        <w:ind w:left="-5" w:right="102"/>
      </w:pPr>
      <w:r>
        <w:t xml:space="preserve">Neumark, David, and Wendy Stock. </w:t>
      </w:r>
      <w:r>
        <w:rPr>
          <w:i/>
        </w:rPr>
        <w:t>The Effects of Race and Sex Discrimination Laws</w:t>
      </w:r>
      <w:r>
        <w:t>,</w:t>
      </w:r>
    </w:p>
    <w:p w14:paraId="441A1B26" w14:textId="77777777" w:rsidR="001C671E" w:rsidRDefault="00000000">
      <w:pPr>
        <w:spacing w:after="337" w:line="259" w:lineRule="auto"/>
        <w:ind w:left="478" w:right="102"/>
      </w:pPr>
      <w:r>
        <w:t>NBER Working Paper No. 8215. April 2001.</w:t>
      </w:r>
    </w:p>
    <w:p w14:paraId="389064C3" w14:textId="77777777" w:rsidR="001C671E" w:rsidRDefault="00000000">
      <w:pPr>
        <w:spacing w:after="349" w:line="259" w:lineRule="auto"/>
        <w:ind w:left="-5" w:right="102"/>
      </w:pPr>
      <w:r>
        <w:t xml:space="preserve">. </w:t>
      </w:r>
      <w:r>
        <w:rPr>
          <w:i/>
        </w:rPr>
        <w:t xml:space="preserve">New York Herald, </w:t>
      </w:r>
      <w:r>
        <w:t>18 September 1921.</w:t>
      </w:r>
    </w:p>
    <w:p w14:paraId="16764C28" w14:textId="77777777" w:rsidR="001C671E" w:rsidRDefault="00000000">
      <w:pPr>
        <w:spacing w:after="349" w:line="259" w:lineRule="auto"/>
        <w:ind w:left="-5" w:right="102"/>
      </w:pPr>
      <w:r>
        <w:t xml:space="preserve">North Carolina General Assembly. </w:t>
      </w:r>
      <w:r>
        <w:rPr>
          <w:i/>
        </w:rPr>
        <w:t>Public Laws and Legislations</w:t>
      </w:r>
      <w:r>
        <w:t>, Regular session, 1933.</w:t>
      </w:r>
    </w:p>
    <w:p w14:paraId="535460AA" w14:textId="77777777" w:rsidR="001C671E" w:rsidRDefault="00000000">
      <w:pPr>
        <w:spacing w:line="259" w:lineRule="auto"/>
        <w:ind w:left="-5" w:right="102"/>
      </w:pPr>
      <w:r>
        <w:t xml:space="preserve">. </w:t>
      </w:r>
      <w:r>
        <w:rPr>
          <w:i/>
        </w:rPr>
        <w:t xml:space="preserve">Oakland Tribune, </w:t>
      </w:r>
      <w:r>
        <w:t>26 June 1921. Oakland, CA.</w:t>
      </w:r>
    </w:p>
    <w:p w14:paraId="670D3432" w14:textId="77777777" w:rsidR="001C671E" w:rsidRDefault="00000000">
      <w:pPr>
        <w:spacing w:after="140" w:line="259" w:lineRule="auto"/>
        <w:ind w:left="-5" w:right="102"/>
      </w:pPr>
      <w:r>
        <w:t xml:space="preserve">Price, Joseph, Kasey Buckles, Adrian Haws, and Haley Wilbert. </w:t>
      </w:r>
      <w:r>
        <w:rPr>
          <w:i/>
        </w:rPr>
        <w:t>The Census Tree, 1910-</w:t>
      </w:r>
    </w:p>
    <w:p w14:paraId="00984539" w14:textId="77777777" w:rsidR="001C671E" w:rsidRDefault="00000000">
      <w:pPr>
        <w:spacing w:after="206"/>
        <w:ind w:left="478" w:right="102"/>
      </w:pPr>
      <w:r>
        <w:rPr>
          <w:i/>
        </w:rPr>
        <w:t>1920</w:t>
      </w:r>
      <w:r>
        <w:t>. Ann Arbor, MI: Inter-university Consortium for Political and Social Research [distributor], September 2023.</w:t>
      </w:r>
    </w:p>
    <w:p w14:paraId="6CA45420" w14:textId="77777777" w:rsidR="001C671E" w:rsidRDefault="00000000">
      <w:pPr>
        <w:spacing w:after="197"/>
        <w:ind w:left="468" w:right="102" w:firstLine="234"/>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6C9850" wp14:editId="521BF307">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043" style="width:35.118pt;height:0.598pt;position:absolute;z-index:6;mso-position-horizontal-relative:text;mso-position-horizontal:absolute;margin-left:9.15527e-05pt;mso-position-vertical-relative:text;margin-top:5.93896pt;" coordsize="4459,75">
                <v:shape id="Shape 2335" style="position:absolute;width:4459;height:0;left:0;top:0;" coordsize="445999,0" path="m0,0l445999,0">
                  <v:stroke weight="0.598pt" endcap="flat" joinstyle="miter" miterlimit="10" on="true" color="#000000"/>
                  <v:fill on="false" color="#000000" opacity="0"/>
                </v:shape>
              </v:group>
            </w:pict>
          </mc:Fallback>
        </mc:AlternateContent>
      </w:r>
      <w:r>
        <w:t xml:space="preserve">. </w:t>
      </w:r>
      <w:r>
        <w:rPr>
          <w:i/>
        </w:rPr>
        <w:t>The Census Tree, 1920-1930</w:t>
      </w:r>
      <w:r>
        <w:t>. Ann Arbor, MI: Inter-university Consortium for Political and Social Research [distributor], September 2023.</w:t>
      </w:r>
    </w:p>
    <w:p w14:paraId="773C4735" w14:textId="77777777" w:rsidR="001C671E" w:rsidRDefault="00000000">
      <w:pPr>
        <w:spacing w:after="168"/>
        <w:ind w:left="468" w:right="102" w:firstLine="23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4735B4" wp14:editId="67E3EBEB">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046" style="width:35.118pt;height:0.598pt;position:absolute;z-index:11;mso-position-horizontal-relative:text;mso-position-horizontal:absolute;margin-left:9.15527e-05pt;mso-position-vertical-relative:text;margin-top:5.9389pt;" coordsize="4459,75">
                <v:shape id="Shape 2340" style="position:absolute;width:4459;height:0;left:0;top:0;" coordsize="445999,0" path="m0,0l445999,0">
                  <v:stroke weight="0.598pt" endcap="flat" joinstyle="miter" miterlimit="10" on="true" color="#000000"/>
                  <v:fill on="false" color="#000000" opacity="0"/>
                </v:shape>
              </v:group>
            </w:pict>
          </mc:Fallback>
        </mc:AlternateContent>
      </w:r>
      <w:r>
        <w:t xml:space="preserve">. </w:t>
      </w:r>
      <w:r>
        <w:rPr>
          <w:i/>
        </w:rPr>
        <w:t>The Census Tree, 1930-1940</w:t>
      </w:r>
      <w:r>
        <w:t>. Ann Arbor, MI: Inter-university Consortium for Political and Social Research [distributor], September 2023.</w:t>
      </w:r>
    </w:p>
    <w:p w14:paraId="5E84C419" w14:textId="77777777" w:rsidR="001C671E" w:rsidRDefault="00000000">
      <w:pPr>
        <w:spacing w:after="128" w:line="259" w:lineRule="auto"/>
        <w:ind w:left="-5" w:right="102"/>
      </w:pPr>
      <w:r>
        <w:t>Price, Joseph, Kasey Buckles, Jacob Van Leeuwen, and Isaac Riley. “Combining Family</w:t>
      </w:r>
    </w:p>
    <w:p w14:paraId="2663D910" w14:textId="77777777" w:rsidR="001C671E" w:rsidRDefault="00000000">
      <w:pPr>
        <w:spacing w:after="177"/>
        <w:ind w:left="478" w:right="102"/>
      </w:pPr>
      <w:r>
        <w:t xml:space="preserve">History and Machine Learning to Link Historical Records: The Census Tree Data Set.” </w:t>
      </w:r>
      <w:r>
        <w:rPr>
          <w:i/>
        </w:rPr>
        <w:t xml:space="preserve">Explorations in Economic History </w:t>
      </w:r>
      <w:r>
        <w:t>80 (2021): 101391.</w:t>
      </w:r>
    </w:p>
    <w:p w14:paraId="5F8AF674" w14:textId="77777777" w:rsidR="001C671E" w:rsidRDefault="00000000">
      <w:pPr>
        <w:spacing w:after="158" w:line="259" w:lineRule="auto"/>
        <w:ind w:left="-5" w:right="102"/>
      </w:pPr>
      <w:r>
        <w:t>Rose, Evan K. “The Rise and Fall of Female Labor Force Participation During World War</w:t>
      </w:r>
    </w:p>
    <w:p w14:paraId="711DB075" w14:textId="77777777" w:rsidR="001C671E" w:rsidRDefault="00000000">
      <w:pPr>
        <w:spacing w:after="319" w:line="259" w:lineRule="auto"/>
        <w:ind w:left="478" w:right="102"/>
      </w:pPr>
      <w:r>
        <w:t xml:space="preserve">II in the United States.” </w:t>
      </w:r>
      <w:r>
        <w:rPr>
          <w:i/>
        </w:rPr>
        <w:t xml:space="preserve">The Journal of Economic History </w:t>
      </w:r>
      <w:r>
        <w:t>78, no. 3 (2018): 673–711.</w:t>
      </w:r>
    </w:p>
    <w:p w14:paraId="1B075D0F" w14:textId="77777777" w:rsidR="001C671E" w:rsidRDefault="00000000">
      <w:pPr>
        <w:spacing w:after="176"/>
        <w:ind w:left="453" w:right="102" w:hanging="468"/>
      </w:pPr>
      <w:r>
        <w:t xml:space="preserve">Roth, Jonathan, Pedro HC Sant’Anna, Alyssa Bilinski, and John Poe. “What’s Trending in Difference-in-Differences? A Synthesis of the Recent Econometrics Literature.” </w:t>
      </w:r>
      <w:r>
        <w:rPr>
          <w:i/>
        </w:rPr>
        <w:t xml:space="preserve">Journal of Econometrics </w:t>
      </w:r>
      <w:r>
        <w:t>235, no. 2 (2023): 2218–2244.</w:t>
      </w:r>
    </w:p>
    <w:p w14:paraId="0489D94D" w14:textId="77777777" w:rsidR="001C671E" w:rsidRDefault="00000000">
      <w:pPr>
        <w:spacing w:after="158" w:line="259" w:lineRule="auto"/>
        <w:ind w:left="-5" w:right="102"/>
      </w:pPr>
      <w:r>
        <w:t>Ruggles, Steven, Catherine A Fitch, Ronald Goeken, J David Hacker, Matt A Nelson, Evan</w:t>
      </w:r>
    </w:p>
    <w:p w14:paraId="37621213" w14:textId="77777777" w:rsidR="001C671E" w:rsidRDefault="00000000">
      <w:pPr>
        <w:spacing w:after="168"/>
        <w:ind w:left="478" w:right="102"/>
      </w:pPr>
      <w:r>
        <w:t xml:space="preserve">Roberts, Megan Schouweiler, and Matthew Sobek. </w:t>
      </w:r>
      <w:r>
        <w:rPr>
          <w:i/>
        </w:rPr>
        <w:t>IPUMS Ancestry Full Count Data: Version 3.0 [dataset]</w:t>
      </w:r>
      <w:r>
        <w:t>. Minneapolis, MN: IPUMS, 2021.</w:t>
      </w:r>
    </w:p>
    <w:p w14:paraId="485C3818" w14:textId="77777777" w:rsidR="001C671E" w:rsidRDefault="00000000">
      <w:pPr>
        <w:spacing w:after="166"/>
        <w:ind w:left="453" w:right="102" w:hanging="468"/>
      </w:pPr>
      <w:r>
        <w:t xml:space="preserve">Ruggles, Steven, Matt A Nelson, Matthew Sobek, Catherine A Fitch, Ronald Goeken, J David Hacker, Evan Roberts, and J Robert Warren. </w:t>
      </w:r>
      <w:r>
        <w:rPr>
          <w:i/>
        </w:rPr>
        <w:t>IPUMS Ancestry Full Count Data: Version 4.0 [dataset]</w:t>
      </w:r>
      <w:r>
        <w:t>. Minneapolis, MN: IPUMS, 2024.</w:t>
      </w:r>
    </w:p>
    <w:p w14:paraId="14E0DEB7" w14:textId="77777777" w:rsidR="001C671E" w:rsidRDefault="00000000">
      <w:pPr>
        <w:ind w:left="453" w:right="102" w:hanging="468"/>
      </w:pPr>
      <w:r>
        <w:t xml:space="preserve">Schaller, Jessamyn, Price V Fishback, and Kelli Marquardt. “Local Economic Conditions and Fertility from the Great Depression through the Great Recession.” </w:t>
      </w:r>
      <w:r>
        <w:rPr>
          <w:i/>
        </w:rPr>
        <w:t xml:space="preserve">AEA Papers and Proceedings </w:t>
      </w:r>
      <w:r>
        <w:t>110 (2020): 236–240.</w:t>
      </w:r>
    </w:p>
    <w:p w14:paraId="11CCDED6" w14:textId="77777777" w:rsidR="001C671E" w:rsidRDefault="00000000">
      <w:pPr>
        <w:spacing w:after="158" w:line="259" w:lineRule="auto"/>
        <w:ind w:left="-5" w:right="102"/>
      </w:pPr>
      <w:r>
        <w:t>Sun, Liyang, and Sarah Abraham. “Estimating Dynamic Treatment Effects in Event Studies</w:t>
      </w:r>
    </w:p>
    <w:p w14:paraId="7B8D6EBC" w14:textId="77777777" w:rsidR="001C671E" w:rsidRDefault="00000000">
      <w:pPr>
        <w:spacing w:after="134" w:line="265" w:lineRule="auto"/>
        <w:ind w:right="102"/>
        <w:jc w:val="right"/>
      </w:pPr>
      <w:r>
        <w:t xml:space="preserve">With Heterogeneous Treatment Effects.” </w:t>
      </w:r>
      <w:r>
        <w:rPr>
          <w:i/>
        </w:rPr>
        <w:t xml:space="preserve">Journal of Econometrics </w:t>
      </w:r>
      <w:r>
        <w:t>225, no. 2 (2021):</w:t>
      </w:r>
    </w:p>
    <w:p w14:paraId="7BDE2EEF" w14:textId="77777777" w:rsidR="001C671E" w:rsidRDefault="00000000">
      <w:pPr>
        <w:spacing w:after="337" w:line="259" w:lineRule="auto"/>
        <w:ind w:left="478" w:right="102"/>
      </w:pPr>
      <w:r>
        <w:t>175–199.</w:t>
      </w:r>
    </w:p>
    <w:p w14:paraId="15BB84C8" w14:textId="77777777" w:rsidR="001C671E" w:rsidRDefault="00000000">
      <w:pPr>
        <w:spacing w:after="349" w:line="259" w:lineRule="auto"/>
        <w:ind w:left="-5" w:right="102"/>
      </w:pPr>
      <w:r>
        <w:t xml:space="preserve">. </w:t>
      </w:r>
      <w:r>
        <w:rPr>
          <w:i/>
        </w:rPr>
        <w:t xml:space="preserve">Tampa Morning Tribune, </w:t>
      </w:r>
      <w:r>
        <w:t>various dates. Tampa Bay, FL.</w:t>
      </w:r>
    </w:p>
    <w:p w14:paraId="55E1AD2B" w14:textId="77777777" w:rsidR="001C671E" w:rsidRDefault="00000000">
      <w:pPr>
        <w:ind w:left="453" w:right="102" w:hanging="468"/>
      </w:pPr>
      <w:r>
        <w:t xml:space="preserve">U.S. Department of Education, National Center for Education Statistics. </w:t>
      </w:r>
      <w:r>
        <w:rPr>
          <w:i/>
        </w:rPr>
        <w:t>120 Years of American Education: A Statistical Portrait</w:t>
      </w:r>
      <w:r>
        <w:t>. January 1993.</w:t>
      </w:r>
      <w:r>
        <w:br w:type="page"/>
      </w:r>
    </w:p>
    <w:p w14:paraId="4DBD3385" w14:textId="77777777" w:rsidR="001C671E" w:rsidRDefault="00000000">
      <w:pPr>
        <w:pStyle w:val="Heading1"/>
        <w:spacing w:after="243"/>
        <w:ind w:left="-5" w:right="0"/>
      </w:pPr>
      <w:r>
        <w:t>Tables</w:t>
      </w:r>
    </w:p>
    <w:p w14:paraId="6E6E5A8B" w14:textId="77777777" w:rsidR="001C671E" w:rsidRDefault="00000000">
      <w:pPr>
        <w:spacing w:after="0" w:line="259" w:lineRule="auto"/>
        <w:ind w:left="1962" w:right="0"/>
        <w:jc w:val="left"/>
      </w:pPr>
      <w:r>
        <w:rPr>
          <w:sz w:val="17"/>
        </w:rPr>
        <w:t>Table 1: Summary of key county-level statistics by county group in 1930</w:t>
      </w:r>
    </w:p>
    <w:tbl>
      <w:tblPr>
        <w:tblStyle w:val="TableGrid"/>
        <w:tblW w:w="7475" w:type="dxa"/>
        <w:tblInd w:w="943" w:type="dxa"/>
        <w:tblCellMar>
          <w:top w:w="80" w:type="dxa"/>
          <w:left w:w="0" w:type="dxa"/>
          <w:bottom w:w="0" w:type="dxa"/>
          <w:right w:w="92" w:type="dxa"/>
        </w:tblCellMar>
        <w:tblLook w:val="04A0" w:firstRow="1" w:lastRow="0" w:firstColumn="1" w:lastColumn="0" w:noHBand="0" w:noVBand="1"/>
      </w:tblPr>
      <w:tblGrid>
        <w:gridCol w:w="2610"/>
        <w:gridCol w:w="996"/>
        <w:gridCol w:w="1032"/>
        <w:gridCol w:w="1060"/>
        <w:gridCol w:w="873"/>
        <w:gridCol w:w="904"/>
      </w:tblGrid>
      <w:tr w:rsidR="001C671E" w14:paraId="3E6E3E29" w14:textId="77777777">
        <w:trPr>
          <w:trHeight w:val="704"/>
        </w:trPr>
        <w:tc>
          <w:tcPr>
            <w:tcW w:w="3606" w:type="dxa"/>
            <w:gridSpan w:val="2"/>
            <w:tcBorders>
              <w:top w:val="single" w:sz="5" w:space="0" w:color="000000"/>
              <w:left w:val="nil"/>
              <w:bottom w:val="nil"/>
              <w:right w:val="nil"/>
            </w:tcBorders>
            <w:vAlign w:val="center"/>
          </w:tcPr>
          <w:p w14:paraId="1A946F8C" w14:textId="77777777" w:rsidR="001C671E" w:rsidRDefault="00000000">
            <w:pPr>
              <w:spacing w:after="0" w:line="259" w:lineRule="auto"/>
              <w:ind w:left="2759" w:right="0" w:firstLine="0"/>
              <w:jc w:val="left"/>
            </w:pPr>
            <w:r>
              <w:rPr>
                <w:sz w:val="17"/>
              </w:rPr>
              <w:t>All</w:t>
            </w:r>
          </w:p>
        </w:tc>
        <w:tc>
          <w:tcPr>
            <w:tcW w:w="1032" w:type="dxa"/>
            <w:tcBorders>
              <w:top w:val="single" w:sz="5" w:space="0" w:color="000000"/>
              <w:left w:val="nil"/>
              <w:bottom w:val="nil"/>
              <w:right w:val="nil"/>
            </w:tcBorders>
            <w:vAlign w:val="center"/>
          </w:tcPr>
          <w:p w14:paraId="4B881ACF" w14:textId="77777777" w:rsidR="001C671E" w:rsidRDefault="00000000">
            <w:pPr>
              <w:spacing w:after="0" w:line="259" w:lineRule="auto"/>
              <w:ind w:left="42" w:right="0" w:firstLine="0"/>
              <w:jc w:val="left"/>
            </w:pPr>
            <w:r>
              <w:rPr>
                <w:sz w:val="17"/>
              </w:rPr>
              <w:t>South</w:t>
            </w:r>
          </w:p>
        </w:tc>
        <w:tc>
          <w:tcPr>
            <w:tcW w:w="1060" w:type="dxa"/>
            <w:tcBorders>
              <w:top w:val="single" w:sz="5" w:space="0" w:color="000000"/>
              <w:left w:val="nil"/>
              <w:bottom w:val="nil"/>
              <w:right w:val="nil"/>
            </w:tcBorders>
            <w:vAlign w:val="center"/>
          </w:tcPr>
          <w:p w14:paraId="3F7965F2" w14:textId="77777777" w:rsidR="001C671E" w:rsidRDefault="00000000">
            <w:pPr>
              <w:spacing w:after="0" w:line="259" w:lineRule="auto"/>
              <w:ind w:left="0" w:right="0" w:firstLine="0"/>
              <w:jc w:val="left"/>
            </w:pPr>
            <w:r>
              <w:rPr>
                <w:sz w:val="17"/>
              </w:rPr>
              <w:t>Treated</w:t>
            </w:r>
          </w:p>
        </w:tc>
        <w:tc>
          <w:tcPr>
            <w:tcW w:w="873" w:type="dxa"/>
            <w:tcBorders>
              <w:top w:val="single" w:sz="5" w:space="0" w:color="000000"/>
              <w:left w:val="nil"/>
              <w:bottom w:val="nil"/>
              <w:right w:val="nil"/>
            </w:tcBorders>
          </w:tcPr>
          <w:p w14:paraId="2F48BA39" w14:textId="77777777" w:rsidR="001C671E" w:rsidRDefault="00000000">
            <w:pPr>
              <w:spacing w:after="93" w:line="259" w:lineRule="auto"/>
              <w:ind w:left="0" w:right="0" w:firstLine="0"/>
              <w:jc w:val="left"/>
            </w:pPr>
            <w:r>
              <w:rPr>
                <w:sz w:val="17"/>
              </w:rPr>
              <w:t>Neighb.</w:t>
            </w:r>
          </w:p>
          <w:p w14:paraId="141CF739" w14:textId="77777777" w:rsidR="001C671E" w:rsidRDefault="00000000">
            <w:pPr>
              <w:spacing w:after="0" w:line="259" w:lineRule="auto"/>
              <w:ind w:left="132" w:right="0" w:firstLine="0"/>
              <w:jc w:val="left"/>
            </w:pPr>
            <w:r>
              <w:rPr>
                <w:sz w:val="17"/>
              </w:rPr>
              <w:t>Sth.</w:t>
            </w:r>
          </w:p>
        </w:tc>
        <w:tc>
          <w:tcPr>
            <w:tcW w:w="904" w:type="dxa"/>
            <w:tcBorders>
              <w:top w:val="single" w:sz="5" w:space="0" w:color="000000"/>
              <w:left w:val="nil"/>
              <w:bottom w:val="nil"/>
              <w:right w:val="nil"/>
            </w:tcBorders>
          </w:tcPr>
          <w:p w14:paraId="3645095E" w14:textId="77777777" w:rsidR="001C671E" w:rsidRDefault="00000000">
            <w:pPr>
              <w:spacing w:after="93" w:line="259" w:lineRule="auto"/>
              <w:ind w:left="143" w:right="0" w:firstLine="0"/>
              <w:jc w:val="left"/>
            </w:pPr>
            <w:r>
              <w:rPr>
                <w:i/>
                <w:sz w:val="17"/>
              </w:rPr>
              <w:t>p-value</w:t>
            </w:r>
          </w:p>
          <w:p w14:paraId="118535D1" w14:textId="77777777" w:rsidR="001C671E" w:rsidRDefault="00000000">
            <w:pPr>
              <w:spacing w:after="0" w:line="259" w:lineRule="auto"/>
              <w:ind w:left="0" w:right="0" w:firstLine="0"/>
              <w:jc w:val="left"/>
            </w:pPr>
            <w:r>
              <w:rPr>
                <w:sz w:val="17"/>
              </w:rPr>
              <w:t>((3) &amp; (4))</w:t>
            </w:r>
          </w:p>
        </w:tc>
      </w:tr>
      <w:tr w:rsidR="001C671E" w14:paraId="7EF0DB17" w14:textId="77777777">
        <w:trPr>
          <w:trHeight w:val="329"/>
        </w:trPr>
        <w:tc>
          <w:tcPr>
            <w:tcW w:w="3606" w:type="dxa"/>
            <w:gridSpan w:val="2"/>
            <w:tcBorders>
              <w:top w:val="nil"/>
              <w:left w:val="nil"/>
              <w:bottom w:val="single" w:sz="3" w:space="0" w:color="000000"/>
              <w:right w:val="nil"/>
            </w:tcBorders>
          </w:tcPr>
          <w:p w14:paraId="26537D51" w14:textId="77777777" w:rsidR="001C671E" w:rsidRDefault="00000000">
            <w:pPr>
              <w:spacing w:after="0" w:line="259" w:lineRule="auto"/>
              <w:ind w:left="2761" w:right="0" w:firstLine="0"/>
              <w:jc w:val="left"/>
            </w:pPr>
            <w:r>
              <w:rPr>
                <w:sz w:val="17"/>
              </w:rPr>
              <w:t>(1)</w:t>
            </w:r>
          </w:p>
        </w:tc>
        <w:tc>
          <w:tcPr>
            <w:tcW w:w="1032" w:type="dxa"/>
            <w:tcBorders>
              <w:top w:val="nil"/>
              <w:left w:val="nil"/>
              <w:bottom w:val="single" w:sz="3" w:space="0" w:color="000000"/>
              <w:right w:val="nil"/>
            </w:tcBorders>
          </w:tcPr>
          <w:p w14:paraId="6BFB5EC5" w14:textId="77777777" w:rsidR="001C671E" w:rsidRDefault="00000000">
            <w:pPr>
              <w:spacing w:after="0" w:line="259" w:lineRule="auto"/>
              <w:ind w:left="151" w:right="0" w:firstLine="0"/>
              <w:jc w:val="left"/>
            </w:pPr>
            <w:r>
              <w:rPr>
                <w:sz w:val="17"/>
              </w:rPr>
              <w:t>(2)</w:t>
            </w:r>
          </w:p>
        </w:tc>
        <w:tc>
          <w:tcPr>
            <w:tcW w:w="1060" w:type="dxa"/>
            <w:tcBorders>
              <w:top w:val="nil"/>
              <w:left w:val="nil"/>
              <w:bottom w:val="single" w:sz="3" w:space="0" w:color="000000"/>
              <w:right w:val="nil"/>
            </w:tcBorders>
          </w:tcPr>
          <w:p w14:paraId="256F9D4F" w14:textId="77777777" w:rsidR="001C671E" w:rsidRDefault="00000000">
            <w:pPr>
              <w:spacing w:after="0" w:line="259" w:lineRule="auto"/>
              <w:ind w:left="177" w:right="0" w:firstLine="0"/>
              <w:jc w:val="left"/>
            </w:pPr>
            <w:r>
              <w:rPr>
                <w:sz w:val="17"/>
              </w:rPr>
              <w:t>(3)</w:t>
            </w:r>
          </w:p>
        </w:tc>
        <w:tc>
          <w:tcPr>
            <w:tcW w:w="873" w:type="dxa"/>
            <w:tcBorders>
              <w:top w:val="nil"/>
              <w:left w:val="nil"/>
              <w:bottom w:val="single" w:sz="3" w:space="0" w:color="000000"/>
              <w:right w:val="nil"/>
            </w:tcBorders>
          </w:tcPr>
          <w:p w14:paraId="45F2AF59" w14:textId="77777777" w:rsidR="001C671E" w:rsidRDefault="00000000">
            <w:pPr>
              <w:spacing w:after="0" w:line="259" w:lineRule="auto"/>
              <w:ind w:left="174" w:right="0" w:firstLine="0"/>
              <w:jc w:val="left"/>
            </w:pPr>
            <w:r>
              <w:rPr>
                <w:sz w:val="17"/>
              </w:rPr>
              <w:t>(4)</w:t>
            </w:r>
          </w:p>
        </w:tc>
        <w:tc>
          <w:tcPr>
            <w:tcW w:w="904" w:type="dxa"/>
            <w:tcBorders>
              <w:top w:val="nil"/>
              <w:left w:val="nil"/>
              <w:bottom w:val="single" w:sz="3" w:space="0" w:color="000000"/>
              <w:right w:val="nil"/>
            </w:tcBorders>
          </w:tcPr>
          <w:p w14:paraId="0A3DC666" w14:textId="77777777" w:rsidR="001C671E" w:rsidRDefault="00000000">
            <w:pPr>
              <w:spacing w:after="0" w:line="259" w:lineRule="auto"/>
              <w:ind w:left="297" w:right="0" w:firstLine="0"/>
              <w:jc w:val="left"/>
            </w:pPr>
            <w:r>
              <w:rPr>
                <w:sz w:val="17"/>
              </w:rPr>
              <w:t>(5)</w:t>
            </w:r>
          </w:p>
        </w:tc>
      </w:tr>
      <w:tr w:rsidR="001C671E" w14:paraId="012A1FEA" w14:textId="77777777">
        <w:trPr>
          <w:trHeight w:val="401"/>
        </w:trPr>
        <w:tc>
          <w:tcPr>
            <w:tcW w:w="3606" w:type="dxa"/>
            <w:gridSpan w:val="2"/>
            <w:tcBorders>
              <w:top w:val="single" w:sz="3" w:space="0" w:color="000000"/>
              <w:left w:val="nil"/>
              <w:bottom w:val="single" w:sz="3" w:space="0" w:color="000000"/>
              <w:right w:val="nil"/>
            </w:tcBorders>
          </w:tcPr>
          <w:p w14:paraId="79120FB7" w14:textId="77777777" w:rsidR="001C671E" w:rsidRDefault="00000000">
            <w:pPr>
              <w:spacing w:after="0" w:line="259" w:lineRule="auto"/>
              <w:ind w:left="87" w:right="0" w:firstLine="0"/>
              <w:jc w:val="left"/>
            </w:pPr>
            <w:r>
              <w:rPr>
                <w:sz w:val="17"/>
              </w:rPr>
              <w:t>Panel A: General County Statistics</w:t>
            </w:r>
          </w:p>
        </w:tc>
        <w:tc>
          <w:tcPr>
            <w:tcW w:w="1032" w:type="dxa"/>
            <w:tcBorders>
              <w:top w:val="single" w:sz="3" w:space="0" w:color="000000"/>
              <w:left w:val="nil"/>
              <w:bottom w:val="single" w:sz="3" w:space="0" w:color="000000"/>
              <w:right w:val="nil"/>
            </w:tcBorders>
          </w:tcPr>
          <w:p w14:paraId="44F1E42E" w14:textId="77777777" w:rsidR="001C671E" w:rsidRDefault="001C671E">
            <w:pPr>
              <w:spacing w:after="160" w:line="259" w:lineRule="auto"/>
              <w:ind w:left="0" w:right="0" w:firstLine="0"/>
              <w:jc w:val="left"/>
            </w:pPr>
          </w:p>
        </w:tc>
        <w:tc>
          <w:tcPr>
            <w:tcW w:w="1060" w:type="dxa"/>
            <w:tcBorders>
              <w:top w:val="single" w:sz="3" w:space="0" w:color="000000"/>
              <w:left w:val="nil"/>
              <w:bottom w:val="single" w:sz="3" w:space="0" w:color="000000"/>
              <w:right w:val="nil"/>
            </w:tcBorders>
          </w:tcPr>
          <w:p w14:paraId="0ECB8691" w14:textId="77777777" w:rsidR="001C671E" w:rsidRDefault="001C671E">
            <w:pPr>
              <w:spacing w:after="160" w:line="259" w:lineRule="auto"/>
              <w:ind w:left="0" w:right="0" w:firstLine="0"/>
              <w:jc w:val="left"/>
            </w:pPr>
          </w:p>
        </w:tc>
        <w:tc>
          <w:tcPr>
            <w:tcW w:w="873" w:type="dxa"/>
            <w:tcBorders>
              <w:top w:val="single" w:sz="3" w:space="0" w:color="000000"/>
              <w:left w:val="nil"/>
              <w:bottom w:val="single" w:sz="3" w:space="0" w:color="000000"/>
              <w:right w:val="nil"/>
            </w:tcBorders>
          </w:tcPr>
          <w:p w14:paraId="30F61196" w14:textId="77777777" w:rsidR="001C671E" w:rsidRDefault="001C671E">
            <w:pPr>
              <w:spacing w:after="160" w:line="259" w:lineRule="auto"/>
              <w:ind w:left="0" w:right="0" w:firstLine="0"/>
              <w:jc w:val="left"/>
            </w:pPr>
          </w:p>
        </w:tc>
        <w:tc>
          <w:tcPr>
            <w:tcW w:w="904" w:type="dxa"/>
            <w:tcBorders>
              <w:top w:val="single" w:sz="3" w:space="0" w:color="000000"/>
              <w:left w:val="nil"/>
              <w:bottom w:val="single" w:sz="3" w:space="0" w:color="000000"/>
              <w:right w:val="nil"/>
            </w:tcBorders>
          </w:tcPr>
          <w:p w14:paraId="6B0D8813" w14:textId="77777777" w:rsidR="001C671E" w:rsidRDefault="001C671E">
            <w:pPr>
              <w:spacing w:after="160" w:line="259" w:lineRule="auto"/>
              <w:ind w:left="0" w:right="0" w:firstLine="0"/>
              <w:jc w:val="left"/>
            </w:pPr>
          </w:p>
        </w:tc>
      </w:tr>
      <w:tr w:rsidR="001C671E" w14:paraId="6EFF5424" w14:textId="77777777">
        <w:trPr>
          <w:trHeight w:val="387"/>
        </w:trPr>
        <w:tc>
          <w:tcPr>
            <w:tcW w:w="2610" w:type="dxa"/>
            <w:tcBorders>
              <w:top w:val="single" w:sz="3" w:space="0" w:color="000000"/>
              <w:left w:val="nil"/>
              <w:bottom w:val="nil"/>
              <w:right w:val="nil"/>
            </w:tcBorders>
          </w:tcPr>
          <w:p w14:paraId="481713C6" w14:textId="77777777" w:rsidR="001C671E" w:rsidRDefault="00000000">
            <w:pPr>
              <w:spacing w:after="0" w:line="259" w:lineRule="auto"/>
              <w:ind w:left="87" w:right="0" w:firstLine="0"/>
              <w:jc w:val="left"/>
            </w:pPr>
            <w:r>
              <w:rPr>
                <w:sz w:val="17"/>
              </w:rPr>
              <w:t>Population (Thous.)</w:t>
            </w:r>
          </w:p>
        </w:tc>
        <w:tc>
          <w:tcPr>
            <w:tcW w:w="996" w:type="dxa"/>
            <w:tcBorders>
              <w:top w:val="single" w:sz="3" w:space="0" w:color="000000"/>
              <w:left w:val="nil"/>
              <w:bottom w:val="nil"/>
              <w:right w:val="nil"/>
            </w:tcBorders>
          </w:tcPr>
          <w:p w14:paraId="385E5C83" w14:textId="77777777" w:rsidR="001C671E" w:rsidRDefault="00000000">
            <w:pPr>
              <w:spacing w:after="0" w:line="259" w:lineRule="auto"/>
              <w:ind w:left="66" w:right="0" w:firstLine="0"/>
              <w:jc w:val="left"/>
            </w:pPr>
            <w:r>
              <w:rPr>
                <w:sz w:val="17"/>
              </w:rPr>
              <w:t>39.61</w:t>
            </w:r>
          </w:p>
        </w:tc>
        <w:tc>
          <w:tcPr>
            <w:tcW w:w="1032" w:type="dxa"/>
            <w:tcBorders>
              <w:top w:val="single" w:sz="3" w:space="0" w:color="000000"/>
              <w:left w:val="nil"/>
              <w:bottom w:val="nil"/>
              <w:right w:val="nil"/>
            </w:tcBorders>
          </w:tcPr>
          <w:p w14:paraId="170FDAC5" w14:textId="77777777" w:rsidR="001C671E" w:rsidRDefault="00000000">
            <w:pPr>
              <w:spacing w:after="0" w:line="259" w:lineRule="auto"/>
              <w:ind w:left="66" w:right="0" w:firstLine="0"/>
              <w:jc w:val="left"/>
            </w:pPr>
            <w:r>
              <w:rPr>
                <w:sz w:val="17"/>
              </w:rPr>
              <w:t>26.69</w:t>
            </w:r>
          </w:p>
        </w:tc>
        <w:tc>
          <w:tcPr>
            <w:tcW w:w="1060" w:type="dxa"/>
            <w:tcBorders>
              <w:top w:val="single" w:sz="3" w:space="0" w:color="000000"/>
              <w:left w:val="nil"/>
              <w:bottom w:val="nil"/>
              <w:right w:val="nil"/>
            </w:tcBorders>
          </w:tcPr>
          <w:p w14:paraId="56486E7D" w14:textId="77777777" w:rsidR="001C671E" w:rsidRDefault="00000000">
            <w:pPr>
              <w:spacing w:after="0" w:line="259" w:lineRule="auto"/>
              <w:ind w:left="134" w:right="0" w:firstLine="0"/>
              <w:jc w:val="left"/>
            </w:pPr>
            <w:r>
              <w:rPr>
                <w:sz w:val="17"/>
              </w:rPr>
              <w:t>26.3</w:t>
            </w:r>
          </w:p>
        </w:tc>
        <w:tc>
          <w:tcPr>
            <w:tcW w:w="873" w:type="dxa"/>
            <w:tcBorders>
              <w:top w:val="single" w:sz="3" w:space="0" w:color="000000"/>
              <w:left w:val="nil"/>
              <w:bottom w:val="nil"/>
              <w:right w:val="nil"/>
            </w:tcBorders>
          </w:tcPr>
          <w:p w14:paraId="33C390B8" w14:textId="77777777" w:rsidR="001C671E" w:rsidRDefault="00000000">
            <w:pPr>
              <w:spacing w:after="0" w:line="259" w:lineRule="auto"/>
              <w:ind w:left="90" w:right="0" w:firstLine="0"/>
              <w:jc w:val="left"/>
            </w:pPr>
            <w:r>
              <w:rPr>
                <w:sz w:val="17"/>
              </w:rPr>
              <w:t>26.59</w:t>
            </w:r>
          </w:p>
        </w:tc>
        <w:tc>
          <w:tcPr>
            <w:tcW w:w="904" w:type="dxa"/>
            <w:tcBorders>
              <w:top w:val="single" w:sz="3" w:space="0" w:color="000000"/>
              <w:left w:val="nil"/>
              <w:bottom w:val="nil"/>
              <w:right w:val="nil"/>
            </w:tcBorders>
          </w:tcPr>
          <w:p w14:paraId="7093BE7A" w14:textId="77777777" w:rsidR="001C671E" w:rsidRDefault="00000000">
            <w:pPr>
              <w:spacing w:after="0" w:line="259" w:lineRule="auto"/>
              <w:ind w:left="212" w:right="0" w:firstLine="0"/>
              <w:jc w:val="left"/>
            </w:pPr>
            <w:r>
              <w:rPr>
                <w:sz w:val="17"/>
              </w:rPr>
              <w:t>0.912</w:t>
            </w:r>
          </w:p>
        </w:tc>
      </w:tr>
      <w:tr w:rsidR="001C671E" w14:paraId="39DD10B7" w14:textId="77777777">
        <w:trPr>
          <w:trHeight w:val="314"/>
        </w:trPr>
        <w:tc>
          <w:tcPr>
            <w:tcW w:w="2610" w:type="dxa"/>
            <w:tcBorders>
              <w:top w:val="nil"/>
              <w:left w:val="nil"/>
              <w:bottom w:val="nil"/>
              <w:right w:val="nil"/>
            </w:tcBorders>
          </w:tcPr>
          <w:p w14:paraId="544BD2CD"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7BE2E7B3" w14:textId="77777777" w:rsidR="001C671E" w:rsidRDefault="00000000">
            <w:pPr>
              <w:spacing w:after="0" w:line="259" w:lineRule="auto"/>
              <w:ind w:left="0" w:right="0" w:firstLine="0"/>
              <w:jc w:val="left"/>
            </w:pPr>
            <w:r>
              <w:rPr>
                <w:sz w:val="17"/>
              </w:rPr>
              <w:t>(2.427)</w:t>
            </w:r>
          </w:p>
        </w:tc>
        <w:tc>
          <w:tcPr>
            <w:tcW w:w="1032" w:type="dxa"/>
            <w:tcBorders>
              <w:top w:val="nil"/>
              <w:left w:val="nil"/>
              <w:bottom w:val="nil"/>
              <w:right w:val="nil"/>
            </w:tcBorders>
          </w:tcPr>
          <w:p w14:paraId="4ADFA714" w14:textId="77777777" w:rsidR="001C671E" w:rsidRDefault="00000000">
            <w:pPr>
              <w:spacing w:after="0" w:line="259" w:lineRule="auto"/>
              <w:ind w:left="0" w:right="0" w:firstLine="0"/>
              <w:jc w:val="left"/>
            </w:pPr>
            <w:r>
              <w:rPr>
                <w:sz w:val="17"/>
              </w:rPr>
              <w:t>(1.322)</w:t>
            </w:r>
          </w:p>
        </w:tc>
        <w:tc>
          <w:tcPr>
            <w:tcW w:w="1060" w:type="dxa"/>
            <w:tcBorders>
              <w:top w:val="nil"/>
              <w:left w:val="nil"/>
              <w:bottom w:val="nil"/>
              <w:right w:val="nil"/>
            </w:tcBorders>
          </w:tcPr>
          <w:p w14:paraId="01197739" w14:textId="77777777" w:rsidR="001C671E" w:rsidRDefault="00000000">
            <w:pPr>
              <w:spacing w:after="0" w:line="259" w:lineRule="auto"/>
              <w:ind w:left="26" w:right="0" w:firstLine="0"/>
              <w:jc w:val="left"/>
            </w:pPr>
            <w:r>
              <w:rPr>
                <w:sz w:val="17"/>
              </w:rPr>
              <w:t>(2.061)</w:t>
            </w:r>
          </w:p>
        </w:tc>
        <w:tc>
          <w:tcPr>
            <w:tcW w:w="873" w:type="dxa"/>
            <w:tcBorders>
              <w:top w:val="nil"/>
              <w:left w:val="nil"/>
              <w:bottom w:val="nil"/>
              <w:right w:val="nil"/>
            </w:tcBorders>
          </w:tcPr>
          <w:p w14:paraId="48FF67B9" w14:textId="77777777" w:rsidR="001C671E" w:rsidRDefault="00000000">
            <w:pPr>
              <w:spacing w:after="0" w:line="259" w:lineRule="auto"/>
              <w:ind w:left="24" w:right="0" w:firstLine="0"/>
              <w:jc w:val="left"/>
            </w:pPr>
            <w:r>
              <w:rPr>
                <w:sz w:val="17"/>
              </w:rPr>
              <w:t>(1.736)</w:t>
            </w:r>
          </w:p>
        </w:tc>
        <w:tc>
          <w:tcPr>
            <w:tcW w:w="904" w:type="dxa"/>
            <w:tcBorders>
              <w:top w:val="nil"/>
              <w:left w:val="nil"/>
              <w:bottom w:val="nil"/>
              <w:right w:val="nil"/>
            </w:tcBorders>
          </w:tcPr>
          <w:p w14:paraId="093B0FE2" w14:textId="77777777" w:rsidR="001C671E" w:rsidRDefault="001C671E">
            <w:pPr>
              <w:spacing w:after="160" w:line="259" w:lineRule="auto"/>
              <w:ind w:left="0" w:right="0" w:firstLine="0"/>
              <w:jc w:val="left"/>
            </w:pPr>
          </w:p>
        </w:tc>
      </w:tr>
      <w:tr w:rsidR="001C671E" w14:paraId="2E94523E" w14:textId="77777777">
        <w:trPr>
          <w:trHeight w:val="314"/>
        </w:trPr>
        <w:tc>
          <w:tcPr>
            <w:tcW w:w="2610" w:type="dxa"/>
            <w:tcBorders>
              <w:top w:val="nil"/>
              <w:left w:val="nil"/>
              <w:bottom w:val="nil"/>
              <w:right w:val="nil"/>
            </w:tcBorders>
          </w:tcPr>
          <w:p w14:paraId="70D71E7C" w14:textId="77777777" w:rsidR="001C671E" w:rsidRDefault="00000000">
            <w:pPr>
              <w:spacing w:after="0" w:line="259" w:lineRule="auto"/>
              <w:ind w:left="87" w:right="0" w:firstLine="0"/>
              <w:jc w:val="left"/>
            </w:pPr>
            <w:r>
              <w:rPr>
                <w:sz w:val="17"/>
              </w:rPr>
              <w:t>School-age pop. (Thous.)</w:t>
            </w:r>
          </w:p>
        </w:tc>
        <w:tc>
          <w:tcPr>
            <w:tcW w:w="996" w:type="dxa"/>
            <w:tcBorders>
              <w:top w:val="nil"/>
              <w:left w:val="nil"/>
              <w:bottom w:val="nil"/>
              <w:right w:val="nil"/>
            </w:tcBorders>
          </w:tcPr>
          <w:p w14:paraId="07B96B5E" w14:textId="77777777" w:rsidR="001C671E" w:rsidRDefault="00000000">
            <w:pPr>
              <w:spacing w:after="0" w:line="259" w:lineRule="auto"/>
              <w:ind w:left="66" w:right="0" w:firstLine="0"/>
              <w:jc w:val="left"/>
            </w:pPr>
            <w:r>
              <w:rPr>
                <w:sz w:val="17"/>
              </w:rPr>
              <w:t>10.15</w:t>
            </w:r>
          </w:p>
        </w:tc>
        <w:tc>
          <w:tcPr>
            <w:tcW w:w="1032" w:type="dxa"/>
            <w:tcBorders>
              <w:top w:val="nil"/>
              <w:left w:val="nil"/>
              <w:bottom w:val="nil"/>
              <w:right w:val="nil"/>
            </w:tcBorders>
          </w:tcPr>
          <w:p w14:paraId="6F58B369" w14:textId="77777777" w:rsidR="001C671E" w:rsidRDefault="00000000">
            <w:pPr>
              <w:spacing w:after="0" w:line="259" w:lineRule="auto"/>
              <w:ind w:left="108" w:right="0" w:firstLine="0"/>
              <w:jc w:val="left"/>
            </w:pPr>
            <w:r>
              <w:rPr>
                <w:sz w:val="17"/>
              </w:rPr>
              <w:t>7.92</w:t>
            </w:r>
          </w:p>
        </w:tc>
        <w:tc>
          <w:tcPr>
            <w:tcW w:w="1060" w:type="dxa"/>
            <w:tcBorders>
              <w:top w:val="nil"/>
              <w:left w:val="nil"/>
              <w:bottom w:val="nil"/>
              <w:right w:val="nil"/>
            </w:tcBorders>
          </w:tcPr>
          <w:p w14:paraId="38E7C12D" w14:textId="77777777" w:rsidR="001C671E" w:rsidRDefault="00000000">
            <w:pPr>
              <w:spacing w:after="0" w:line="259" w:lineRule="auto"/>
              <w:ind w:left="92" w:right="0" w:firstLine="0"/>
              <w:jc w:val="left"/>
            </w:pPr>
            <w:r>
              <w:rPr>
                <w:sz w:val="17"/>
              </w:rPr>
              <w:t>7.998</w:t>
            </w:r>
          </w:p>
        </w:tc>
        <w:tc>
          <w:tcPr>
            <w:tcW w:w="873" w:type="dxa"/>
            <w:tcBorders>
              <w:top w:val="nil"/>
              <w:left w:val="nil"/>
              <w:bottom w:val="nil"/>
              <w:right w:val="nil"/>
            </w:tcBorders>
          </w:tcPr>
          <w:p w14:paraId="2DEAA2E8" w14:textId="77777777" w:rsidR="001C671E" w:rsidRDefault="00000000">
            <w:pPr>
              <w:spacing w:after="0" w:line="259" w:lineRule="auto"/>
              <w:ind w:left="90" w:right="0" w:firstLine="0"/>
              <w:jc w:val="left"/>
            </w:pPr>
            <w:r>
              <w:rPr>
                <w:sz w:val="17"/>
              </w:rPr>
              <w:t>8.012</w:t>
            </w:r>
          </w:p>
        </w:tc>
        <w:tc>
          <w:tcPr>
            <w:tcW w:w="904" w:type="dxa"/>
            <w:tcBorders>
              <w:top w:val="nil"/>
              <w:left w:val="nil"/>
              <w:bottom w:val="nil"/>
              <w:right w:val="nil"/>
            </w:tcBorders>
          </w:tcPr>
          <w:p w14:paraId="1D7863AB" w14:textId="77777777" w:rsidR="001C671E" w:rsidRDefault="00000000">
            <w:pPr>
              <w:spacing w:after="0" w:line="259" w:lineRule="auto"/>
              <w:ind w:left="212" w:right="0" w:firstLine="0"/>
              <w:jc w:val="left"/>
            </w:pPr>
            <w:r>
              <w:rPr>
                <w:sz w:val="17"/>
              </w:rPr>
              <w:t>0.984</w:t>
            </w:r>
          </w:p>
        </w:tc>
      </w:tr>
      <w:tr w:rsidR="001C671E" w14:paraId="2B7CC943" w14:textId="77777777">
        <w:trPr>
          <w:trHeight w:val="300"/>
        </w:trPr>
        <w:tc>
          <w:tcPr>
            <w:tcW w:w="2610" w:type="dxa"/>
            <w:tcBorders>
              <w:top w:val="nil"/>
              <w:left w:val="nil"/>
              <w:bottom w:val="nil"/>
              <w:right w:val="nil"/>
            </w:tcBorders>
          </w:tcPr>
          <w:p w14:paraId="0B23D411"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788B44D9" w14:textId="77777777" w:rsidR="001C671E" w:rsidRDefault="00000000">
            <w:pPr>
              <w:spacing w:after="0" w:line="259" w:lineRule="auto"/>
              <w:ind w:left="0" w:right="0" w:firstLine="0"/>
              <w:jc w:val="left"/>
            </w:pPr>
            <w:r>
              <w:rPr>
                <w:sz w:val="17"/>
              </w:rPr>
              <w:t>(0.541)</w:t>
            </w:r>
          </w:p>
        </w:tc>
        <w:tc>
          <w:tcPr>
            <w:tcW w:w="1032" w:type="dxa"/>
            <w:tcBorders>
              <w:top w:val="nil"/>
              <w:left w:val="nil"/>
              <w:bottom w:val="nil"/>
              <w:right w:val="nil"/>
            </w:tcBorders>
          </w:tcPr>
          <w:p w14:paraId="11DD2D46" w14:textId="77777777" w:rsidR="001C671E" w:rsidRDefault="00000000">
            <w:pPr>
              <w:spacing w:after="0" w:line="259" w:lineRule="auto"/>
              <w:ind w:left="42" w:right="0" w:firstLine="0"/>
              <w:jc w:val="left"/>
            </w:pPr>
            <w:r>
              <w:rPr>
                <w:sz w:val="17"/>
              </w:rPr>
              <w:t>(0.32)</w:t>
            </w:r>
          </w:p>
        </w:tc>
        <w:tc>
          <w:tcPr>
            <w:tcW w:w="1060" w:type="dxa"/>
            <w:tcBorders>
              <w:top w:val="nil"/>
              <w:left w:val="nil"/>
              <w:bottom w:val="nil"/>
              <w:right w:val="nil"/>
            </w:tcBorders>
          </w:tcPr>
          <w:p w14:paraId="6D1E9465" w14:textId="77777777" w:rsidR="001C671E" w:rsidRDefault="00000000">
            <w:pPr>
              <w:spacing w:after="0" w:line="259" w:lineRule="auto"/>
              <w:ind w:left="26" w:right="0" w:firstLine="0"/>
              <w:jc w:val="left"/>
            </w:pPr>
            <w:r>
              <w:rPr>
                <w:sz w:val="17"/>
              </w:rPr>
              <w:t>(0.516)</w:t>
            </w:r>
          </w:p>
        </w:tc>
        <w:tc>
          <w:tcPr>
            <w:tcW w:w="873" w:type="dxa"/>
            <w:tcBorders>
              <w:top w:val="nil"/>
              <w:left w:val="nil"/>
              <w:bottom w:val="nil"/>
              <w:right w:val="nil"/>
            </w:tcBorders>
          </w:tcPr>
          <w:p w14:paraId="492FC8D9" w14:textId="77777777" w:rsidR="001C671E" w:rsidRDefault="00000000">
            <w:pPr>
              <w:spacing w:after="0" w:line="259" w:lineRule="auto"/>
              <w:ind w:left="24" w:right="0" w:firstLine="0"/>
              <w:jc w:val="left"/>
            </w:pPr>
            <w:r>
              <w:rPr>
                <w:sz w:val="17"/>
              </w:rPr>
              <w:t>(0.447)</w:t>
            </w:r>
          </w:p>
        </w:tc>
        <w:tc>
          <w:tcPr>
            <w:tcW w:w="904" w:type="dxa"/>
            <w:tcBorders>
              <w:top w:val="nil"/>
              <w:left w:val="nil"/>
              <w:bottom w:val="nil"/>
              <w:right w:val="nil"/>
            </w:tcBorders>
          </w:tcPr>
          <w:p w14:paraId="493904DF" w14:textId="77777777" w:rsidR="001C671E" w:rsidRDefault="001C671E">
            <w:pPr>
              <w:spacing w:after="160" w:line="259" w:lineRule="auto"/>
              <w:ind w:left="0" w:right="0" w:firstLine="0"/>
              <w:jc w:val="left"/>
            </w:pPr>
          </w:p>
        </w:tc>
      </w:tr>
      <w:tr w:rsidR="001C671E" w14:paraId="75A26B51" w14:textId="77777777">
        <w:trPr>
          <w:trHeight w:val="329"/>
        </w:trPr>
        <w:tc>
          <w:tcPr>
            <w:tcW w:w="2610" w:type="dxa"/>
            <w:tcBorders>
              <w:top w:val="nil"/>
              <w:left w:val="nil"/>
              <w:bottom w:val="nil"/>
              <w:right w:val="nil"/>
            </w:tcBorders>
          </w:tcPr>
          <w:p w14:paraId="6D41D88B" w14:textId="77777777" w:rsidR="001C671E" w:rsidRDefault="00000000">
            <w:pPr>
              <w:spacing w:after="0" w:line="259" w:lineRule="auto"/>
              <w:ind w:left="87" w:right="0" w:firstLine="0"/>
              <w:jc w:val="left"/>
            </w:pPr>
            <w:r>
              <w:rPr>
                <w:sz w:val="17"/>
              </w:rPr>
              <w:t>Share urban</w:t>
            </w:r>
          </w:p>
        </w:tc>
        <w:tc>
          <w:tcPr>
            <w:tcW w:w="996" w:type="dxa"/>
            <w:tcBorders>
              <w:top w:val="nil"/>
              <w:left w:val="nil"/>
              <w:bottom w:val="nil"/>
              <w:right w:val="nil"/>
            </w:tcBorders>
          </w:tcPr>
          <w:p w14:paraId="121D3819" w14:textId="77777777" w:rsidR="001C671E" w:rsidRDefault="00000000">
            <w:pPr>
              <w:spacing w:after="0" w:line="259" w:lineRule="auto"/>
              <w:ind w:left="66" w:right="0" w:firstLine="0"/>
              <w:jc w:val="left"/>
            </w:pPr>
            <w:r>
              <w:rPr>
                <w:sz w:val="17"/>
              </w:rPr>
              <w:t>0.214</w:t>
            </w:r>
          </w:p>
        </w:tc>
        <w:tc>
          <w:tcPr>
            <w:tcW w:w="1032" w:type="dxa"/>
            <w:tcBorders>
              <w:top w:val="nil"/>
              <w:left w:val="nil"/>
              <w:bottom w:val="nil"/>
              <w:right w:val="nil"/>
            </w:tcBorders>
          </w:tcPr>
          <w:p w14:paraId="05FDC445" w14:textId="77777777" w:rsidR="001C671E" w:rsidRDefault="00000000">
            <w:pPr>
              <w:spacing w:after="0" w:line="259" w:lineRule="auto"/>
              <w:ind w:left="66" w:right="0" w:firstLine="0"/>
              <w:jc w:val="left"/>
            </w:pPr>
            <w:r>
              <w:rPr>
                <w:sz w:val="17"/>
              </w:rPr>
              <w:t>0.155</w:t>
            </w:r>
          </w:p>
        </w:tc>
        <w:tc>
          <w:tcPr>
            <w:tcW w:w="1060" w:type="dxa"/>
            <w:tcBorders>
              <w:top w:val="nil"/>
              <w:left w:val="nil"/>
              <w:bottom w:val="nil"/>
              <w:right w:val="nil"/>
            </w:tcBorders>
          </w:tcPr>
          <w:p w14:paraId="735F2C7B" w14:textId="77777777" w:rsidR="001C671E" w:rsidRDefault="00000000">
            <w:pPr>
              <w:spacing w:after="0" w:line="259" w:lineRule="auto"/>
              <w:ind w:left="92" w:right="0" w:firstLine="0"/>
              <w:jc w:val="left"/>
            </w:pPr>
            <w:r>
              <w:rPr>
                <w:sz w:val="17"/>
              </w:rPr>
              <w:t>0.134</w:t>
            </w:r>
          </w:p>
        </w:tc>
        <w:tc>
          <w:tcPr>
            <w:tcW w:w="873" w:type="dxa"/>
            <w:tcBorders>
              <w:top w:val="nil"/>
              <w:left w:val="nil"/>
              <w:bottom w:val="nil"/>
              <w:right w:val="nil"/>
            </w:tcBorders>
          </w:tcPr>
          <w:p w14:paraId="253A6B56" w14:textId="77777777" w:rsidR="001C671E" w:rsidRDefault="00000000">
            <w:pPr>
              <w:spacing w:after="0" w:line="259" w:lineRule="auto"/>
              <w:ind w:left="90" w:right="0" w:firstLine="0"/>
              <w:jc w:val="left"/>
            </w:pPr>
            <w:r>
              <w:rPr>
                <w:sz w:val="17"/>
              </w:rPr>
              <w:t>0.173</w:t>
            </w:r>
          </w:p>
        </w:tc>
        <w:tc>
          <w:tcPr>
            <w:tcW w:w="904" w:type="dxa"/>
            <w:tcBorders>
              <w:top w:val="nil"/>
              <w:left w:val="nil"/>
              <w:bottom w:val="nil"/>
              <w:right w:val="nil"/>
            </w:tcBorders>
          </w:tcPr>
          <w:p w14:paraId="4D34976F" w14:textId="77777777" w:rsidR="001C671E" w:rsidRDefault="00000000">
            <w:pPr>
              <w:spacing w:after="0" w:line="259" w:lineRule="auto"/>
              <w:ind w:left="178" w:right="0" w:firstLine="0"/>
              <w:jc w:val="left"/>
            </w:pPr>
            <w:r>
              <w:rPr>
                <w:sz w:val="17"/>
              </w:rPr>
              <w:t>0.059</w:t>
            </w:r>
            <w:r>
              <w:rPr>
                <w:sz w:val="17"/>
                <w:vertAlign w:val="superscript"/>
              </w:rPr>
              <w:t>∗</w:t>
            </w:r>
          </w:p>
        </w:tc>
      </w:tr>
      <w:tr w:rsidR="001C671E" w14:paraId="16A71872" w14:textId="77777777">
        <w:trPr>
          <w:trHeight w:val="300"/>
        </w:trPr>
        <w:tc>
          <w:tcPr>
            <w:tcW w:w="2610" w:type="dxa"/>
            <w:tcBorders>
              <w:top w:val="nil"/>
              <w:left w:val="nil"/>
              <w:bottom w:val="nil"/>
              <w:right w:val="nil"/>
            </w:tcBorders>
          </w:tcPr>
          <w:p w14:paraId="72FBF523"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46F84383" w14:textId="77777777" w:rsidR="001C671E" w:rsidRDefault="00000000">
            <w:pPr>
              <w:spacing w:after="0" w:line="259" w:lineRule="auto"/>
              <w:ind w:left="0" w:right="0" w:firstLine="0"/>
              <w:jc w:val="left"/>
            </w:pPr>
            <w:r>
              <w:rPr>
                <w:sz w:val="17"/>
              </w:rPr>
              <w:t>(0.005)</w:t>
            </w:r>
          </w:p>
        </w:tc>
        <w:tc>
          <w:tcPr>
            <w:tcW w:w="1032" w:type="dxa"/>
            <w:tcBorders>
              <w:top w:val="nil"/>
              <w:left w:val="nil"/>
              <w:bottom w:val="nil"/>
              <w:right w:val="nil"/>
            </w:tcBorders>
          </w:tcPr>
          <w:p w14:paraId="3D42E5E9" w14:textId="77777777" w:rsidR="001C671E" w:rsidRDefault="00000000">
            <w:pPr>
              <w:spacing w:after="0" w:line="259" w:lineRule="auto"/>
              <w:ind w:left="0" w:right="0" w:firstLine="0"/>
              <w:jc w:val="left"/>
            </w:pPr>
            <w:r>
              <w:rPr>
                <w:sz w:val="17"/>
              </w:rPr>
              <w:t>(0.008)</w:t>
            </w:r>
          </w:p>
        </w:tc>
        <w:tc>
          <w:tcPr>
            <w:tcW w:w="1060" w:type="dxa"/>
            <w:tcBorders>
              <w:top w:val="nil"/>
              <w:left w:val="nil"/>
              <w:bottom w:val="nil"/>
              <w:right w:val="nil"/>
            </w:tcBorders>
          </w:tcPr>
          <w:p w14:paraId="4A7AF602" w14:textId="77777777" w:rsidR="001C671E" w:rsidRDefault="00000000">
            <w:pPr>
              <w:spacing w:after="0" w:line="259" w:lineRule="auto"/>
              <w:ind w:left="26" w:right="0" w:firstLine="0"/>
              <w:jc w:val="left"/>
            </w:pPr>
            <w:r>
              <w:rPr>
                <w:sz w:val="17"/>
              </w:rPr>
              <w:t>(0.013)</w:t>
            </w:r>
          </w:p>
        </w:tc>
        <w:tc>
          <w:tcPr>
            <w:tcW w:w="873" w:type="dxa"/>
            <w:tcBorders>
              <w:top w:val="nil"/>
              <w:left w:val="nil"/>
              <w:bottom w:val="nil"/>
              <w:right w:val="nil"/>
            </w:tcBorders>
          </w:tcPr>
          <w:p w14:paraId="6A3C86D0" w14:textId="77777777" w:rsidR="001C671E" w:rsidRDefault="00000000">
            <w:pPr>
              <w:spacing w:after="0" w:line="259" w:lineRule="auto"/>
              <w:ind w:left="24" w:right="0" w:firstLine="0"/>
              <w:jc w:val="left"/>
            </w:pPr>
            <w:r>
              <w:rPr>
                <w:sz w:val="17"/>
              </w:rPr>
              <w:t>(0.016)</w:t>
            </w:r>
          </w:p>
        </w:tc>
        <w:tc>
          <w:tcPr>
            <w:tcW w:w="904" w:type="dxa"/>
            <w:tcBorders>
              <w:top w:val="nil"/>
              <w:left w:val="nil"/>
              <w:bottom w:val="nil"/>
              <w:right w:val="nil"/>
            </w:tcBorders>
          </w:tcPr>
          <w:p w14:paraId="2F0CBC78" w14:textId="77777777" w:rsidR="001C671E" w:rsidRDefault="001C671E">
            <w:pPr>
              <w:spacing w:after="160" w:line="259" w:lineRule="auto"/>
              <w:ind w:left="0" w:right="0" w:firstLine="0"/>
              <w:jc w:val="left"/>
            </w:pPr>
          </w:p>
        </w:tc>
      </w:tr>
      <w:tr w:rsidR="001C671E" w14:paraId="181E1DBE" w14:textId="77777777">
        <w:trPr>
          <w:trHeight w:val="329"/>
        </w:trPr>
        <w:tc>
          <w:tcPr>
            <w:tcW w:w="2610" w:type="dxa"/>
            <w:tcBorders>
              <w:top w:val="nil"/>
              <w:left w:val="nil"/>
              <w:bottom w:val="nil"/>
              <w:right w:val="nil"/>
            </w:tcBorders>
          </w:tcPr>
          <w:p w14:paraId="23618084" w14:textId="77777777" w:rsidR="001C671E" w:rsidRDefault="00000000">
            <w:pPr>
              <w:spacing w:after="0" w:line="259" w:lineRule="auto"/>
              <w:ind w:left="87" w:right="0" w:firstLine="0"/>
              <w:jc w:val="left"/>
            </w:pPr>
            <w:r>
              <w:rPr>
                <w:sz w:val="17"/>
              </w:rPr>
              <w:t>LFP of married women</w:t>
            </w:r>
          </w:p>
        </w:tc>
        <w:tc>
          <w:tcPr>
            <w:tcW w:w="996" w:type="dxa"/>
            <w:tcBorders>
              <w:top w:val="nil"/>
              <w:left w:val="nil"/>
              <w:bottom w:val="nil"/>
              <w:right w:val="nil"/>
            </w:tcBorders>
          </w:tcPr>
          <w:p w14:paraId="6E8C1D25" w14:textId="77777777" w:rsidR="001C671E" w:rsidRDefault="00000000">
            <w:pPr>
              <w:spacing w:after="0" w:line="259" w:lineRule="auto"/>
              <w:ind w:left="66" w:right="0" w:firstLine="0"/>
              <w:jc w:val="left"/>
            </w:pPr>
            <w:r>
              <w:rPr>
                <w:sz w:val="17"/>
              </w:rPr>
              <w:t>0.102</w:t>
            </w:r>
          </w:p>
        </w:tc>
        <w:tc>
          <w:tcPr>
            <w:tcW w:w="1032" w:type="dxa"/>
            <w:tcBorders>
              <w:top w:val="nil"/>
              <w:left w:val="nil"/>
              <w:bottom w:val="nil"/>
              <w:right w:val="nil"/>
            </w:tcBorders>
          </w:tcPr>
          <w:p w14:paraId="10470270" w14:textId="77777777" w:rsidR="001C671E" w:rsidRDefault="00000000">
            <w:pPr>
              <w:spacing w:after="0" w:line="259" w:lineRule="auto"/>
              <w:ind w:left="66" w:right="0" w:firstLine="0"/>
              <w:jc w:val="left"/>
            </w:pPr>
            <w:r>
              <w:rPr>
                <w:sz w:val="17"/>
              </w:rPr>
              <w:t>0.136</w:t>
            </w:r>
          </w:p>
        </w:tc>
        <w:tc>
          <w:tcPr>
            <w:tcW w:w="1060" w:type="dxa"/>
            <w:tcBorders>
              <w:top w:val="nil"/>
              <w:left w:val="nil"/>
              <w:bottom w:val="nil"/>
              <w:right w:val="nil"/>
            </w:tcBorders>
          </w:tcPr>
          <w:p w14:paraId="0F354F0B" w14:textId="77777777" w:rsidR="001C671E" w:rsidRDefault="00000000">
            <w:pPr>
              <w:spacing w:after="0" w:line="259" w:lineRule="auto"/>
              <w:ind w:left="92" w:right="0" w:firstLine="0"/>
              <w:jc w:val="left"/>
            </w:pPr>
            <w:r>
              <w:rPr>
                <w:sz w:val="17"/>
              </w:rPr>
              <w:t>0.092</w:t>
            </w:r>
          </w:p>
        </w:tc>
        <w:tc>
          <w:tcPr>
            <w:tcW w:w="873" w:type="dxa"/>
            <w:tcBorders>
              <w:top w:val="nil"/>
              <w:left w:val="nil"/>
              <w:bottom w:val="nil"/>
              <w:right w:val="nil"/>
            </w:tcBorders>
          </w:tcPr>
          <w:p w14:paraId="0B260FFF" w14:textId="77777777" w:rsidR="001C671E" w:rsidRDefault="00000000">
            <w:pPr>
              <w:spacing w:after="0" w:line="259" w:lineRule="auto"/>
              <w:ind w:left="90" w:right="0" w:firstLine="0"/>
              <w:jc w:val="left"/>
            </w:pPr>
            <w:r>
              <w:rPr>
                <w:sz w:val="17"/>
              </w:rPr>
              <w:t>0.118</w:t>
            </w:r>
          </w:p>
        </w:tc>
        <w:tc>
          <w:tcPr>
            <w:tcW w:w="904" w:type="dxa"/>
            <w:tcBorders>
              <w:top w:val="nil"/>
              <w:left w:val="nil"/>
              <w:bottom w:val="nil"/>
              <w:right w:val="nil"/>
            </w:tcBorders>
          </w:tcPr>
          <w:p w14:paraId="4E40698D" w14:textId="77777777" w:rsidR="001C671E" w:rsidRDefault="00000000">
            <w:pPr>
              <w:spacing w:after="0" w:line="259" w:lineRule="auto"/>
              <w:ind w:left="117" w:right="0" w:firstLine="0"/>
              <w:jc w:val="left"/>
            </w:pPr>
            <w:r>
              <w:rPr>
                <w:sz w:val="17"/>
              </w:rPr>
              <w:t>0.000</w:t>
            </w:r>
            <w:r>
              <w:rPr>
                <w:sz w:val="17"/>
                <w:vertAlign w:val="superscript"/>
              </w:rPr>
              <w:t>∗∗∗</w:t>
            </w:r>
          </w:p>
        </w:tc>
      </w:tr>
      <w:tr w:rsidR="001C671E" w14:paraId="2167CE1B" w14:textId="77777777">
        <w:trPr>
          <w:trHeight w:val="300"/>
        </w:trPr>
        <w:tc>
          <w:tcPr>
            <w:tcW w:w="2610" w:type="dxa"/>
            <w:tcBorders>
              <w:top w:val="nil"/>
              <w:left w:val="nil"/>
              <w:bottom w:val="nil"/>
              <w:right w:val="nil"/>
            </w:tcBorders>
          </w:tcPr>
          <w:p w14:paraId="5667BB7E"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6490B6D3" w14:textId="77777777" w:rsidR="001C671E" w:rsidRDefault="00000000">
            <w:pPr>
              <w:spacing w:after="0" w:line="259" w:lineRule="auto"/>
              <w:ind w:left="0" w:right="0" w:firstLine="0"/>
              <w:jc w:val="left"/>
            </w:pPr>
            <w:r>
              <w:rPr>
                <w:sz w:val="17"/>
              </w:rPr>
              <w:t>(0.001)</w:t>
            </w:r>
          </w:p>
        </w:tc>
        <w:tc>
          <w:tcPr>
            <w:tcW w:w="1032" w:type="dxa"/>
            <w:tcBorders>
              <w:top w:val="nil"/>
              <w:left w:val="nil"/>
              <w:bottom w:val="nil"/>
              <w:right w:val="nil"/>
            </w:tcBorders>
          </w:tcPr>
          <w:p w14:paraId="1EC2A5A1" w14:textId="77777777" w:rsidR="001C671E" w:rsidRDefault="00000000">
            <w:pPr>
              <w:spacing w:after="0" w:line="259" w:lineRule="auto"/>
              <w:ind w:left="0" w:right="0" w:firstLine="0"/>
              <w:jc w:val="left"/>
            </w:pPr>
            <w:r>
              <w:rPr>
                <w:sz w:val="17"/>
              </w:rPr>
              <w:t>(0.003)</w:t>
            </w:r>
          </w:p>
        </w:tc>
        <w:tc>
          <w:tcPr>
            <w:tcW w:w="1060" w:type="dxa"/>
            <w:tcBorders>
              <w:top w:val="nil"/>
              <w:left w:val="nil"/>
              <w:bottom w:val="nil"/>
              <w:right w:val="nil"/>
            </w:tcBorders>
          </w:tcPr>
          <w:p w14:paraId="2C58D753" w14:textId="77777777" w:rsidR="001C671E" w:rsidRDefault="00000000">
            <w:pPr>
              <w:spacing w:after="0" w:line="259" w:lineRule="auto"/>
              <w:ind w:left="26" w:right="0" w:firstLine="0"/>
              <w:jc w:val="left"/>
            </w:pPr>
            <w:r>
              <w:rPr>
                <w:sz w:val="17"/>
              </w:rPr>
              <w:t>(0.004)</w:t>
            </w:r>
          </w:p>
        </w:tc>
        <w:tc>
          <w:tcPr>
            <w:tcW w:w="873" w:type="dxa"/>
            <w:tcBorders>
              <w:top w:val="nil"/>
              <w:left w:val="nil"/>
              <w:bottom w:val="nil"/>
              <w:right w:val="nil"/>
            </w:tcBorders>
          </w:tcPr>
          <w:p w14:paraId="674949B7" w14:textId="77777777" w:rsidR="001C671E" w:rsidRDefault="00000000">
            <w:pPr>
              <w:spacing w:after="0" w:line="259" w:lineRule="auto"/>
              <w:ind w:left="24" w:right="0" w:firstLine="0"/>
              <w:jc w:val="left"/>
            </w:pPr>
            <w:r>
              <w:rPr>
                <w:sz w:val="17"/>
              </w:rPr>
              <w:t>(0.005)</w:t>
            </w:r>
          </w:p>
        </w:tc>
        <w:tc>
          <w:tcPr>
            <w:tcW w:w="904" w:type="dxa"/>
            <w:tcBorders>
              <w:top w:val="nil"/>
              <w:left w:val="nil"/>
              <w:bottom w:val="nil"/>
              <w:right w:val="nil"/>
            </w:tcBorders>
          </w:tcPr>
          <w:p w14:paraId="019DE506" w14:textId="77777777" w:rsidR="001C671E" w:rsidRDefault="001C671E">
            <w:pPr>
              <w:spacing w:after="160" w:line="259" w:lineRule="auto"/>
              <w:ind w:left="0" w:right="0" w:firstLine="0"/>
              <w:jc w:val="left"/>
            </w:pPr>
          </w:p>
        </w:tc>
      </w:tr>
      <w:tr w:rsidR="001C671E" w14:paraId="02C5FDE5" w14:textId="77777777">
        <w:trPr>
          <w:trHeight w:val="329"/>
        </w:trPr>
        <w:tc>
          <w:tcPr>
            <w:tcW w:w="2610" w:type="dxa"/>
            <w:tcBorders>
              <w:top w:val="nil"/>
              <w:left w:val="nil"/>
              <w:bottom w:val="nil"/>
              <w:right w:val="nil"/>
            </w:tcBorders>
          </w:tcPr>
          <w:p w14:paraId="265A9AC2" w14:textId="77777777" w:rsidR="001C671E" w:rsidRDefault="00000000">
            <w:pPr>
              <w:spacing w:after="0" w:line="259" w:lineRule="auto"/>
              <w:ind w:left="87" w:right="0" w:firstLine="0"/>
              <w:jc w:val="left"/>
            </w:pPr>
            <w:r>
              <w:rPr>
                <w:sz w:val="17"/>
              </w:rPr>
              <w:t>LFP of white married women</w:t>
            </w:r>
          </w:p>
        </w:tc>
        <w:tc>
          <w:tcPr>
            <w:tcW w:w="996" w:type="dxa"/>
            <w:tcBorders>
              <w:top w:val="nil"/>
              <w:left w:val="nil"/>
              <w:bottom w:val="nil"/>
              <w:right w:val="nil"/>
            </w:tcBorders>
          </w:tcPr>
          <w:p w14:paraId="7CEFC540" w14:textId="77777777" w:rsidR="001C671E" w:rsidRDefault="00000000">
            <w:pPr>
              <w:spacing w:after="0" w:line="259" w:lineRule="auto"/>
              <w:ind w:left="66" w:right="0" w:firstLine="0"/>
              <w:jc w:val="left"/>
            </w:pPr>
            <w:r>
              <w:rPr>
                <w:sz w:val="17"/>
              </w:rPr>
              <w:t>0.081</w:t>
            </w:r>
          </w:p>
        </w:tc>
        <w:tc>
          <w:tcPr>
            <w:tcW w:w="1032" w:type="dxa"/>
            <w:tcBorders>
              <w:top w:val="nil"/>
              <w:left w:val="nil"/>
              <w:bottom w:val="nil"/>
              <w:right w:val="nil"/>
            </w:tcBorders>
          </w:tcPr>
          <w:p w14:paraId="156F165C" w14:textId="77777777" w:rsidR="001C671E" w:rsidRDefault="00000000">
            <w:pPr>
              <w:spacing w:after="0" w:line="259" w:lineRule="auto"/>
              <w:ind w:left="66" w:right="0" w:firstLine="0"/>
              <w:jc w:val="left"/>
            </w:pPr>
            <w:r>
              <w:rPr>
                <w:sz w:val="17"/>
              </w:rPr>
              <w:t>0.082</w:t>
            </w:r>
          </w:p>
        </w:tc>
        <w:tc>
          <w:tcPr>
            <w:tcW w:w="1060" w:type="dxa"/>
            <w:tcBorders>
              <w:top w:val="nil"/>
              <w:left w:val="nil"/>
              <w:bottom w:val="nil"/>
              <w:right w:val="nil"/>
            </w:tcBorders>
          </w:tcPr>
          <w:p w14:paraId="61B98B15" w14:textId="77777777" w:rsidR="001C671E" w:rsidRDefault="00000000">
            <w:pPr>
              <w:spacing w:after="0" w:line="259" w:lineRule="auto"/>
              <w:ind w:left="92" w:right="0" w:firstLine="0"/>
              <w:jc w:val="left"/>
            </w:pPr>
            <w:r>
              <w:rPr>
                <w:sz w:val="17"/>
              </w:rPr>
              <w:t>0.067</w:t>
            </w:r>
          </w:p>
        </w:tc>
        <w:tc>
          <w:tcPr>
            <w:tcW w:w="873" w:type="dxa"/>
            <w:tcBorders>
              <w:top w:val="nil"/>
              <w:left w:val="nil"/>
              <w:bottom w:val="nil"/>
              <w:right w:val="nil"/>
            </w:tcBorders>
          </w:tcPr>
          <w:p w14:paraId="26197F4B" w14:textId="77777777" w:rsidR="001C671E" w:rsidRDefault="00000000">
            <w:pPr>
              <w:spacing w:after="0" w:line="259" w:lineRule="auto"/>
              <w:ind w:left="90" w:right="0" w:firstLine="0"/>
              <w:jc w:val="left"/>
            </w:pPr>
            <w:r>
              <w:rPr>
                <w:sz w:val="17"/>
              </w:rPr>
              <w:t>0.079</w:t>
            </w:r>
          </w:p>
        </w:tc>
        <w:tc>
          <w:tcPr>
            <w:tcW w:w="904" w:type="dxa"/>
            <w:tcBorders>
              <w:top w:val="nil"/>
              <w:left w:val="nil"/>
              <w:bottom w:val="nil"/>
              <w:right w:val="nil"/>
            </w:tcBorders>
          </w:tcPr>
          <w:p w14:paraId="3B3531D8" w14:textId="77777777" w:rsidR="001C671E" w:rsidRDefault="00000000">
            <w:pPr>
              <w:spacing w:after="0" w:line="259" w:lineRule="auto"/>
              <w:ind w:left="147" w:right="0" w:firstLine="0"/>
              <w:jc w:val="left"/>
            </w:pPr>
            <w:r>
              <w:rPr>
                <w:sz w:val="17"/>
              </w:rPr>
              <w:t>0.011</w:t>
            </w:r>
            <w:r>
              <w:rPr>
                <w:sz w:val="17"/>
                <w:vertAlign w:val="superscript"/>
              </w:rPr>
              <w:t>∗∗</w:t>
            </w:r>
          </w:p>
        </w:tc>
      </w:tr>
      <w:tr w:rsidR="001C671E" w14:paraId="033E9FAF" w14:textId="77777777">
        <w:trPr>
          <w:trHeight w:val="314"/>
        </w:trPr>
        <w:tc>
          <w:tcPr>
            <w:tcW w:w="2610" w:type="dxa"/>
            <w:tcBorders>
              <w:top w:val="nil"/>
              <w:left w:val="nil"/>
              <w:bottom w:val="nil"/>
              <w:right w:val="nil"/>
            </w:tcBorders>
          </w:tcPr>
          <w:p w14:paraId="00A9E62E"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10F017BB" w14:textId="77777777" w:rsidR="001C671E" w:rsidRDefault="00000000">
            <w:pPr>
              <w:spacing w:after="0" w:line="259" w:lineRule="auto"/>
              <w:ind w:left="0" w:right="0" w:firstLine="0"/>
              <w:jc w:val="left"/>
            </w:pPr>
            <w:r>
              <w:rPr>
                <w:sz w:val="17"/>
              </w:rPr>
              <w:t>(0.001)</w:t>
            </w:r>
          </w:p>
        </w:tc>
        <w:tc>
          <w:tcPr>
            <w:tcW w:w="1032" w:type="dxa"/>
            <w:tcBorders>
              <w:top w:val="nil"/>
              <w:left w:val="nil"/>
              <w:bottom w:val="nil"/>
              <w:right w:val="nil"/>
            </w:tcBorders>
          </w:tcPr>
          <w:p w14:paraId="65CB2110" w14:textId="77777777" w:rsidR="001C671E" w:rsidRDefault="00000000">
            <w:pPr>
              <w:spacing w:after="0" w:line="259" w:lineRule="auto"/>
              <w:ind w:left="0" w:right="0" w:firstLine="0"/>
              <w:jc w:val="left"/>
            </w:pPr>
            <w:r>
              <w:rPr>
                <w:sz w:val="17"/>
              </w:rPr>
              <w:t>(0.002)</w:t>
            </w:r>
          </w:p>
        </w:tc>
        <w:tc>
          <w:tcPr>
            <w:tcW w:w="1060" w:type="dxa"/>
            <w:tcBorders>
              <w:top w:val="nil"/>
              <w:left w:val="nil"/>
              <w:bottom w:val="nil"/>
              <w:right w:val="nil"/>
            </w:tcBorders>
          </w:tcPr>
          <w:p w14:paraId="3CC06279" w14:textId="77777777" w:rsidR="001C671E" w:rsidRDefault="00000000">
            <w:pPr>
              <w:spacing w:after="0" w:line="259" w:lineRule="auto"/>
              <w:ind w:left="26" w:right="0" w:firstLine="0"/>
              <w:jc w:val="left"/>
            </w:pPr>
            <w:r>
              <w:rPr>
                <w:sz w:val="17"/>
              </w:rPr>
              <w:t>(0.003)</w:t>
            </w:r>
          </w:p>
        </w:tc>
        <w:tc>
          <w:tcPr>
            <w:tcW w:w="873" w:type="dxa"/>
            <w:tcBorders>
              <w:top w:val="nil"/>
              <w:left w:val="nil"/>
              <w:bottom w:val="nil"/>
              <w:right w:val="nil"/>
            </w:tcBorders>
          </w:tcPr>
          <w:p w14:paraId="3B8E8B15" w14:textId="77777777" w:rsidR="001C671E" w:rsidRDefault="00000000">
            <w:pPr>
              <w:spacing w:after="0" w:line="259" w:lineRule="auto"/>
              <w:ind w:left="24" w:right="0" w:firstLine="0"/>
              <w:jc w:val="left"/>
            </w:pPr>
            <w:r>
              <w:rPr>
                <w:sz w:val="17"/>
              </w:rPr>
              <w:t>(0.003)</w:t>
            </w:r>
          </w:p>
        </w:tc>
        <w:tc>
          <w:tcPr>
            <w:tcW w:w="904" w:type="dxa"/>
            <w:tcBorders>
              <w:top w:val="nil"/>
              <w:left w:val="nil"/>
              <w:bottom w:val="nil"/>
              <w:right w:val="nil"/>
            </w:tcBorders>
          </w:tcPr>
          <w:p w14:paraId="667A7746" w14:textId="77777777" w:rsidR="001C671E" w:rsidRDefault="001C671E">
            <w:pPr>
              <w:spacing w:after="160" w:line="259" w:lineRule="auto"/>
              <w:ind w:left="0" w:right="0" w:firstLine="0"/>
              <w:jc w:val="left"/>
            </w:pPr>
          </w:p>
        </w:tc>
      </w:tr>
      <w:tr w:rsidR="001C671E" w14:paraId="0B8DA796" w14:textId="77777777">
        <w:trPr>
          <w:trHeight w:val="314"/>
        </w:trPr>
        <w:tc>
          <w:tcPr>
            <w:tcW w:w="2610" w:type="dxa"/>
            <w:tcBorders>
              <w:top w:val="nil"/>
              <w:left w:val="nil"/>
              <w:bottom w:val="nil"/>
              <w:right w:val="nil"/>
            </w:tcBorders>
          </w:tcPr>
          <w:p w14:paraId="1480BB98" w14:textId="77777777" w:rsidR="001C671E" w:rsidRDefault="00000000">
            <w:pPr>
              <w:spacing w:after="0" w:line="259" w:lineRule="auto"/>
              <w:ind w:left="87" w:right="0" w:firstLine="0"/>
              <w:jc w:val="left"/>
            </w:pPr>
            <w:r>
              <w:rPr>
                <w:sz w:val="17"/>
              </w:rPr>
              <w:t>Num. children of marr. wom.</w:t>
            </w:r>
          </w:p>
        </w:tc>
        <w:tc>
          <w:tcPr>
            <w:tcW w:w="996" w:type="dxa"/>
            <w:tcBorders>
              <w:top w:val="nil"/>
              <w:left w:val="nil"/>
              <w:bottom w:val="nil"/>
              <w:right w:val="nil"/>
            </w:tcBorders>
          </w:tcPr>
          <w:p w14:paraId="29A9607B" w14:textId="77777777" w:rsidR="001C671E" w:rsidRDefault="00000000">
            <w:pPr>
              <w:spacing w:after="0" w:line="259" w:lineRule="auto"/>
              <w:ind w:left="66" w:right="0" w:firstLine="0"/>
              <w:jc w:val="left"/>
            </w:pPr>
            <w:r>
              <w:rPr>
                <w:sz w:val="17"/>
              </w:rPr>
              <w:t>2.036</w:t>
            </w:r>
          </w:p>
        </w:tc>
        <w:tc>
          <w:tcPr>
            <w:tcW w:w="1032" w:type="dxa"/>
            <w:tcBorders>
              <w:top w:val="nil"/>
              <w:left w:val="nil"/>
              <w:bottom w:val="nil"/>
              <w:right w:val="nil"/>
            </w:tcBorders>
          </w:tcPr>
          <w:p w14:paraId="61E72A3F" w14:textId="77777777" w:rsidR="001C671E" w:rsidRDefault="00000000">
            <w:pPr>
              <w:spacing w:after="0" w:line="259" w:lineRule="auto"/>
              <w:ind w:left="66" w:right="0" w:firstLine="0"/>
              <w:jc w:val="left"/>
            </w:pPr>
            <w:r>
              <w:rPr>
                <w:sz w:val="17"/>
              </w:rPr>
              <w:t>2.247</w:t>
            </w:r>
          </w:p>
        </w:tc>
        <w:tc>
          <w:tcPr>
            <w:tcW w:w="1060" w:type="dxa"/>
            <w:tcBorders>
              <w:top w:val="nil"/>
              <w:left w:val="nil"/>
              <w:bottom w:val="nil"/>
              <w:right w:val="nil"/>
            </w:tcBorders>
          </w:tcPr>
          <w:p w14:paraId="7C4C8B60" w14:textId="77777777" w:rsidR="001C671E" w:rsidRDefault="00000000">
            <w:pPr>
              <w:spacing w:after="0" w:line="259" w:lineRule="auto"/>
              <w:ind w:left="92" w:right="0" w:firstLine="0"/>
              <w:jc w:val="left"/>
            </w:pPr>
            <w:r>
              <w:rPr>
                <w:sz w:val="17"/>
              </w:rPr>
              <w:t>2.355</w:t>
            </w:r>
          </w:p>
        </w:tc>
        <w:tc>
          <w:tcPr>
            <w:tcW w:w="873" w:type="dxa"/>
            <w:tcBorders>
              <w:top w:val="nil"/>
              <w:left w:val="nil"/>
              <w:bottom w:val="nil"/>
              <w:right w:val="nil"/>
            </w:tcBorders>
          </w:tcPr>
          <w:p w14:paraId="1F8BCF93" w14:textId="77777777" w:rsidR="001C671E" w:rsidRDefault="00000000">
            <w:pPr>
              <w:spacing w:after="0" w:line="259" w:lineRule="auto"/>
              <w:ind w:left="90" w:right="0" w:firstLine="0"/>
              <w:jc w:val="left"/>
            </w:pPr>
            <w:r>
              <w:rPr>
                <w:sz w:val="17"/>
              </w:rPr>
              <w:t>2.308</w:t>
            </w:r>
          </w:p>
        </w:tc>
        <w:tc>
          <w:tcPr>
            <w:tcW w:w="904" w:type="dxa"/>
            <w:tcBorders>
              <w:top w:val="nil"/>
              <w:left w:val="nil"/>
              <w:bottom w:val="nil"/>
              <w:right w:val="nil"/>
            </w:tcBorders>
          </w:tcPr>
          <w:p w14:paraId="51A6EAE1" w14:textId="77777777" w:rsidR="001C671E" w:rsidRDefault="00000000">
            <w:pPr>
              <w:spacing w:after="0" w:line="259" w:lineRule="auto"/>
              <w:ind w:left="212" w:right="0" w:firstLine="0"/>
              <w:jc w:val="left"/>
            </w:pPr>
            <w:r>
              <w:rPr>
                <w:sz w:val="17"/>
              </w:rPr>
              <w:t>0.181</w:t>
            </w:r>
          </w:p>
        </w:tc>
      </w:tr>
      <w:tr w:rsidR="001C671E" w14:paraId="47BD9F4B" w14:textId="77777777">
        <w:trPr>
          <w:trHeight w:val="300"/>
        </w:trPr>
        <w:tc>
          <w:tcPr>
            <w:tcW w:w="2610" w:type="dxa"/>
            <w:tcBorders>
              <w:top w:val="nil"/>
              <w:left w:val="nil"/>
              <w:bottom w:val="nil"/>
              <w:right w:val="nil"/>
            </w:tcBorders>
          </w:tcPr>
          <w:p w14:paraId="5462E3E8"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70CE20E2" w14:textId="77777777" w:rsidR="001C671E" w:rsidRDefault="00000000">
            <w:pPr>
              <w:spacing w:after="0" w:line="259" w:lineRule="auto"/>
              <w:ind w:left="0" w:right="0" w:firstLine="0"/>
              <w:jc w:val="left"/>
            </w:pPr>
            <w:r>
              <w:rPr>
                <w:sz w:val="17"/>
              </w:rPr>
              <w:t>(0.007)</w:t>
            </w:r>
          </w:p>
        </w:tc>
        <w:tc>
          <w:tcPr>
            <w:tcW w:w="1032" w:type="dxa"/>
            <w:tcBorders>
              <w:top w:val="nil"/>
              <w:left w:val="nil"/>
              <w:bottom w:val="nil"/>
              <w:right w:val="nil"/>
            </w:tcBorders>
          </w:tcPr>
          <w:p w14:paraId="2ED063A1" w14:textId="77777777" w:rsidR="001C671E" w:rsidRDefault="00000000">
            <w:pPr>
              <w:spacing w:after="0" w:line="259" w:lineRule="auto"/>
              <w:ind w:left="0" w:right="0" w:firstLine="0"/>
              <w:jc w:val="left"/>
            </w:pPr>
            <w:r>
              <w:rPr>
                <w:sz w:val="17"/>
              </w:rPr>
              <w:t>(0.012)</w:t>
            </w:r>
          </w:p>
        </w:tc>
        <w:tc>
          <w:tcPr>
            <w:tcW w:w="1060" w:type="dxa"/>
            <w:tcBorders>
              <w:top w:val="nil"/>
              <w:left w:val="nil"/>
              <w:bottom w:val="nil"/>
              <w:right w:val="nil"/>
            </w:tcBorders>
          </w:tcPr>
          <w:p w14:paraId="0B8AF620" w14:textId="77777777" w:rsidR="001C671E" w:rsidRDefault="00000000">
            <w:pPr>
              <w:spacing w:after="0" w:line="259" w:lineRule="auto"/>
              <w:ind w:left="26" w:right="0" w:firstLine="0"/>
              <w:jc w:val="left"/>
            </w:pPr>
            <w:r>
              <w:rPr>
                <w:sz w:val="17"/>
              </w:rPr>
              <w:t>(0.029)</w:t>
            </w:r>
          </w:p>
        </w:tc>
        <w:tc>
          <w:tcPr>
            <w:tcW w:w="873" w:type="dxa"/>
            <w:tcBorders>
              <w:top w:val="nil"/>
              <w:left w:val="nil"/>
              <w:bottom w:val="nil"/>
              <w:right w:val="nil"/>
            </w:tcBorders>
          </w:tcPr>
          <w:p w14:paraId="6D10ECE8" w14:textId="77777777" w:rsidR="001C671E" w:rsidRDefault="00000000">
            <w:pPr>
              <w:spacing w:after="0" w:line="259" w:lineRule="auto"/>
              <w:ind w:left="66" w:right="0" w:firstLine="0"/>
              <w:jc w:val="left"/>
            </w:pPr>
            <w:r>
              <w:rPr>
                <w:sz w:val="17"/>
              </w:rPr>
              <w:t>(0.02)</w:t>
            </w:r>
          </w:p>
        </w:tc>
        <w:tc>
          <w:tcPr>
            <w:tcW w:w="904" w:type="dxa"/>
            <w:tcBorders>
              <w:top w:val="nil"/>
              <w:left w:val="nil"/>
              <w:bottom w:val="nil"/>
              <w:right w:val="nil"/>
            </w:tcBorders>
          </w:tcPr>
          <w:p w14:paraId="3D5D84D4" w14:textId="77777777" w:rsidR="001C671E" w:rsidRDefault="001C671E">
            <w:pPr>
              <w:spacing w:after="160" w:line="259" w:lineRule="auto"/>
              <w:ind w:left="0" w:right="0" w:firstLine="0"/>
              <w:jc w:val="left"/>
            </w:pPr>
          </w:p>
        </w:tc>
      </w:tr>
      <w:tr w:rsidR="001C671E" w14:paraId="70119002" w14:textId="77777777">
        <w:trPr>
          <w:trHeight w:val="329"/>
        </w:trPr>
        <w:tc>
          <w:tcPr>
            <w:tcW w:w="2610" w:type="dxa"/>
            <w:tcBorders>
              <w:top w:val="nil"/>
              <w:left w:val="nil"/>
              <w:bottom w:val="nil"/>
              <w:right w:val="nil"/>
            </w:tcBorders>
          </w:tcPr>
          <w:p w14:paraId="5094D7C3" w14:textId="77777777" w:rsidR="001C671E" w:rsidRDefault="00000000">
            <w:pPr>
              <w:spacing w:after="0" w:line="259" w:lineRule="auto"/>
              <w:ind w:left="87" w:right="0" w:firstLine="0"/>
              <w:jc w:val="left"/>
            </w:pPr>
            <w:r>
              <w:rPr>
                <w:sz w:val="17"/>
              </w:rPr>
              <w:t>Unemployment rate</w:t>
            </w:r>
          </w:p>
        </w:tc>
        <w:tc>
          <w:tcPr>
            <w:tcW w:w="996" w:type="dxa"/>
            <w:tcBorders>
              <w:top w:val="nil"/>
              <w:left w:val="nil"/>
              <w:bottom w:val="nil"/>
              <w:right w:val="nil"/>
            </w:tcBorders>
          </w:tcPr>
          <w:p w14:paraId="792633AC" w14:textId="77777777" w:rsidR="001C671E" w:rsidRDefault="00000000">
            <w:pPr>
              <w:spacing w:after="0" w:line="259" w:lineRule="auto"/>
              <w:ind w:left="66" w:right="0" w:firstLine="0"/>
              <w:jc w:val="left"/>
            </w:pPr>
            <w:r>
              <w:rPr>
                <w:sz w:val="17"/>
              </w:rPr>
              <w:t>0.054</w:t>
            </w:r>
          </w:p>
        </w:tc>
        <w:tc>
          <w:tcPr>
            <w:tcW w:w="1032" w:type="dxa"/>
            <w:tcBorders>
              <w:top w:val="nil"/>
              <w:left w:val="nil"/>
              <w:bottom w:val="nil"/>
              <w:right w:val="nil"/>
            </w:tcBorders>
          </w:tcPr>
          <w:p w14:paraId="49993389" w14:textId="77777777" w:rsidR="001C671E" w:rsidRDefault="00000000">
            <w:pPr>
              <w:spacing w:after="0" w:line="259" w:lineRule="auto"/>
              <w:ind w:left="66" w:right="0" w:firstLine="0"/>
              <w:jc w:val="left"/>
            </w:pPr>
            <w:r>
              <w:rPr>
                <w:sz w:val="17"/>
              </w:rPr>
              <w:t>0.042</w:t>
            </w:r>
          </w:p>
        </w:tc>
        <w:tc>
          <w:tcPr>
            <w:tcW w:w="1060" w:type="dxa"/>
            <w:tcBorders>
              <w:top w:val="nil"/>
              <w:left w:val="nil"/>
              <w:bottom w:val="nil"/>
              <w:right w:val="nil"/>
            </w:tcBorders>
          </w:tcPr>
          <w:p w14:paraId="155AF7E6" w14:textId="77777777" w:rsidR="001C671E" w:rsidRDefault="00000000">
            <w:pPr>
              <w:spacing w:after="0" w:line="259" w:lineRule="auto"/>
              <w:ind w:left="92" w:right="0" w:firstLine="0"/>
              <w:jc w:val="left"/>
            </w:pPr>
            <w:r>
              <w:rPr>
                <w:sz w:val="17"/>
              </w:rPr>
              <w:t>0.042</w:t>
            </w:r>
          </w:p>
        </w:tc>
        <w:tc>
          <w:tcPr>
            <w:tcW w:w="873" w:type="dxa"/>
            <w:tcBorders>
              <w:top w:val="nil"/>
              <w:left w:val="nil"/>
              <w:bottom w:val="nil"/>
              <w:right w:val="nil"/>
            </w:tcBorders>
          </w:tcPr>
          <w:p w14:paraId="5DE4DFF6" w14:textId="77777777" w:rsidR="001C671E" w:rsidRDefault="00000000">
            <w:pPr>
              <w:spacing w:after="0" w:line="259" w:lineRule="auto"/>
              <w:ind w:left="90" w:right="0" w:firstLine="0"/>
              <w:jc w:val="left"/>
            </w:pPr>
            <w:r>
              <w:rPr>
                <w:sz w:val="17"/>
              </w:rPr>
              <w:t>0.047</w:t>
            </w:r>
          </w:p>
        </w:tc>
        <w:tc>
          <w:tcPr>
            <w:tcW w:w="904" w:type="dxa"/>
            <w:tcBorders>
              <w:top w:val="nil"/>
              <w:left w:val="nil"/>
              <w:bottom w:val="nil"/>
              <w:right w:val="nil"/>
            </w:tcBorders>
          </w:tcPr>
          <w:p w14:paraId="3070BD0E" w14:textId="77777777" w:rsidR="001C671E" w:rsidRDefault="00000000">
            <w:pPr>
              <w:spacing w:after="0" w:line="259" w:lineRule="auto"/>
              <w:ind w:left="178" w:right="0" w:firstLine="0"/>
              <w:jc w:val="left"/>
            </w:pPr>
            <w:r>
              <w:rPr>
                <w:sz w:val="17"/>
              </w:rPr>
              <w:t>0.062</w:t>
            </w:r>
            <w:r>
              <w:rPr>
                <w:sz w:val="17"/>
                <w:vertAlign w:val="superscript"/>
              </w:rPr>
              <w:t>∗</w:t>
            </w:r>
          </w:p>
        </w:tc>
      </w:tr>
      <w:tr w:rsidR="001C671E" w14:paraId="2E508763" w14:textId="77777777">
        <w:trPr>
          <w:trHeight w:val="499"/>
        </w:trPr>
        <w:tc>
          <w:tcPr>
            <w:tcW w:w="4638" w:type="dxa"/>
            <w:gridSpan w:val="3"/>
            <w:tcBorders>
              <w:top w:val="nil"/>
              <w:left w:val="nil"/>
              <w:bottom w:val="single" w:sz="3" w:space="0" w:color="000000"/>
              <w:right w:val="nil"/>
            </w:tcBorders>
          </w:tcPr>
          <w:p w14:paraId="6CCE9954" w14:textId="77777777" w:rsidR="001C671E" w:rsidRDefault="00000000">
            <w:pPr>
              <w:tabs>
                <w:tab w:val="center" w:pos="2870"/>
                <w:tab w:val="center" w:pos="3865"/>
              </w:tabs>
              <w:spacing w:after="0" w:line="259" w:lineRule="auto"/>
              <w:ind w:left="0" w:right="0" w:firstLine="0"/>
              <w:jc w:val="left"/>
            </w:pPr>
            <w:r>
              <w:rPr>
                <w:rFonts w:ascii="Calibri" w:eastAsia="Calibri" w:hAnsi="Calibri" w:cs="Calibri"/>
                <w:sz w:val="22"/>
              </w:rPr>
              <w:tab/>
            </w:r>
            <w:r>
              <w:rPr>
                <w:sz w:val="17"/>
              </w:rPr>
              <w:t>(0.001)</w:t>
            </w:r>
            <w:r>
              <w:rPr>
                <w:sz w:val="17"/>
              </w:rPr>
              <w:tab/>
              <w:t>(0.001)</w:t>
            </w:r>
          </w:p>
        </w:tc>
        <w:tc>
          <w:tcPr>
            <w:tcW w:w="1060" w:type="dxa"/>
            <w:tcBorders>
              <w:top w:val="nil"/>
              <w:left w:val="nil"/>
              <w:bottom w:val="single" w:sz="3" w:space="0" w:color="000000"/>
              <w:right w:val="nil"/>
            </w:tcBorders>
          </w:tcPr>
          <w:p w14:paraId="4CDD2E6A" w14:textId="77777777" w:rsidR="001C671E" w:rsidRDefault="00000000">
            <w:pPr>
              <w:spacing w:after="0" w:line="259" w:lineRule="auto"/>
              <w:ind w:left="26" w:right="0" w:firstLine="0"/>
              <w:jc w:val="left"/>
            </w:pPr>
            <w:r>
              <w:rPr>
                <w:sz w:val="17"/>
              </w:rPr>
              <w:t>(0.002)</w:t>
            </w:r>
          </w:p>
        </w:tc>
        <w:tc>
          <w:tcPr>
            <w:tcW w:w="873" w:type="dxa"/>
            <w:tcBorders>
              <w:top w:val="nil"/>
              <w:left w:val="nil"/>
              <w:bottom w:val="single" w:sz="3" w:space="0" w:color="000000"/>
              <w:right w:val="nil"/>
            </w:tcBorders>
          </w:tcPr>
          <w:p w14:paraId="5C4A7EEF" w14:textId="77777777" w:rsidR="001C671E" w:rsidRDefault="00000000">
            <w:pPr>
              <w:spacing w:after="0" w:line="259" w:lineRule="auto"/>
              <w:ind w:left="24" w:right="0" w:firstLine="0"/>
              <w:jc w:val="left"/>
            </w:pPr>
            <w:r>
              <w:rPr>
                <w:sz w:val="17"/>
              </w:rPr>
              <w:t>(0.002)</w:t>
            </w:r>
          </w:p>
        </w:tc>
        <w:tc>
          <w:tcPr>
            <w:tcW w:w="904" w:type="dxa"/>
            <w:tcBorders>
              <w:top w:val="nil"/>
              <w:left w:val="nil"/>
              <w:bottom w:val="single" w:sz="3" w:space="0" w:color="000000"/>
              <w:right w:val="nil"/>
            </w:tcBorders>
          </w:tcPr>
          <w:p w14:paraId="30F47C47" w14:textId="77777777" w:rsidR="001C671E" w:rsidRDefault="001C671E">
            <w:pPr>
              <w:spacing w:after="160" w:line="259" w:lineRule="auto"/>
              <w:ind w:left="0" w:right="0" w:firstLine="0"/>
              <w:jc w:val="left"/>
            </w:pPr>
          </w:p>
        </w:tc>
      </w:tr>
      <w:tr w:rsidR="001C671E" w14:paraId="151E80CA" w14:textId="77777777">
        <w:trPr>
          <w:trHeight w:val="401"/>
        </w:trPr>
        <w:tc>
          <w:tcPr>
            <w:tcW w:w="4638" w:type="dxa"/>
            <w:gridSpan w:val="3"/>
            <w:tcBorders>
              <w:top w:val="single" w:sz="3" w:space="0" w:color="000000"/>
              <w:left w:val="nil"/>
              <w:bottom w:val="single" w:sz="3" w:space="0" w:color="000000"/>
              <w:right w:val="nil"/>
            </w:tcBorders>
          </w:tcPr>
          <w:p w14:paraId="6266A167" w14:textId="77777777" w:rsidR="001C671E" w:rsidRDefault="00000000">
            <w:pPr>
              <w:spacing w:after="0" w:line="259" w:lineRule="auto"/>
              <w:ind w:left="87" w:right="0" w:firstLine="0"/>
              <w:jc w:val="left"/>
            </w:pPr>
            <w:r>
              <w:rPr>
                <w:sz w:val="17"/>
              </w:rPr>
              <w:t>Panel B: County Statistics on White Teachers</w:t>
            </w:r>
          </w:p>
        </w:tc>
        <w:tc>
          <w:tcPr>
            <w:tcW w:w="1060" w:type="dxa"/>
            <w:tcBorders>
              <w:top w:val="single" w:sz="3" w:space="0" w:color="000000"/>
              <w:left w:val="nil"/>
              <w:bottom w:val="single" w:sz="3" w:space="0" w:color="000000"/>
              <w:right w:val="nil"/>
            </w:tcBorders>
          </w:tcPr>
          <w:p w14:paraId="164ACE5A" w14:textId="77777777" w:rsidR="001C671E" w:rsidRDefault="001C671E">
            <w:pPr>
              <w:spacing w:after="160" w:line="259" w:lineRule="auto"/>
              <w:ind w:left="0" w:right="0" w:firstLine="0"/>
              <w:jc w:val="left"/>
            </w:pPr>
          </w:p>
        </w:tc>
        <w:tc>
          <w:tcPr>
            <w:tcW w:w="873" w:type="dxa"/>
            <w:tcBorders>
              <w:top w:val="single" w:sz="3" w:space="0" w:color="000000"/>
              <w:left w:val="nil"/>
              <w:bottom w:val="single" w:sz="3" w:space="0" w:color="000000"/>
              <w:right w:val="nil"/>
            </w:tcBorders>
          </w:tcPr>
          <w:p w14:paraId="4EDB15AE" w14:textId="77777777" w:rsidR="001C671E" w:rsidRDefault="001C671E">
            <w:pPr>
              <w:spacing w:after="160" w:line="259" w:lineRule="auto"/>
              <w:ind w:left="0" w:right="0" w:firstLine="0"/>
              <w:jc w:val="left"/>
            </w:pPr>
          </w:p>
        </w:tc>
        <w:tc>
          <w:tcPr>
            <w:tcW w:w="904" w:type="dxa"/>
            <w:tcBorders>
              <w:top w:val="single" w:sz="3" w:space="0" w:color="000000"/>
              <w:left w:val="nil"/>
              <w:bottom w:val="single" w:sz="3" w:space="0" w:color="000000"/>
              <w:right w:val="nil"/>
            </w:tcBorders>
          </w:tcPr>
          <w:p w14:paraId="45DB9CE3" w14:textId="77777777" w:rsidR="001C671E" w:rsidRDefault="001C671E">
            <w:pPr>
              <w:spacing w:after="160" w:line="259" w:lineRule="auto"/>
              <w:ind w:left="0" w:right="0" w:firstLine="0"/>
              <w:jc w:val="left"/>
            </w:pPr>
          </w:p>
        </w:tc>
      </w:tr>
      <w:tr w:rsidR="001C671E" w14:paraId="6DA51EC5" w14:textId="77777777">
        <w:trPr>
          <w:trHeight w:val="387"/>
        </w:trPr>
        <w:tc>
          <w:tcPr>
            <w:tcW w:w="2610" w:type="dxa"/>
            <w:tcBorders>
              <w:top w:val="single" w:sz="3" w:space="0" w:color="000000"/>
              <w:left w:val="nil"/>
              <w:bottom w:val="nil"/>
              <w:right w:val="nil"/>
            </w:tcBorders>
          </w:tcPr>
          <w:p w14:paraId="4E3F946E" w14:textId="77777777" w:rsidR="001C671E" w:rsidRDefault="00000000">
            <w:pPr>
              <w:spacing w:after="0" w:line="259" w:lineRule="auto"/>
              <w:ind w:left="87" w:right="0" w:firstLine="0"/>
              <w:jc w:val="left"/>
            </w:pPr>
            <w:r>
              <w:rPr>
                <w:sz w:val="17"/>
              </w:rPr>
              <w:t>Student/teacher ratio</w:t>
            </w:r>
          </w:p>
        </w:tc>
        <w:tc>
          <w:tcPr>
            <w:tcW w:w="996" w:type="dxa"/>
            <w:tcBorders>
              <w:top w:val="single" w:sz="3" w:space="0" w:color="000000"/>
              <w:left w:val="nil"/>
              <w:bottom w:val="nil"/>
              <w:right w:val="nil"/>
            </w:tcBorders>
          </w:tcPr>
          <w:p w14:paraId="782E3200" w14:textId="77777777" w:rsidR="001C671E" w:rsidRDefault="00000000">
            <w:pPr>
              <w:spacing w:after="0" w:line="259" w:lineRule="auto"/>
              <w:ind w:left="66" w:right="0" w:firstLine="0"/>
              <w:jc w:val="left"/>
            </w:pPr>
            <w:r>
              <w:rPr>
                <w:sz w:val="17"/>
              </w:rPr>
              <w:t>33.85</w:t>
            </w:r>
          </w:p>
        </w:tc>
        <w:tc>
          <w:tcPr>
            <w:tcW w:w="1032" w:type="dxa"/>
            <w:tcBorders>
              <w:top w:val="single" w:sz="3" w:space="0" w:color="000000"/>
              <w:left w:val="nil"/>
              <w:bottom w:val="nil"/>
              <w:right w:val="nil"/>
            </w:tcBorders>
          </w:tcPr>
          <w:p w14:paraId="1F411560" w14:textId="77777777" w:rsidR="001C671E" w:rsidRDefault="00000000">
            <w:pPr>
              <w:spacing w:after="0" w:line="259" w:lineRule="auto"/>
              <w:ind w:left="66" w:right="0" w:firstLine="0"/>
              <w:jc w:val="left"/>
            </w:pPr>
            <w:r>
              <w:rPr>
                <w:sz w:val="17"/>
              </w:rPr>
              <w:t>46.37</w:t>
            </w:r>
          </w:p>
        </w:tc>
        <w:tc>
          <w:tcPr>
            <w:tcW w:w="1060" w:type="dxa"/>
            <w:tcBorders>
              <w:top w:val="single" w:sz="3" w:space="0" w:color="000000"/>
              <w:left w:val="nil"/>
              <w:bottom w:val="nil"/>
              <w:right w:val="nil"/>
            </w:tcBorders>
          </w:tcPr>
          <w:p w14:paraId="1EDDC298" w14:textId="77777777" w:rsidR="001C671E" w:rsidRDefault="00000000">
            <w:pPr>
              <w:spacing w:after="0" w:line="259" w:lineRule="auto"/>
              <w:ind w:left="134" w:right="0" w:firstLine="0"/>
              <w:jc w:val="left"/>
            </w:pPr>
            <w:r>
              <w:rPr>
                <w:sz w:val="17"/>
              </w:rPr>
              <w:t>47.3</w:t>
            </w:r>
          </w:p>
        </w:tc>
        <w:tc>
          <w:tcPr>
            <w:tcW w:w="873" w:type="dxa"/>
            <w:tcBorders>
              <w:top w:val="single" w:sz="3" w:space="0" w:color="000000"/>
              <w:left w:val="nil"/>
              <w:bottom w:val="nil"/>
              <w:right w:val="nil"/>
            </w:tcBorders>
          </w:tcPr>
          <w:p w14:paraId="3C7EF5F8" w14:textId="77777777" w:rsidR="001C671E" w:rsidRDefault="00000000">
            <w:pPr>
              <w:spacing w:after="0" w:line="259" w:lineRule="auto"/>
              <w:ind w:left="90" w:right="0" w:firstLine="0"/>
              <w:jc w:val="left"/>
            </w:pPr>
            <w:r>
              <w:rPr>
                <w:sz w:val="17"/>
              </w:rPr>
              <w:t>42.14</w:t>
            </w:r>
          </w:p>
        </w:tc>
        <w:tc>
          <w:tcPr>
            <w:tcW w:w="904" w:type="dxa"/>
            <w:tcBorders>
              <w:top w:val="single" w:sz="3" w:space="0" w:color="000000"/>
              <w:left w:val="nil"/>
              <w:bottom w:val="nil"/>
              <w:right w:val="nil"/>
            </w:tcBorders>
            <w:vAlign w:val="center"/>
          </w:tcPr>
          <w:p w14:paraId="6DAF0023" w14:textId="77777777" w:rsidR="001C671E" w:rsidRDefault="00000000">
            <w:pPr>
              <w:spacing w:after="0" w:line="259" w:lineRule="auto"/>
              <w:ind w:left="117" w:right="0" w:firstLine="0"/>
              <w:jc w:val="left"/>
            </w:pPr>
            <w:r>
              <w:rPr>
                <w:sz w:val="17"/>
              </w:rPr>
              <w:t>0.000</w:t>
            </w:r>
            <w:r>
              <w:rPr>
                <w:sz w:val="17"/>
                <w:vertAlign w:val="superscript"/>
              </w:rPr>
              <w:t>∗∗∗</w:t>
            </w:r>
          </w:p>
        </w:tc>
      </w:tr>
      <w:tr w:rsidR="001C671E" w14:paraId="6B54AE41" w14:textId="77777777">
        <w:trPr>
          <w:trHeight w:val="314"/>
        </w:trPr>
        <w:tc>
          <w:tcPr>
            <w:tcW w:w="2610" w:type="dxa"/>
            <w:tcBorders>
              <w:top w:val="nil"/>
              <w:left w:val="nil"/>
              <w:bottom w:val="nil"/>
              <w:right w:val="nil"/>
            </w:tcBorders>
          </w:tcPr>
          <w:p w14:paraId="729A66AC"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2861BF1C" w14:textId="77777777" w:rsidR="001C671E" w:rsidRDefault="00000000">
            <w:pPr>
              <w:spacing w:after="0" w:line="259" w:lineRule="auto"/>
              <w:ind w:left="42" w:right="0" w:firstLine="0"/>
              <w:jc w:val="left"/>
            </w:pPr>
            <w:r>
              <w:rPr>
                <w:sz w:val="17"/>
              </w:rPr>
              <w:t>(0.26)</w:t>
            </w:r>
          </w:p>
        </w:tc>
        <w:tc>
          <w:tcPr>
            <w:tcW w:w="1032" w:type="dxa"/>
            <w:tcBorders>
              <w:top w:val="nil"/>
              <w:left w:val="nil"/>
              <w:bottom w:val="nil"/>
              <w:right w:val="nil"/>
            </w:tcBorders>
          </w:tcPr>
          <w:p w14:paraId="48ED5AEE" w14:textId="77777777" w:rsidR="001C671E" w:rsidRDefault="00000000">
            <w:pPr>
              <w:spacing w:after="0" w:line="259" w:lineRule="auto"/>
              <w:ind w:left="0" w:right="0" w:firstLine="0"/>
              <w:jc w:val="left"/>
            </w:pPr>
            <w:r>
              <w:rPr>
                <w:sz w:val="17"/>
              </w:rPr>
              <w:t>(0.466)</w:t>
            </w:r>
          </w:p>
        </w:tc>
        <w:tc>
          <w:tcPr>
            <w:tcW w:w="1060" w:type="dxa"/>
            <w:tcBorders>
              <w:top w:val="nil"/>
              <w:left w:val="nil"/>
              <w:bottom w:val="nil"/>
              <w:right w:val="nil"/>
            </w:tcBorders>
          </w:tcPr>
          <w:p w14:paraId="54C63A6C" w14:textId="77777777" w:rsidR="001C671E" w:rsidRDefault="00000000">
            <w:pPr>
              <w:spacing w:after="0" w:line="259" w:lineRule="auto"/>
              <w:ind w:left="26" w:right="0" w:firstLine="0"/>
              <w:jc w:val="left"/>
            </w:pPr>
            <w:r>
              <w:rPr>
                <w:sz w:val="17"/>
              </w:rPr>
              <w:t>(0.934)</w:t>
            </w:r>
          </w:p>
        </w:tc>
        <w:tc>
          <w:tcPr>
            <w:tcW w:w="873" w:type="dxa"/>
            <w:tcBorders>
              <w:top w:val="nil"/>
              <w:left w:val="nil"/>
              <w:bottom w:val="nil"/>
              <w:right w:val="nil"/>
            </w:tcBorders>
          </w:tcPr>
          <w:p w14:paraId="53BC1288" w14:textId="77777777" w:rsidR="001C671E" w:rsidRDefault="00000000">
            <w:pPr>
              <w:spacing w:after="0" w:line="259" w:lineRule="auto"/>
              <w:ind w:left="23" w:right="0" w:firstLine="0"/>
              <w:jc w:val="left"/>
            </w:pPr>
            <w:r>
              <w:rPr>
                <w:sz w:val="17"/>
              </w:rPr>
              <w:t>(0.723)</w:t>
            </w:r>
          </w:p>
        </w:tc>
        <w:tc>
          <w:tcPr>
            <w:tcW w:w="904" w:type="dxa"/>
            <w:tcBorders>
              <w:top w:val="nil"/>
              <w:left w:val="nil"/>
              <w:bottom w:val="nil"/>
              <w:right w:val="nil"/>
            </w:tcBorders>
          </w:tcPr>
          <w:p w14:paraId="711FC851" w14:textId="77777777" w:rsidR="001C671E" w:rsidRDefault="001C671E">
            <w:pPr>
              <w:spacing w:after="160" w:line="259" w:lineRule="auto"/>
              <w:ind w:left="0" w:right="0" w:firstLine="0"/>
              <w:jc w:val="left"/>
            </w:pPr>
          </w:p>
        </w:tc>
      </w:tr>
      <w:tr w:rsidR="001C671E" w14:paraId="3494D444" w14:textId="77777777">
        <w:trPr>
          <w:trHeight w:val="314"/>
        </w:trPr>
        <w:tc>
          <w:tcPr>
            <w:tcW w:w="2610" w:type="dxa"/>
            <w:tcBorders>
              <w:top w:val="nil"/>
              <w:left w:val="nil"/>
              <w:bottom w:val="nil"/>
              <w:right w:val="nil"/>
            </w:tcBorders>
          </w:tcPr>
          <w:p w14:paraId="2AADE3EF" w14:textId="77777777" w:rsidR="001C671E" w:rsidRDefault="00000000">
            <w:pPr>
              <w:spacing w:after="0" w:line="259" w:lineRule="auto"/>
              <w:ind w:left="87" w:right="0" w:firstLine="0"/>
              <w:jc w:val="left"/>
            </w:pPr>
            <w:r>
              <w:rPr>
                <w:sz w:val="17"/>
              </w:rPr>
              <w:t>Share men</w:t>
            </w:r>
          </w:p>
        </w:tc>
        <w:tc>
          <w:tcPr>
            <w:tcW w:w="996" w:type="dxa"/>
            <w:tcBorders>
              <w:top w:val="nil"/>
              <w:left w:val="nil"/>
              <w:bottom w:val="nil"/>
              <w:right w:val="nil"/>
            </w:tcBorders>
          </w:tcPr>
          <w:p w14:paraId="6C0E0616" w14:textId="77777777" w:rsidR="001C671E" w:rsidRDefault="00000000">
            <w:pPr>
              <w:spacing w:after="0" w:line="259" w:lineRule="auto"/>
              <w:ind w:left="66" w:right="0" w:firstLine="0"/>
              <w:jc w:val="left"/>
            </w:pPr>
            <w:r>
              <w:rPr>
                <w:sz w:val="17"/>
              </w:rPr>
              <w:t>0.196</w:t>
            </w:r>
          </w:p>
        </w:tc>
        <w:tc>
          <w:tcPr>
            <w:tcW w:w="1032" w:type="dxa"/>
            <w:tcBorders>
              <w:top w:val="nil"/>
              <w:left w:val="nil"/>
              <w:bottom w:val="nil"/>
              <w:right w:val="nil"/>
            </w:tcBorders>
          </w:tcPr>
          <w:p w14:paraId="710C7805" w14:textId="77777777" w:rsidR="001C671E" w:rsidRDefault="00000000">
            <w:pPr>
              <w:spacing w:after="0" w:line="259" w:lineRule="auto"/>
              <w:ind w:left="66" w:right="0" w:firstLine="0"/>
              <w:jc w:val="left"/>
            </w:pPr>
            <w:r>
              <w:rPr>
                <w:sz w:val="17"/>
              </w:rPr>
              <w:t>0.191</w:t>
            </w:r>
          </w:p>
        </w:tc>
        <w:tc>
          <w:tcPr>
            <w:tcW w:w="1060" w:type="dxa"/>
            <w:tcBorders>
              <w:top w:val="nil"/>
              <w:left w:val="nil"/>
              <w:bottom w:val="nil"/>
              <w:right w:val="nil"/>
            </w:tcBorders>
          </w:tcPr>
          <w:p w14:paraId="066545BD" w14:textId="77777777" w:rsidR="001C671E" w:rsidRDefault="00000000">
            <w:pPr>
              <w:spacing w:after="0" w:line="259" w:lineRule="auto"/>
              <w:ind w:left="92" w:right="0" w:firstLine="0"/>
              <w:jc w:val="left"/>
            </w:pPr>
            <w:r>
              <w:rPr>
                <w:sz w:val="17"/>
              </w:rPr>
              <w:t>0.219</w:t>
            </w:r>
          </w:p>
        </w:tc>
        <w:tc>
          <w:tcPr>
            <w:tcW w:w="873" w:type="dxa"/>
            <w:tcBorders>
              <w:top w:val="nil"/>
              <w:left w:val="nil"/>
              <w:bottom w:val="nil"/>
              <w:right w:val="nil"/>
            </w:tcBorders>
          </w:tcPr>
          <w:p w14:paraId="7631291E" w14:textId="77777777" w:rsidR="001C671E" w:rsidRDefault="00000000">
            <w:pPr>
              <w:spacing w:after="0" w:line="259" w:lineRule="auto"/>
              <w:ind w:left="90" w:right="0" w:firstLine="0"/>
              <w:jc w:val="left"/>
            </w:pPr>
            <w:r>
              <w:rPr>
                <w:sz w:val="17"/>
              </w:rPr>
              <w:t>0.206</w:t>
            </w:r>
          </w:p>
        </w:tc>
        <w:tc>
          <w:tcPr>
            <w:tcW w:w="904" w:type="dxa"/>
            <w:tcBorders>
              <w:top w:val="nil"/>
              <w:left w:val="nil"/>
              <w:bottom w:val="nil"/>
              <w:right w:val="nil"/>
            </w:tcBorders>
          </w:tcPr>
          <w:p w14:paraId="57034C59" w14:textId="77777777" w:rsidR="001C671E" w:rsidRDefault="00000000">
            <w:pPr>
              <w:spacing w:after="0" w:line="259" w:lineRule="auto"/>
              <w:ind w:left="212" w:right="0" w:firstLine="0"/>
              <w:jc w:val="left"/>
            </w:pPr>
            <w:r>
              <w:rPr>
                <w:sz w:val="17"/>
              </w:rPr>
              <w:t>0.136</w:t>
            </w:r>
          </w:p>
        </w:tc>
      </w:tr>
      <w:tr w:rsidR="001C671E" w14:paraId="61C93473" w14:textId="77777777">
        <w:trPr>
          <w:trHeight w:val="300"/>
        </w:trPr>
        <w:tc>
          <w:tcPr>
            <w:tcW w:w="2610" w:type="dxa"/>
            <w:tcBorders>
              <w:top w:val="nil"/>
              <w:left w:val="nil"/>
              <w:bottom w:val="nil"/>
              <w:right w:val="nil"/>
            </w:tcBorders>
          </w:tcPr>
          <w:p w14:paraId="4C9FF7B0"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2FEE039D" w14:textId="77777777" w:rsidR="001C671E" w:rsidRDefault="00000000">
            <w:pPr>
              <w:spacing w:after="0" w:line="259" w:lineRule="auto"/>
              <w:ind w:left="0" w:right="0" w:firstLine="0"/>
              <w:jc w:val="left"/>
            </w:pPr>
            <w:r>
              <w:rPr>
                <w:sz w:val="17"/>
              </w:rPr>
              <w:t>(0.002)</w:t>
            </w:r>
          </w:p>
        </w:tc>
        <w:tc>
          <w:tcPr>
            <w:tcW w:w="1032" w:type="dxa"/>
            <w:tcBorders>
              <w:top w:val="nil"/>
              <w:left w:val="nil"/>
              <w:bottom w:val="nil"/>
              <w:right w:val="nil"/>
            </w:tcBorders>
          </w:tcPr>
          <w:p w14:paraId="590D6E5B" w14:textId="77777777" w:rsidR="001C671E" w:rsidRDefault="00000000">
            <w:pPr>
              <w:spacing w:after="0" w:line="259" w:lineRule="auto"/>
              <w:ind w:left="0" w:right="0" w:firstLine="0"/>
              <w:jc w:val="left"/>
            </w:pPr>
            <w:r>
              <w:rPr>
                <w:sz w:val="17"/>
              </w:rPr>
              <w:t>(0.003)</w:t>
            </w:r>
          </w:p>
        </w:tc>
        <w:tc>
          <w:tcPr>
            <w:tcW w:w="1060" w:type="dxa"/>
            <w:tcBorders>
              <w:top w:val="nil"/>
              <w:left w:val="nil"/>
              <w:bottom w:val="nil"/>
              <w:right w:val="nil"/>
            </w:tcBorders>
          </w:tcPr>
          <w:p w14:paraId="734F8E78" w14:textId="77777777" w:rsidR="001C671E" w:rsidRDefault="00000000">
            <w:pPr>
              <w:spacing w:after="0" w:line="259" w:lineRule="auto"/>
              <w:ind w:left="26" w:right="0" w:firstLine="0"/>
              <w:jc w:val="left"/>
            </w:pPr>
            <w:r>
              <w:rPr>
                <w:sz w:val="17"/>
              </w:rPr>
              <w:t>(0.006)</w:t>
            </w:r>
          </w:p>
        </w:tc>
        <w:tc>
          <w:tcPr>
            <w:tcW w:w="873" w:type="dxa"/>
            <w:tcBorders>
              <w:top w:val="nil"/>
              <w:left w:val="nil"/>
              <w:bottom w:val="nil"/>
              <w:right w:val="nil"/>
            </w:tcBorders>
          </w:tcPr>
          <w:p w14:paraId="4E1983A2" w14:textId="77777777" w:rsidR="001C671E" w:rsidRDefault="00000000">
            <w:pPr>
              <w:spacing w:after="0" w:line="259" w:lineRule="auto"/>
              <w:ind w:left="24" w:right="0" w:firstLine="0"/>
              <w:jc w:val="left"/>
            </w:pPr>
            <w:r>
              <w:rPr>
                <w:sz w:val="17"/>
              </w:rPr>
              <w:t>(0.006)</w:t>
            </w:r>
          </w:p>
        </w:tc>
        <w:tc>
          <w:tcPr>
            <w:tcW w:w="904" w:type="dxa"/>
            <w:tcBorders>
              <w:top w:val="nil"/>
              <w:left w:val="nil"/>
              <w:bottom w:val="nil"/>
              <w:right w:val="nil"/>
            </w:tcBorders>
          </w:tcPr>
          <w:p w14:paraId="43DBC960" w14:textId="77777777" w:rsidR="001C671E" w:rsidRDefault="001C671E">
            <w:pPr>
              <w:spacing w:after="160" w:line="259" w:lineRule="auto"/>
              <w:ind w:left="0" w:right="0" w:firstLine="0"/>
              <w:jc w:val="left"/>
            </w:pPr>
          </w:p>
        </w:tc>
      </w:tr>
      <w:tr w:rsidR="001C671E" w14:paraId="1BF04ED0" w14:textId="77777777">
        <w:trPr>
          <w:trHeight w:val="329"/>
        </w:trPr>
        <w:tc>
          <w:tcPr>
            <w:tcW w:w="2610" w:type="dxa"/>
            <w:tcBorders>
              <w:top w:val="nil"/>
              <w:left w:val="nil"/>
              <w:bottom w:val="nil"/>
              <w:right w:val="nil"/>
            </w:tcBorders>
          </w:tcPr>
          <w:p w14:paraId="7EEE120A" w14:textId="77777777" w:rsidR="001C671E" w:rsidRDefault="00000000">
            <w:pPr>
              <w:spacing w:after="0" w:line="259" w:lineRule="auto"/>
              <w:ind w:left="87" w:right="0" w:firstLine="0"/>
              <w:jc w:val="left"/>
            </w:pPr>
            <w:r>
              <w:rPr>
                <w:sz w:val="17"/>
              </w:rPr>
              <w:t>Share single women</w:t>
            </w:r>
          </w:p>
        </w:tc>
        <w:tc>
          <w:tcPr>
            <w:tcW w:w="996" w:type="dxa"/>
            <w:tcBorders>
              <w:top w:val="nil"/>
              <w:left w:val="nil"/>
              <w:bottom w:val="nil"/>
              <w:right w:val="nil"/>
            </w:tcBorders>
          </w:tcPr>
          <w:p w14:paraId="0E3709EA" w14:textId="77777777" w:rsidR="001C671E" w:rsidRDefault="00000000">
            <w:pPr>
              <w:spacing w:after="0" w:line="259" w:lineRule="auto"/>
              <w:ind w:left="66" w:right="0" w:firstLine="0"/>
              <w:jc w:val="left"/>
            </w:pPr>
            <w:r>
              <w:rPr>
                <w:sz w:val="17"/>
              </w:rPr>
              <w:t>0.636</w:t>
            </w:r>
          </w:p>
        </w:tc>
        <w:tc>
          <w:tcPr>
            <w:tcW w:w="1032" w:type="dxa"/>
            <w:tcBorders>
              <w:top w:val="nil"/>
              <w:left w:val="nil"/>
              <w:bottom w:val="nil"/>
              <w:right w:val="nil"/>
            </w:tcBorders>
          </w:tcPr>
          <w:p w14:paraId="70840848" w14:textId="77777777" w:rsidR="001C671E" w:rsidRDefault="00000000">
            <w:pPr>
              <w:spacing w:after="0" w:line="259" w:lineRule="auto"/>
              <w:ind w:left="66" w:right="0" w:firstLine="0"/>
              <w:jc w:val="left"/>
            </w:pPr>
            <w:r>
              <w:rPr>
                <w:sz w:val="17"/>
              </w:rPr>
              <w:t>0.615</w:t>
            </w:r>
          </w:p>
        </w:tc>
        <w:tc>
          <w:tcPr>
            <w:tcW w:w="1060" w:type="dxa"/>
            <w:tcBorders>
              <w:top w:val="nil"/>
              <w:left w:val="nil"/>
              <w:bottom w:val="nil"/>
              <w:right w:val="nil"/>
            </w:tcBorders>
          </w:tcPr>
          <w:p w14:paraId="143EADCA" w14:textId="77777777" w:rsidR="001C671E" w:rsidRDefault="00000000">
            <w:pPr>
              <w:spacing w:after="0" w:line="259" w:lineRule="auto"/>
              <w:ind w:left="92" w:right="0" w:firstLine="0"/>
              <w:jc w:val="left"/>
            </w:pPr>
            <w:r>
              <w:rPr>
                <w:sz w:val="17"/>
              </w:rPr>
              <w:t>0.604</w:t>
            </w:r>
          </w:p>
        </w:tc>
        <w:tc>
          <w:tcPr>
            <w:tcW w:w="873" w:type="dxa"/>
            <w:tcBorders>
              <w:top w:val="nil"/>
              <w:left w:val="nil"/>
              <w:bottom w:val="nil"/>
              <w:right w:val="nil"/>
            </w:tcBorders>
          </w:tcPr>
          <w:p w14:paraId="439DED22" w14:textId="77777777" w:rsidR="001C671E" w:rsidRDefault="00000000">
            <w:pPr>
              <w:spacing w:after="0" w:line="259" w:lineRule="auto"/>
              <w:ind w:left="132" w:right="0" w:firstLine="0"/>
              <w:jc w:val="left"/>
            </w:pPr>
            <w:r>
              <w:rPr>
                <w:sz w:val="17"/>
              </w:rPr>
              <w:t>0.62</w:t>
            </w:r>
          </w:p>
        </w:tc>
        <w:tc>
          <w:tcPr>
            <w:tcW w:w="904" w:type="dxa"/>
            <w:tcBorders>
              <w:top w:val="nil"/>
              <w:left w:val="nil"/>
              <w:bottom w:val="nil"/>
              <w:right w:val="nil"/>
            </w:tcBorders>
          </w:tcPr>
          <w:p w14:paraId="1C9F0786" w14:textId="77777777" w:rsidR="001C671E" w:rsidRDefault="00000000">
            <w:pPr>
              <w:spacing w:after="0" w:line="259" w:lineRule="auto"/>
              <w:ind w:left="178" w:right="0" w:firstLine="0"/>
              <w:jc w:val="left"/>
            </w:pPr>
            <w:r>
              <w:rPr>
                <w:sz w:val="17"/>
              </w:rPr>
              <w:t>0.075</w:t>
            </w:r>
            <w:r>
              <w:rPr>
                <w:sz w:val="17"/>
                <w:vertAlign w:val="superscript"/>
              </w:rPr>
              <w:t>∗</w:t>
            </w:r>
          </w:p>
        </w:tc>
      </w:tr>
      <w:tr w:rsidR="001C671E" w14:paraId="4F640184" w14:textId="77777777">
        <w:trPr>
          <w:trHeight w:val="314"/>
        </w:trPr>
        <w:tc>
          <w:tcPr>
            <w:tcW w:w="2610" w:type="dxa"/>
            <w:tcBorders>
              <w:top w:val="nil"/>
              <w:left w:val="nil"/>
              <w:bottom w:val="nil"/>
              <w:right w:val="nil"/>
            </w:tcBorders>
          </w:tcPr>
          <w:p w14:paraId="6D0C3EB4" w14:textId="77777777" w:rsidR="001C671E" w:rsidRDefault="001C671E">
            <w:pPr>
              <w:spacing w:after="160" w:line="259" w:lineRule="auto"/>
              <w:ind w:left="0" w:right="0" w:firstLine="0"/>
              <w:jc w:val="left"/>
            </w:pPr>
          </w:p>
        </w:tc>
        <w:tc>
          <w:tcPr>
            <w:tcW w:w="996" w:type="dxa"/>
            <w:tcBorders>
              <w:top w:val="nil"/>
              <w:left w:val="nil"/>
              <w:bottom w:val="nil"/>
              <w:right w:val="nil"/>
            </w:tcBorders>
          </w:tcPr>
          <w:p w14:paraId="09CE61A0" w14:textId="77777777" w:rsidR="001C671E" w:rsidRDefault="00000000">
            <w:pPr>
              <w:spacing w:after="0" w:line="259" w:lineRule="auto"/>
              <w:ind w:left="0" w:right="0" w:firstLine="0"/>
              <w:jc w:val="left"/>
            </w:pPr>
            <w:r>
              <w:rPr>
                <w:sz w:val="17"/>
              </w:rPr>
              <w:t>(0.002)</w:t>
            </w:r>
          </w:p>
        </w:tc>
        <w:tc>
          <w:tcPr>
            <w:tcW w:w="1032" w:type="dxa"/>
            <w:tcBorders>
              <w:top w:val="nil"/>
              <w:left w:val="nil"/>
              <w:bottom w:val="nil"/>
              <w:right w:val="nil"/>
            </w:tcBorders>
          </w:tcPr>
          <w:p w14:paraId="4D83EFB2" w14:textId="77777777" w:rsidR="001C671E" w:rsidRDefault="00000000">
            <w:pPr>
              <w:spacing w:after="0" w:line="259" w:lineRule="auto"/>
              <w:ind w:left="0" w:right="0" w:firstLine="0"/>
              <w:jc w:val="left"/>
            </w:pPr>
            <w:r>
              <w:rPr>
                <w:sz w:val="17"/>
              </w:rPr>
              <w:t>(0.003)</w:t>
            </w:r>
          </w:p>
        </w:tc>
        <w:tc>
          <w:tcPr>
            <w:tcW w:w="1060" w:type="dxa"/>
            <w:tcBorders>
              <w:top w:val="nil"/>
              <w:left w:val="nil"/>
              <w:bottom w:val="nil"/>
              <w:right w:val="nil"/>
            </w:tcBorders>
          </w:tcPr>
          <w:p w14:paraId="598F5ED2" w14:textId="77777777" w:rsidR="001C671E" w:rsidRDefault="00000000">
            <w:pPr>
              <w:spacing w:after="0" w:line="259" w:lineRule="auto"/>
              <w:ind w:left="26" w:right="0" w:firstLine="0"/>
              <w:jc w:val="left"/>
            </w:pPr>
            <w:r>
              <w:rPr>
                <w:sz w:val="17"/>
              </w:rPr>
              <w:t>(0.007)</w:t>
            </w:r>
          </w:p>
        </w:tc>
        <w:tc>
          <w:tcPr>
            <w:tcW w:w="873" w:type="dxa"/>
            <w:tcBorders>
              <w:top w:val="nil"/>
              <w:left w:val="nil"/>
              <w:bottom w:val="nil"/>
              <w:right w:val="nil"/>
            </w:tcBorders>
          </w:tcPr>
          <w:p w14:paraId="6C35925A" w14:textId="77777777" w:rsidR="001C671E" w:rsidRDefault="00000000">
            <w:pPr>
              <w:spacing w:after="0" w:line="259" w:lineRule="auto"/>
              <w:ind w:left="24" w:right="0" w:firstLine="0"/>
              <w:jc w:val="left"/>
            </w:pPr>
            <w:r>
              <w:rPr>
                <w:sz w:val="17"/>
              </w:rPr>
              <w:t>(0.006)</w:t>
            </w:r>
          </w:p>
        </w:tc>
        <w:tc>
          <w:tcPr>
            <w:tcW w:w="904" w:type="dxa"/>
            <w:tcBorders>
              <w:top w:val="nil"/>
              <w:left w:val="nil"/>
              <w:bottom w:val="nil"/>
              <w:right w:val="nil"/>
            </w:tcBorders>
          </w:tcPr>
          <w:p w14:paraId="5E3C6E65" w14:textId="77777777" w:rsidR="001C671E" w:rsidRDefault="001C671E">
            <w:pPr>
              <w:spacing w:after="160" w:line="259" w:lineRule="auto"/>
              <w:ind w:left="0" w:right="0" w:firstLine="0"/>
              <w:jc w:val="left"/>
            </w:pPr>
          </w:p>
        </w:tc>
      </w:tr>
      <w:tr w:rsidR="001C671E" w14:paraId="653A232E" w14:textId="77777777">
        <w:trPr>
          <w:trHeight w:val="314"/>
        </w:trPr>
        <w:tc>
          <w:tcPr>
            <w:tcW w:w="2610" w:type="dxa"/>
            <w:tcBorders>
              <w:top w:val="nil"/>
              <w:left w:val="nil"/>
              <w:bottom w:val="nil"/>
              <w:right w:val="nil"/>
            </w:tcBorders>
          </w:tcPr>
          <w:p w14:paraId="4A9B0336" w14:textId="77777777" w:rsidR="001C671E" w:rsidRDefault="00000000">
            <w:pPr>
              <w:spacing w:after="0" w:line="259" w:lineRule="auto"/>
              <w:ind w:left="87" w:right="0" w:firstLine="0"/>
              <w:jc w:val="left"/>
            </w:pPr>
            <w:r>
              <w:rPr>
                <w:sz w:val="17"/>
              </w:rPr>
              <w:t>Share married women</w:t>
            </w:r>
          </w:p>
        </w:tc>
        <w:tc>
          <w:tcPr>
            <w:tcW w:w="996" w:type="dxa"/>
            <w:tcBorders>
              <w:top w:val="nil"/>
              <w:left w:val="nil"/>
              <w:bottom w:val="nil"/>
              <w:right w:val="nil"/>
            </w:tcBorders>
          </w:tcPr>
          <w:p w14:paraId="37D71BCA" w14:textId="77777777" w:rsidR="001C671E" w:rsidRDefault="00000000">
            <w:pPr>
              <w:spacing w:after="0" w:line="259" w:lineRule="auto"/>
              <w:ind w:left="66" w:right="0" w:firstLine="0"/>
              <w:jc w:val="left"/>
            </w:pPr>
            <w:r>
              <w:rPr>
                <w:sz w:val="17"/>
              </w:rPr>
              <w:t>0.168</w:t>
            </w:r>
          </w:p>
        </w:tc>
        <w:tc>
          <w:tcPr>
            <w:tcW w:w="1032" w:type="dxa"/>
            <w:tcBorders>
              <w:top w:val="nil"/>
              <w:left w:val="nil"/>
              <w:bottom w:val="nil"/>
              <w:right w:val="nil"/>
            </w:tcBorders>
          </w:tcPr>
          <w:p w14:paraId="5251E0CF" w14:textId="77777777" w:rsidR="001C671E" w:rsidRDefault="00000000">
            <w:pPr>
              <w:spacing w:after="0" w:line="259" w:lineRule="auto"/>
              <w:ind w:left="66" w:right="0" w:firstLine="0"/>
              <w:jc w:val="left"/>
            </w:pPr>
            <w:r>
              <w:rPr>
                <w:sz w:val="17"/>
              </w:rPr>
              <w:t>0.194</w:t>
            </w:r>
          </w:p>
        </w:tc>
        <w:tc>
          <w:tcPr>
            <w:tcW w:w="1060" w:type="dxa"/>
            <w:tcBorders>
              <w:top w:val="nil"/>
              <w:left w:val="nil"/>
              <w:bottom w:val="nil"/>
              <w:right w:val="nil"/>
            </w:tcBorders>
          </w:tcPr>
          <w:p w14:paraId="2A2A4988" w14:textId="77777777" w:rsidR="001C671E" w:rsidRDefault="00000000">
            <w:pPr>
              <w:spacing w:after="0" w:line="259" w:lineRule="auto"/>
              <w:ind w:left="92" w:right="0" w:firstLine="0"/>
              <w:jc w:val="left"/>
            </w:pPr>
            <w:r>
              <w:rPr>
                <w:sz w:val="17"/>
              </w:rPr>
              <w:t>0.177</w:t>
            </w:r>
          </w:p>
        </w:tc>
        <w:tc>
          <w:tcPr>
            <w:tcW w:w="873" w:type="dxa"/>
            <w:tcBorders>
              <w:top w:val="nil"/>
              <w:left w:val="nil"/>
              <w:bottom w:val="nil"/>
              <w:right w:val="nil"/>
            </w:tcBorders>
          </w:tcPr>
          <w:p w14:paraId="3353A233" w14:textId="77777777" w:rsidR="001C671E" w:rsidRDefault="00000000">
            <w:pPr>
              <w:spacing w:after="0" w:line="259" w:lineRule="auto"/>
              <w:ind w:left="90" w:right="0" w:firstLine="0"/>
              <w:jc w:val="left"/>
            </w:pPr>
            <w:r>
              <w:rPr>
                <w:sz w:val="17"/>
              </w:rPr>
              <w:t>0.174</w:t>
            </w:r>
          </w:p>
        </w:tc>
        <w:tc>
          <w:tcPr>
            <w:tcW w:w="904" w:type="dxa"/>
            <w:tcBorders>
              <w:top w:val="nil"/>
              <w:left w:val="nil"/>
              <w:bottom w:val="nil"/>
              <w:right w:val="nil"/>
            </w:tcBorders>
          </w:tcPr>
          <w:p w14:paraId="2A82566B" w14:textId="77777777" w:rsidR="001C671E" w:rsidRDefault="00000000">
            <w:pPr>
              <w:spacing w:after="0" w:line="259" w:lineRule="auto"/>
              <w:ind w:left="212" w:right="0" w:firstLine="0"/>
              <w:jc w:val="left"/>
            </w:pPr>
            <w:r>
              <w:rPr>
                <w:sz w:val="17"/>
              </w:rPr>
              <w:t>0.561</w:t>
            </w:r>
          </w:p>
        </w:tc>
      </w:tr>
      <w:tr w:rsidR="001C671E" w14:paraId="3A567F0C" w14:textId="77777777">
        <w:trPr>
          <w:trHeight w:val="329"/>
        </w:trPr>
        <w:tc>
          <w:tcPr>
            <w:tcW w:w="2610" w:type="dxa"/>
            <w:tcBorders>
              <w:top w:val="nil"/>
              <w:left w:val="nil"/>
              <w:bottom w:val="single" w:sz="3" w:space="0" w:color="000000"/>
              <w:right w:val="nil"/>
            </w:tcBorders>
          </w:tcPr>
          <w:p w14:paraId="02649386" w14:textId="77777777" w:rsidR="001C671E" w:rsidRDefault="001C671E">
            <w:pPr>
              <w:spacing w:after="160" w:line="259" w:lineRule="auto"/>
              <w:ind w:left="0" w:right="0" w:firstLine="0"/>
              <w:jc w:val="left"/>
            </w:pPr>
          </w:p>
        </w:tc>
        <w:tc>
          <w:tcPr>
            <w:tcW w:w="996" w:type="dxa"/>
            <w:tcBorders>
              <w:top w:val="nil"/>
              <w:left w:val="nil"/>
              <w:bottom w:val="single" w:sz="3" w:space="0" w:color="000000"/>
              <w:right w:val="nil"/>
            </w:tcBorders>
          </w:tcPr>
          <w:p w14:paraId="677C4029" w14:textId="77777777" w:rsidR="001C671E" w:rsidRDefault="00000000">
            <w:pPr>
              <w:spacing w:after="0" w:line="259" w:lineRule="auto"/>
              <w:ind w:left="0" w:right="0" w:firstLine="0"/>
              <w:jc w:val="left"/>
            </w:pPr>
            <w:r>
              <w:rPr>
                <w:sz w:val="17"/>
              </w:rPr>
              <w:t>(0.002)</w:t>
            </w:r>
          </w:p>
        </w:tc>
        <w:tc>
          <w:tcPr>
            <w:tcW w:w="1032" w:type="dxa"/>
            <w:tcBorders>
              <w:top w:val="nil"/>
              <w:left w:val="nil"/>
              <w:bottom w:val="single" w:sz="3" w:space="0" w:color="000000"/>
              <w:right w:val="nil"/>
            </w:tcBorders>
          </w:tcPr>
          <w:p w14:paraId="24B665DA" w14:textId="77777777" w:rsidR="001C671E" w:rsidRDefault="00000000">
            <w:pPr>
              <w:spacing w:after="0" w:line="259" w:lineRule="auto"/>
              <w:ind w:left="0" w:right="0" w:firstLine="0"/>
              <w:jc w:val="left"/>
            </w:pPr>
            <w:r>
              <w:rPr>
                <w:sz w:val="17"/>
              </w:rPr>
              <w:t>(0.002)</w:t>
            </w:r>
          </w:p>
        </w:tc>
        <w:tc>
          <w:tcPr>
            <w:tcW w:w="1060" w:type="dxa"/>
            <w:tcBorders>
              <w:top w:val="nil"/>
              <w:left w:val="nil"/>
              <w:bottom w:val="single" w:sz="3" w:space="0" w:color="000000"/>
              <w:right w:val="nil"/>
            </w:tcBorders>
          </w:tcPr>
          <w:p w14:paraId="046E1778" w14:textId="77777777" w:rsidR="001C671E" w:rsidRDefault="00000000">
            <w:pPr>
              <w:spacing w:after="0" w:line="259" w:lineRule="auto"/>
              <w:ind w:left="26" w:right="0" w:firstLine="0"/>
              <w:jc w:val="left"/>
            </w:pPr>
            <w:r>
              <w:rPr>
                <w:sz w:val="17"/>
              </w:rPr>
              <w:t>(0.004)</w:t>
            </w:r>
          </w:p>
        </w:tc>
        <w:tc>
          <w:tcPr>
            <w:tcW w:w="873" w:type="dxa"/>
            <w:tcBorders>
              <w:top w:val="nil"/>
              <w:left w:val="nil"/>
              <w:bottom w:val="single" w:sz="3" w:space="0" w:color="000000"/>
              <w:right w:val="nil"/>
            </w:tcBorders>
          </w:tcPr>
          <w:p w14:paraId="0E86FDB6" w14:textId="77777777" w:rsidR="001C671E" w:rsidRDefault="00000000">
            <w:pPr>
              <w:spacing w:after="0" w:line="259" w:lineRule="auto"/>
              <w:ind w:left="24" w:right="0" w:firstLine="0"/>
              <w:jc w:val="left"/>
            </w:pPr>
            <w:r>
              <w:rPr>
                <w:sz w:val="17"/>
              </w:rPr>
              <w:t>(0.004)</w:t>
            </w:r>
          </w:p>
        </w:tc>
        <w:tc>
          <w:tcPr>
            <w:tcW w:w="904" w:type="dxa"/>
            <w:tcBorders>
              <w:top w:val="nil"/>
              <w:left w:val="nil"/>
              <w:bottom w:val="single" w:sz="3" w:space="0" w:color="000000"/>
              <w:right w:val="nil"/>
            </w:tcBorders>
          </w:tcPr>
          <w:p w14:paraId="6BBFDB8C" w14:textId="77777777" w:rsidR="001C671E" w:rsidRDefault="001C671E">
            <w:pPr>
              <w:spacing w:after="160" w:line="259" w:lineRule="auto"/>
              <w:ind w:left="0" w:right="0" w:firstLine="0"/>
              <w:jc w:val="left"/>
            </w:pPr>
          </w:p>
        </w:tc>
      </w:tr>
      <w:tr w:rsidR="001C671E" w14:paraId="55A42505" w14:textId="77777777">
        <w:trPr>
          <w:trHeight w:val="404"/>
        </w:trPr>
        <w:tc>
          <w:tcPr>
            <w:tcW w:w="2610" w:type="dxa"/>
            <w:tcBorders>
              <w:top w:val="single" w:sz="3" w:space="0" w:color="000000"/>
              <w:left w:val="nil"/>
              <w:bottom w:val="single" w:sz="5" w:space="0" w:color="000000"/>
              <w:right w:val="nil"/>
            </w:tcBorders>
          </w:tcPr>
          <w:p w14:paraId="2354CC7F" w14:textId="77777777" w:rsidR="001C671E" w:rsidRDefault="00000000">
            <w:pPr>
              <w:spacing w:after="0" w:line="259" w:lineRule="auto"/>
              <w:ind w:left="87" w:right="0" w:firstLine="0"/>
              <w:jc w:val="left"/>
            </w:pPr>
            <w:r>
              <w:rPr>
                <w:i/>
                <w:sz w:val="17"/>
              </w:rPr>
              <w:t xml:space="preserve">Obs. </w:t>
            </w:r>
            <w:r>
              <w:rPr>
                <w:sz w:val="17"/>
              </w:rPr>
              <w:t>(Counties)</w:t>
            </w:r>
          </w:p>
        </w:tc>
        <w:tc>
          <w:tcPr>
            <w:tcW w:w="996" w:type="dxa"/>
            <w:tcBorders>
              <w:top w:val="single" w:sz="3" w:space="0" w:color="000000"/>
              <w:left w:val="nil"/>
              <w:bottom w:val="single" w:sz="5" w:space="0" w:color="000000"/>
              <w:right w:val="nil"/>
            </w:tcBorders>
          </w:tcPr>
          <w:p w14:paraId="0735F583" w14:textId="77777777" w:rsidR="001C671E" w:rsidRDefault="00000000">
            <w:pPr>
              <w:spacing w:after="0" w:line="259" w:lineRule="auto"/>
              <w:ind w:left="90" w:right="0" w:firstLine="0"/>
              <w:jc w:val="left"/>
            </w:pPr>
            <w:r>
              <w:rPr>
                <w:sz w:val="17"/>
              </w:rPr>
              <w:t>3100</w:t>
            </w:r>
          </w:p>
        </w:tc>
        <w:tc>
          <w:tcPr>
            <w:tcW w:w="1032" w:type="dxa"/>
            <w:tcBorders>
              <w:top w:val="single" w:sz="3" w:space="0" w:color="000000"/>
              <w:left w:val="nil"/>
              <w:bottom w:val="single" w:sz="5" w:space="0" w:color="000000"/>
              <w:right w:val="nil"/>
            </w:tcBorders>
          </w:tcPr>
          <w:p w14:paraId="3C18601B" w14:textId="77777777" w:rsidR="001C671E" w:rsidRDefault="00000000">
            <w:pPr>
              <w:spacing w:after="0" w:line="259" w:lineRule="auto"/>
              <w:ind w:left="132" w:right="0" w:firstLine="0"/>
              <w:jc w:val="left"/>
            </w:pPr>
            <w:r>
              <w:rPr>
                <w:sz w:val="17"/>
              </w:rPr>
              <w:t>944</w:t>
            </w:r>
          </w:p>
        </w:tc>
        <w:tc>
          <w:tcPr>
            <w:tcW w:w="1060" w:type="dxa"/>
            <w:tcBorders>
              <w:top w:val="single" w:sz="3" w:space="0" w:color="000000"/>
              <w:left w:val="nil"/>
              <w:bottom w:val="single" w:sz="5" w:space="0" w:color="000000"/>
              <w:right w:val="nil"/>
            </w:tcBorders>
          </w:tcPr>
          <w:p w14:paraId="0E2BCA85" w14:textId="77777777" w:rsidR="001C671E" w:rsidRDefault="00000000">
            <w:pPr>
              <w:spacing w:after="0" w:line="259" w:lineRule="auto"/>
              <w:ind w:left="158" w:right="0" w:firstLine="0"/>
              <w:jc w:val="left"/>
            </w:pPr>
            <w:r>
              <w:rPr>
                <w:sz w:val="17"/>
              </w:rPr>
              <w:t>220</w:t>
            </w:r>
          </w:p>
        </w:tc>
        <w:tc>
          <w:tcPr>
            <w:tcW w:w="873" w:type="dxa"/>
            <w:tcBorders>
              <w:top w:val="single" w:sz="3" w:space="0" w:color="000000"/>
              <w:left w:val="nil"/>
              <w:bottom w:val="single" w:sz="5" w:space="0" w:color="000000"/>
              <w:right w:val="nil"/>
            </w:tcBorders>
          </w:tcPr>
          <w:p w14:paraId="41051A92" w14:textId="77777777" w:rsidR="001C671E" w:rsidRDefault="00000000">
            <w:pPr>
              <w:spacing w:after="0" w:line="259" w:lineRule="auto"/>
              <w:ind w:left="156" w:right="0" w:firstLine="0"/>
              <w:jc w:val="left"/>
            </w:pPr>
            <w:r>
              <w:rPr>
                <w:sz w:val="17"/>
              </w:rPr>
              <w:t>320</w:t>
            </w:r>
          </w:p>
        </w:tc>
        <w:tc>
          <w:tcPr>
            <w:tcW w:w="904" w:type="dxa"/>
            <w:tcBorders>
              <w:top w:val="single" w:sz="3" w:space="0" w:color="000000"/>
              <w:left w:val="nil"/>
              <w:bottom w:val="single" w:sz="5" w:space="0" w:color="000000"/>
              <w:right w:val="nil"/>
            </w:tcBorders>
          </w:tcPr>
          <w:p w14:paraId="7BD92D19" w14:textId="77777777" w:rsidR="001C671E" w:rsidRDefault="001C671E">
            <w:pPr>
              <w:spacing w:after="160" w:line="259" w:lineRule="auto"/>
              <w:ind w:left="0" w:right="0" w:firstLine="0"/>
              <w:jc w:val="left"/>
            </w:pPr>
          </w:p>
        </w:tc>
      </w:tr>
    </w:tbl>
    <w:p w14:paraId="152D2449" w14:textId="77777777" w:rsidR="001C671E" w:rsidRDefault="00000000">
      <w:pPr>
        <w:spacing w:after="14" w:line="252" w:lineRule="auto"/>
        <w:ind w:left="953" w:right="1059"/>
      </w:pPr>
      <w:r>
        <w:rPr>
          <w:i/>
          <w:sz w:val="14"/>
        </w:rPr>
        <w:t xml:space="preserve">Notes: </w:t>
      </w:r>
      <w:r>
        <w:rPr>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Pr>
          <w:i/>
          <w:sz w:val="14"/>
        </w:rPr>
        <w:t>t</w:t>
      </w:r>
      <w:r>
        <w:rPr>
          <w:sz w:val="14"/>
        </w:rPr>
        <w:t>-tests for differences in means between the Treated and Neighboring South counties.</w:t>
      </w:r>
    </w:p>
    <w:p w14:paraId="7FD5B478" w14:textId="77777777" w:rsidR="001C671E" w:rsidRDefault="00000000">
      <w:pPr>
        <w:spacing w:after="32" w:line="259" w:lineRule="auto"/>
        <w:ind w:left="984" w:right="0"/>
        <w:jc w:val="left"/>
      </w:pPr>
      <w:r>
        <w:rPr>
          <w:sz w:val="14"/>
          <w:vertAlign w:val="superscript"/>
        </w:rPr>
        <w:t>∗</w:t>
      </w:r>
      <w:r>
        <w:rPr>
          <w:i/>
          <w:sz w:val="14"/>
        </w:rPr>
        <w:t xml:space="preserve">p &lt; </w:t>
      </w:r>
      <w:r>
        <w:rPr>
          <w:sz w:val="14"/>
        </w:rPr>
        <w:t>0</w:t>
      </w:r>
      <w:r>
        <w:rPr>
          <w:i/>
          <w:sz w:val="14"/>
        </w:rPr>
        <w:t>.</w:t>
      </w:r>
      <w:r>
        <w:rPr>
          <w:sz w:val="14"/>
        </w:rPr>
        <w:t>10</w:t>
      </w:r>
      <w:r>
        <w:rPr>
          <w:i/>
          <w:sz w:val="14"/>
        </w:rPr>
        <w:t xml:space="preserve">, </w:t>
      </w:r>
      <w:r>
        <w:rPr>
          <w:sz w:val="14"/>
          <w:vertAlign w:val="superscript"/>
        </w:rPr>
        <w:t>∗∗</w:t>
      </w:r>
      <w:r>
        <w:rPr>
          <w:i/>
          <w:sz w:val="14"/>
        </w:rPr>
        <w:t xml:space="preserve">p &lt; </w:t>
      </w:r>
      <w:r>
        <w:rPr>
          <w:sz w:val="14"/>
        </w:rPr>
        <w:t>0</w:t>
      </w:r>
      <w:r>
        <w:rPr>
          <w:i/>
          <w:sz w:val="14"/>
        </w:rPr>
        <w:t>.</w:t>
      </w:r>
      <w:r>
        <w:rPr>
          <w:sz w:val="14"/>
        </w:rPr>
        <w:t>05</w:t>
      </w:r>
      <w:r>
        <w:rPr>
          <w:i/>
          <w:sz w:val="14"/>
        </w:rPr>
        <w:t xml:space="preserve">, </w:t>
      </w:r>
      <w:r>
        <w:rPr>
          <w:sz w:val="14"/>
          <w:vertAlign w:val="superscript"/>
        </w:rPr>
        <w:t>∗∗∗</w:t>
      </w:r>
      <w:r>
        <w:rPr>
          <w:i/>
          <w:sz w:val="14"/>
        </w:rPr>
        <w:t xml:space="preserve">p &lt; </w:t>
      </w:r>
      <w:r>
        <w:rPr>
          <w:sz w:val="14"/>
        </w:rPr>
        <w:t>0</w:t>
      </w:r>
      <w:r>
        <w:rPr>
          <w:i/>
          <w:sz w:val="14"/>
        </w:rPr>
        <w:t>.</w:t>
      </w:r>
      <w:r>
        <w:rPr>
          <w:sz w:val="14"/>
        </w:rPr>
        <w:t>01</w:t>
      </w:r>
    </w:p>
    <w:p w14:paraId="44796963" w14:textId="77777777" w:rsidR="001C671E" w:rsidRDefault="00000000">
      <w:pPr>
        <w:spacing w:after="14" w:line="252" w:lineRule="auto"/>
        <w:ind w:left="984" w:right="0"/>
      </w:pPr>
      <w:r>
        <w:rPr>
          <w:i/>
          <w:sz w:val="14"/>
        </w:rPr>
        <w:t xml:space="preserve">Source: </w:t>
      </w:r>
      <w:r>
        <w:rPr>
          <w:sz w:val="14"/>
        </w:rPr>
        <w:t>All statistics are measured using the IPUMS full count 1930 Census data, aggregated to the county level.</w:t>
      </w:r>
    </w:p>
    <w:p w14:paraId="00CCD64E" w14:textId="77777777" w:rsidR="001C671E" w:rsidRDefault="001C671E">
      <w:pPr>
        <w:sectPr w:rsidR="001C671E">
          <w:footerReference w:type="even" r:id="rId8"/>
          <w:footerReference w:type="default" r:id="rId9"/>
          <w:footerReference w:type="first" r:id="rId10"/>
          <w:pgSz w:w="12240" w:h="15840"/>
          <w:pgMar w:top="1440" w:right="1323" w:bottom="1394" w:left="1440" w:header="720" w:footer="796" w:gutter="0"/>
          <w:cols w:space="720"/>
        </w:sectPr>
      </w:pPr>
    </w:p>
    <w:p w14:paraId="4D4631EC" w14:textId="77777777" w:rsidR="001C671E" w:rsidRDefault="00000000">
      <w:pPr>
        <w:spacing w:after="3" w:line="265" w:lineRule="auto"/>
        <w:ind w:right="0"/>
        <w:jc w:val="center"/>
      </w:pPr>
      <w:r>
        <w:t>Table 2: Estimated effects of the prohibition of marriage bars on married women teachers</w:t>
      </w:r>
    </w:p>
    <w:p w14:paraId="18F5FE6F" w14:textId="77777777" w:rsidR="001C671E" w:rsidRDefault="00000000">
      <w:pPr>
        <w:spacing w:after="118" w:line="259" w:lineRule="auto"/>
        <w:ind w:left="0" w:right="0" w:firstLine="0"/>
        <w:jc w:val="left"/>
      </w:pPr>
      <w:r>
        <w:rPr>
          <w:rFonts w:ascii="Calibri" w:eastAsia="Calibri" w:hAnsi="Calibri" w:cs="Calibri"/>
          <w:noProof/>
          <w:sz w:val="22"/>
        </w:rPr>
        <mc:AlternateContent>
          <mc:Choice Requires="wpg">
            <w:drawing>
              <wp:inline distT="0" distB="0" distL="0" distR="0" wp14:anchorId="2DDE72AF" wp14:editId="49E27505">
                <wp:extent cx="7497001" cy="30366"/>
                <wp:effectExtent l="0" t="0" r="0" b="0"/>
                <wp:docPr id="49954" name="Group 49954"/>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482" name="Shape 2482"/>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83" name="Shape 2483"/>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954" style="width:590.315pt;height:2.39101pt;mso-position-horizontal-relative:char;mso-position-vertical-relative:line" coordsize="74970,303">
                <v:shape id="Shape 2482" style="position:absolute;width:74970;height:0;left:0;top:0;" coordsize="7497001,0" path="m0,0l7497001,0">
                  <v:stroke weight="0.398pt" endcap="flat" joinstyle="miter" miterlimit="10" on="true" color="#000000"/>
                  <v:fill on="false" color="#000000" opacity="0"/>
                </v:shape>
                <v:shape id="Shape 2483" style="position:absolute;width:74970;height:0;left:0;top:303;" coordsize="7497001,0" path="m0,0l7497001,0">
                  <v:stroke weight="0.398pt" endcap="flat" joinstyle="miter" miterlimit="10" on="true" color="#000000"/>
                  <v:fill on="false" color="#000000" opacity="0"/>
                </v:shape>
              </v:group>
            </w:pict>
          </mc:Fallback>
        </mc:AlternateContent>
      </w:r>
    </w:p>
    <w:p w14:paraId="302EA325" w14:textId="77777777" w:rsidR="001C671E" w:rsidRDefault="00000000">
      <w:pPr>
        <w:tabs>
          <w:tab w:val="center" w:pos="4224"/>
          <w:tab w:val="center" w:pos="7277"/>
          <w:tab w:val="center" w:pos="1033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B02BAB" wp14:editId="7487F358">
                <wp:simplePos x="0" y="0"/>
                <wp:positionH relativeFrom="page">
                  <wp:posOffset>505367</wp:posOffset>
                </wp:positionH>
                <wp:positionV relativeFrom="page">
                  <wp:posOffset>3811867</wp:posOffset>
                </wp:positionV>
                <wp:extent cx="134826" cy="148673"/>
                <wp:effectExtent l="0" t="0" r="0" b="0"/>
                <wp:wrapSquare wrapText="bothSides"/>
                <wp:docPr id="49955" name="Group 49955"/>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563" name="Rectangle 2563"/>
                        <wps:cNvSpPr/>
                        <wps:spPr>
                          <a:xfrm rot="5399999">
                            <a:off x="-53700" y="9208"/>
                            <a:ext cx="197735" cy="179318"/>
                          </a:xfrm>
                          <a:prstGeom prst="rect">
                            <a:avLst/>
                          </a:prstGeom>
                          <a:ln>
                            <a:noFill/>
                          </a:ln>
                        </wps:spPr>
                        <wps:txbx>
                          <w:txbxContent>
                            <w:p w14:paraId="063DA398" w14:textId="77777777" w:rsidR="001C671E" w:rsidRDefault="00000000">
                              <w:pPr>
                                <w:spacing w:after="160" w:line="259" w:lineRule="auto"/>
                                <w:ind w:left="0" w:right="0" w:firstLine="0"/>
                                <w:jc w:val="left"/>
                              </w:pPr>
                              <w:r>
                                <w:t>42</w:t>
                              </w:r>
                            </w:p>
                          </w:txbxContent>
                        </wps:txbx>
                        <wps:bodyPr horzOverflow="overflow" vert="horz" lIns="0" tIns="0" rIns="0" bIns="0" rtlCol="0">
                          <a:noAutofit/>
                        </wps:bodyPr>
                      </wps:wsp>
                    </wpg:wgp>
                  </a:graphicData>
                </a:graphic>
              </wp:anchor>
            </w:drawing>
          </mc:Choice>
          <mc:Fallback xmlns:a="http://schemas.openxmlformats.org/drawingml/2006/main">
            <w:pict>
              <v:group id="Group 49955" style="width:10.6162pt;height:11.7065pt;position:absolute;mso-position-horizontal-relative:page;mso-position-horizontal:absolute;margin-left:39.7927pt;mso-position-vertical-relative:page;margin-top:300.147pt;" coordsize="1348,1486">
                <v:rect id="Rectangle 2563" style="position:absolute;width:1977;height:1793;left:-537;top:92;rotation:90;" filled="f" stroked="f">
                  <v:textbox inset="0,0,0,0" style="layout-flow:vertical">
                    <w:txbxContent>
                      <w:p>
                        <w:pPr>
                          <w:spacing w:before="0" w:after="160" w:line="259" w:lineRule="auto"/>
                          <w:ind w:left="0" w:right="0" w:firstLine="0"/>
                          <w:jc w:val="left"/>
                        </w:pPr>
                        <w:r>
                          <w:rPr/>
                          <w:t xml:space="preserve">42</w:t>
                        </w:r>
                      </w:p>
                    </w:txbxContent>
                  </v:textbox>
                </v:rect>
                <w10:wrap type="square"/>
              </v:group>
            </w:pict>
          </mc:Fallback>
        </mc:AlternateContent>
      </w:r>
      <w:r>
        <w:rPr>
          <w:rFonts w:ascii="Calibri" w:eastAsia="Calibri" w:hAnsi="Calibri" w:cs="Calibri"/>
          <w:sz w:val="22"/>
        </w:rPr>
        <w:tab/>
      </w:r>
      <w:r>
        <w:rPr>
          <w:sz w:val="20"/>
        </w:rPr>
        <w:t>All teachers</w:t>
      </w:r>
      <w:r>
        <w:rPr>
          <w:sz w:val="20"/>
        </w:rPr>
        <w:tab/>
        <w:t>White teachers only</w:t>
      </w:r>
      <w:r>
        <w:rPr>
          <w:sz w:val="20"/>
        </w:rPr>
        <w:tab/>
        <w:t>Black teachers only</w:t>
      </w:r>
    </w:p>
    <w:tbl>
      <w:tblPr>
        <w:tblStyle w:val="TableGrid"/>
        <w:tblW w:w="11806" w:type="dxa"/>
        <w:tblInd w:w="0" w:type="dxa"/>
        <w:tblCellMar>
          <w:top w:w="31" w:type="dxa"/>
          <w:left w:w="0" w:type="dxa"/>
          <w:bottom w:w="0" w:type="dxa"/>
          <w:right w:w="120" w:type="dxa"/>
        </w:tblCellMar>
        <w:tblLook w:val="04A0" w:firstRow="1" w:lastRow="0" w:firstColumn="1" w:lastColumn="0" w:noHBand="0" w:noVBand="1"/>
      </w:tblPr>
      <w:tblGrid>
        <w:gridCol w:w="2866"/>
        <w:gridCol w:w="1402"/>
        <w:gridCol w:w="1651"/>
        <w:gridCol w:w="1402"/>
        <w:gridCol w:w="1651"/>
        <w:gridCol w:w="1402"/>
        <w:gridCol w:w="1432"/>
      </w:tblGrid>
      <w:tr w:rsidR="001C671E" w14:paraId="62F100BD" w14:textId="77777777">
        <w:trPr>
          <w:trHeight w:val="308"/>
        </w:trPr>
        <w:tc>
          <w:tcPr>
            <w:tcW w:w="2866" w:type="dxa"/>
            <w:tcBorders>
              <w:top w:val="nil"/>
              <w:left w:val="nil"/>
              <w:bottom w:val="nil"/>
              <w:right w:val="nil"/>
            </w:tcBorders>
          </w:tcPr>
          <w:p w14:paraId="08358C79" w14:textId="77777777" w:rsidR="001C671E" w:rsidRDefault="001C671E">
            <w:pPr>
              <w:spacing w:after="160" w:line="259" w:lineRule="auto"/>
              <w:ind w:left="0" w:right="0" w:firstLine="0"/>
              <w:jc w:val="left"/>
            </w:pPr>
          </w:p>
        </w:tc>
        <w:tc>
          <w:tcPr>
            <w:tcW w:w="1402" w:type="dxa"/>
            <w:tcBorders>
              <w:top w:val="single" w:sz="3" w:space="0" w:color="000000"/>
              <w:left w:val="nil"/>
              <w:bottom w:val="nil"/>
              <w:right w:val="nil"/>
            </w:tcBorders>
          </w:tcPr>
          <w:p w14:paraId="095AC31F" w14:textId="77777777" w:rsidR="001C671E" w:rsidRDefault="00000000">
            <w:pPr>
              <w:spacing w:after="0" w:line="259" w:lineRule="auto"/>
              <w:ind w:left="0" w:right="0" w:firstLine="0"/>
              <w:jc w:val="left"/>
            </w:pPr>
            <w:r>
              <w:rPr>
                <w:sz w:val="20"/>
              </w:rPr>
              <w:t>Share Teach</w:t>
            </w:r>
          </w:p>
        </w:tc>
        <w:tc>
          <w:tcPr>
            <w:tcW w:w="1651" w:type="dxa"/>
            <w:tcBorders>
              <w:top w:val="single" w:sz="3" w:space="0" w:color="000000"/>
              <w:left w:val="nil"/>
              <w:bottom w:val="nil"/>
              <w:right w:val="nil"/>
            </w:tcBorders>
          </w:tcPr>
          <w:p w14:paraId="79FC2279" w14:textId="77777777" w:rsidR="001C671E" w:rsidRDefault="00000000">
            <w:pPr>
              <w:spacing w:after="0" w:line="259" w:lineRule="auto"/>
              <w:ind w:left="0" w:right="0" w:firstLine="0"/>
              <w:jc w:val="left"/>
            </w:pPr>
            <w:r>
              <w:rPr>
                <w:sz w:val="20"/>
              </w:rPr>
              <w:t>MW Teach per</w:t>
            </w:r>
          </w:p>
        </w:tc>
        <w:tc>
          <w:tcPr>
            <w:tcW w:w="1402" w:type="dxa"/>
            <w:tcBorders>
              <w:top w:val="single" w:sz="3" w:space="0" w:color="000000"/>
              <w:left w:val="nil"/>
              <w:bottom w:val="nil"/>
              <w:right w:val="nil"/>
            </w:tcBorders>
          </w:tcPr>
          <w:p w14:paraId="58C36E39" w14:textId="77777777" w:rsidR="001C671E" w:rsidRDefault="00000000">
            <w:pPr>
              <w:spacing w:after="0" w:line="259" w:lineRule="auto"/>
              <w:ind w:left="0" w:right="0" w:firstLine="0"/>
              <w:jc w:val="left"/>
            </w:pPr>
            <w:r>
              <w:rPr>
                <w:sz w:val="20"/>
              </w:rPr>
              <w:t>Share Teach</w:t>
            </w:r>
          </w:p>
        </w:tc>
        <w:tc>
          <w:tcPr>
            <w:tcW w:w="1651" w:type="dxa"/>
            <w:tcBorders>
              <w:top w:val="single" w:sz="3" w:space="0" w:color="000000"/>
              <w:left w:val="nil"/>
              <w:bottom w:val="nil"/>
              <w:right w:val="nil"/>
            </w:tcBorders>
          </w:tcPr>
          <w:p w14:paraId="5C685AB2" w14:textId="77777777" w:rsidR="001C671E" w:rsidRDefault="00000000">
            <w:pPr>
              <w:spacing w:after="0" w:line="259" w:lineRule="auto"/>
              <w:ind w:left="0" w:right="0" w:firstLine="0"/>
              <w:jc w:val="left"/>
            </w:pPr>
            <w:r>
              <w:rPr>
                <w:sz w:val="20"/>
              </w:rPr>
              <w:t>MW Teach per</w:t>
            </w:r>
          </w:p>
        </w:tc>
        <w:tc>
          <w:tcPr>
            <w:tcW w:w="1402" w:type="dxa"/>
            <w:tcBorders>
              <w:top w:val="single" w:sz="3" w:space="0" w:color="000000"/>
              <w:left w:val="nil"/>
              <w:bottom w:val="nil"/>
              <w:right w:val="nil"/>
            </w:tcBorders>
          </w:tcPr>
          <w:p w14:paraId="2A6C3E46" w14:textId="77777777" w:rsidR="001C671E" w:rsidRDefault="00000000">
            <w:pPr>
              <w:spacing w:after="0" w:line="259" w:lineRule="auto"/>
              <w:ind w:left="0" w:right="0" w:firstLine="0"/>
              <w:jc w:val="left"/>
            </w:pPr>
            <w:r>
              <w:rPr>
                <w:sz w:val="20"/>
              </w:rPr>
              <w:t>Share Teach</w:t>
            </w:r>
          </w:p>
        </w:tc>
        <w:tc>
          <w:tcPr>
            <w:tcW w:w="1432" w:type="dxa"/>
            <w:tcBorders>
              <w:top w:val="single" w:sz="3" w:space="0" w:color="000000"/>
              <w:left w:val="nil"/>
              <w:bottom w:val="nil"/>
              <w:right w:val="nil"/>
            </w:tcBorders>
          </w:tcPr>
          <w:p w14:paraId="159DD494" w14:textId="77777777" w:rsidR="001C671E" w:rsidRDefault="00000000">
            <w:pPr>
              <w:spacing w:after="0" w:line="259" w:lineRule="auto"/>
              <w:ind w:left="0" w:right="0" w:firstLine="0"/>
            </w:pPr>
            <w:r>
              <w:rPr>
                <w:sz w:val="20"/>
              </w:rPr>
              <w:t>MW Teach per</w:t>
            </w:r>
          </w:p>
        </w:tc>
      </w:tr>
      <w:tr w:rsidR="001C671E" w14:paraId="0AB2B039" w14:textId="77777777">
        <w:trPr>
          <w:trHeight w:val="281"/>
        </w:trPr>
        <w:tc>
          <w:tcPr>
            <w:tcW w:w="2866" w:type="dxa"/>
            <w:tcBorders>
              <w:top w:val="nil"/>
              <w:left w:val="nil"/>
              <w:bottom w:val="nil"/>
              <w:right w:val="nil"/>
            </w:tcBorders>
          </w:tcPr>
          <w:p w14:paraId="52B63DBB" w14:textId="77777777" w:rsidR="001C671E" w:rsidRDefault="00000000">
            <w:pPr>
              <w:spacing w:after="0" w:line="259" w:lineRule="auto"/>
              <w:ind w:left="0" w:right="0" w:firstLine="0"/>
              <w:jc w:val="left"/>
            </w:pPr>
            <w:r>
              <w:rPr>
                <w:i/>
                <w:sz w:val="20"/>
              </w:rPr>
              <w:t>Dependent Variable:</w:t>
            </w:r>
          </w:p>
        </w:tc>
        <w:tc>
          <w:tcPr>
            <w:tcW w:w="1402" w:type="dxa"/>
            <w:tcBorders>
              <w:top w:val="nil"/>
              <w:left w:val="nil"/>
              <w:bottom w:val="nil"/>
              <w:right w:val="nil"/>
            </w:tcBorders>
          </w:tcPr>
          <w:p w14:paraId="346B1E6E" w14:textId="77777777" w:rsidR="001C671E" w:rsidRDefault="00000000">
            <w:pPr>
              <w:spacing w:after="0" w:line="259" w:lineRule="auto"/>
              <w:ind w:left="25" w:right="0" w:firstLine="0"/>
              <w:jc w:val="left"/>
            </w:pPr>
            <w:r>
              <w:rPr>
                <w:sz w:val="20"/>
              </w:rPr>
              <w:t>Mar. Wom.</w:t>
            </w:r>
          </w:p>
        </w:tc>
        <w:tc>
          <w:tcPr>
            <w:tcW w:w="1651" w:type="dxa"/>
            <w:tcBorders>
              <w:top w:val="nil"/>
              <w:left w:val="nil"/>
              <w:bottom w:val="nil"/>
              <w:right w:val="nil"/>
            </w:tcBorders>
          </w:tcPr>
          <w:p w14:paraId="0C7B203B" w14:textId="77777777" w:rsidR="001C671E" w:rsidRDefault="00000000">
            <w:pPr>
              <w:spacing w:after="0" w:line="259" w:lineRule="auto"/>
              <w:ind w:left="280" w:right="0" w:firstLine="0"/>
              <w:jc w:val="left"/>
            </w:pPr>
            <w:r>
              <w:rPr>
                <w:sz w:val="20"/>
              </w:rPr>
              <w:t>100 MW</w:t>
            </w:r>
          </w:p>
        </w:tc>
        <w:tc>
          <w:tcPr>
            <w:tcW w:w="1402" w:type="dxa"/>
            <w:tcBorders>
              <w:top w:val="nil"/>
              <w:left w:val="nil"/>
              <w:bottom w:val="nil"/>
              <w:right w:val="nil"/>
            </w:tcBorders>
          </w:tcPr>
          <w:p w14:paraId="6A9028BC" w14:textId="77777777" w:rsidR="001C671E" w:rsidRDefault="00000000">
            <w:pPr>
              <w:spacing w:after="0" w:line="259" w:lineRule="auto"/>
              <w:ind w:left="25" w:right="0" w:firstLine="0"/>
              <w:jc w:val="left"/>
            </w:pPr>
            <w:r>
              <w:rPr>
                <w:sz w:val="20"/>
              </w:rPr>
              <w:t>Mar. Wom.</w:t>
            </w:r>
          </w:p>
        </w:tc>
        <w:tc>
          <w:tcPr>
            <w:tcW w:w="1651" w:type="dxa"/>
            <w:tcBorders>
              <w:top w:val="nil"/>
              <w:left w:val="nil"/>
              <w:bottom w:val="nil"/>
              <w:right w:val="nil"/>
            </w:tcBorders>
          </w:tcPr>
          <w:p w14:paraId="3777A211" w14:textId="77777777" w:rsidR="001C671E" w:rsidRDefault="00000000">
            <w:pPr>
              <w:spacing w:after="0" w:line="259" w:lineRule="auto"/>
              <w:ind w:left="280" w:right="0" w:firstLine="0"/>
              <w:jc w:val="left"/>
            </w:pPr>
            <w:r>
              <w:rPr>
                <w:sz w:val="20"/>
              </w:rPr>
              <w:t>100 MW</w:t>
            </w:r>
          </w:p>
        </w:tc>
        <w:tc>
          <w:tcPr>
            <w:tcW w:w="1402" w:type="dxa"/>
            <w:tcBorders>
              <w:top w:val="nil"/>
              <w:left w:val="nil"/>
              <w:bottom w:val="nil"/>
              <w:right w:val="nil"/>
            </w:tcBorders>
          </w:tcPr>
          <w:p w14:paraId="039143FD" w14:textId="77777777" w:rsidR="001C671E" w:rsidRDefault="00000000">
            <w:pPr>
              <w:spacing w:after="0" w:line="259" w:lineRule="auto"/>
              <w:ind w:left="25" w:right="0" w:firstLine="0"/>
              <w:jc w:val="left"/>
            </w:pPr>
            <w:r>
              <w:rPr>
                <w:sz w:val="20"/>
              </w:rPr>
              <w:t>Mar. Wom.</w:t>
            </w:r>
          </w:p>
        </w:tc>
        <w:tc>
          <w:tcPr>
            <w:tcW w:w="1432" w:type="dxa"/>
            <w:tcBorders>
              <w:top w:val="nil"/>
              <w:left w:val="nil"/>
              <w:bottom w:val="nil"/>
              <w:right w:val="nil"/>
            </w:tcBorders>
          </w:tcPr>
          <w:p w14:paraId="76EA0445" w14:textId="77777777" w:rsidR="001C671E" w:rsidRDefault="00000000">
            <w:pPr>
              <w:spacing w:after="0" w:line="259" w:lineRule="auto"/>
              <w:ind w:left="280" w:right="0" w:firstLine="0"/>
              <w:jc w:val="left"/>
            </w:pPr>
            <w:r>
              <w:rPr>
                <w:sz w:val="20"/>
              </w:rPr>
              <w:t>100 MW</w:t>
            </w:r>
          </w:p>
        </w:tc>
      </w:tr>
      <w:tr w:rsidR="001C671E" w14:paraId="3361898A" w14:textId="77777777">
        <w:trPr>
          <w:trHeight w:val="287"/>
        </w:trPr>
        <w:tc>
          <w:tcPr>
            <w:tcW w:w="2866" w:type="dxa"/>
            <w:tcBorders>
              <w:top w:val="nil"/>
              <w:left w:val="nil"/>
              <w:bottom w:val="single" w:sz="3" w:space="0" w:color="000000"/>
              <w:right w:val="nil"/>
            </w:tcBorders>
          </w:tcPr>
          <w:p w14:paraId="041F3694" w14:textId="77777777" w:rsidR="001C671E" w:rsidRDefault="001C671E">
            <w:pPr>
              <w:spacing w:after="160" w:line="259" w:lineRule="auto"/>
              <w:ind w:left="0" w:right="0" w:firstLine="0"/>
              <w:jc w:val="left"/>
            </w:pPr>
          </w:p>
        </w:tc>
        <w:tc>
          <w:tcPr>
            <w:tcW w:w="1402" w:type="dxa"/>
            <w:tcBorders>
              <w:top w:val="nil"/>
              <w:left w:val="nil"/>
              <w:bottom w:val="single" w:sz="3" w:space="0" w:color="000000"/>
              <w:right w:val="nil"/>
            </w:tcBorders>
          </w:tcPr>
          <w:p w14:paraId="3C7D8443" w14:textId="77777777" w:rsidR="001C671E" w:rsidRDefault="00000000">
            <w:pPr>
              <w:spacing w:after="0" w:line="259" w:lineRule="auto"/>
              <w:ind w:left="404" w:right="0" w:firstLine="0"/>
              <w:jc w:val="left"/>
            </w:pPr>
            <w:r>
              <w:rPr>
                <w:sz w:val="20"/>
              </w:rPr>
              <w:t>(1)</w:t>
            </w:r>
          </w:p>
        </w:tc>
        <w:tc>
          <w:tcPr>
            <w:tcW w:w="1651" w:type="dxa"/>
            <w:tcBorders>
              <w:top w:val="nil"/>
              <w:left w:val="nil"/>
              <w:bottom w:val="single" w:sz="3" w:space="0" w:color="000000"/>
              <w:right w:val="nil"/>
            </w:tcBorders>
          </w:tcPr>
          <w:p w14:paraId="3647D688" w14:textId="77777777" w:rsidR="001C671E" w:rsidRDefault="00000000">
            <w:pPr>
              <w:spacing w:after="0" w:line="259" w:lineRule="auto"/>
              <w:ind w:left="529" w:right="0" w:firstLine="0"/>
              <w:jc w:val="left"/>
            </w:pPr>
            <w:r>
              <w:rPr>
                <w:sz w:val="20"/>
              </w:rPr>
              <w:t>(2)</w:t>
            </w:r>
          </w:p>
        </w:tc>
        <w:tc>
          <w:tcPr>
            <w:tcW w:w="1402" w:type="dxa"/>
            <w:tcBorders>
              <w:top w:val="nil"/>
              <w:left w:val="nil"/>
              <w:bottom w:val="single" w:sz="3" w:space="0" w:color="000000"/>
              <w:right w:val="nil"/>
            </w:tcBorders>
          </w:tcPr>
          <w:p w14:paraId="7CFDF139" w14:textId="77777777" w:rsidR="001C671E" w:rsidRDefault="00000000">
            <w:pPr>
              <w:spacing w:after="0" w:line="259" w:lineRule="auto"/>
              <w:ind w:left="404" w:right="0" w:firstLine="0"/>
              <w:jc w:val="left"/>
            </w:pPr>
            <w:r>
              <w:rPr>
                <w:sz w:val="20"/>
              </w:rPr>
              <w:t>(3)</w:t>
            </w:r>
          </w:p>
        </w:tc>
        <w:tc>
          <w:tcPr>
            <w:tcW w:w="1651" w:type="dxa"/>
            <w:tcBorders>
              <w:top w:val="nil"/>
              <w:left w:val="nil"/>
              <w:bottom w:val="single" w:sz="3" w:space="0" w:color="000000"/>
              <w:right w:val="nil"/>
            </w:tcBorders>
          </w:tcPr>
          <w:p w14:paraId="351C2566" w14:textId="77777777" w:rsidR="001C671E" w:rsidRDefault="00000000">
            <w:pPr>
              <w:spacing w:after="0" w:line="259" w:lineRule="auto"/>
              <w:ind w:left="529" w:right="0" w:firstLine="0"/>
              <w:jc w:val="left"/>
            </w:pPr>
            <w:r>
              <w:rPr>
                <w:sz w:val="20"/>
              </w:rPr>
              <w:t>(4)</w:t>
            </w:r>
          </w:p>
        </w:tc>
        <w:tc>
          <w:tcPr>
            <w:tcW w:w="1402" w:type="dxa"/>
            <w:tcBorders>
              <w:top w:val="nil"/>
              <w:left w:val="nil"/>
              <w:bottom w:val="single" w:sz="3" w:space="0" w:color="000000"/>
              <w:right w:val="nil"/>
            </w:tcBorders>
          </w:tcPr>
          <w:p w14:paraId="13D3801E" w14:textId="77777777" w:rsidR="001C671E" w:rsidRDefault="00000000">
            <w:pPr>
              <w:spacing w:after="0" w:line="259" w:lineRule="auto"/>
              <w:ind w:left="404" w:right="0" w:firstLine="0"/>
              <w:jc w:val="left"/>
            </w:pPr>
            <w:r>
              <w:rPr>
                <w:sz w:val="20"/>
              </w:rPr>
              <w:t>(5)</w:t>
            </w:r>
          </w:p>
        </w:tc>
        <w:tc>
          <w:tcPr>
            <w:tcW w:w="1432" w:type="dxa"/>
            <w:tcBorders>
              <w:top w:val="nil"/>
              <w:left w:val="nil"/>
              <w:bottom w:val="single" w:sz="3" w:space="0" w:color="000000"/>
              <w:right w:val="nil"/>
            </w:tcBorders>
          </w:tcPr>
          <w:p w14:paraId="33E6AC02" w14:textId="77777777" w:rsidR="001C671E" w:rsidRDefault="00000000">
            <w:pPr>
              <w:spacing w:after="0" w:line="259" w:lineRule="auto"/>
              <w:ind w:left="0" w:right="0" w:firstLine="0"/>
              <w:jc w:val="center"/>
            </w:pPr>
            <w:r>
              <w:rPr>
                <w:sz w:val="20"/>
              </w:rPr>
              <w:t>(6)</w:t>
            </w:r>
          </w:p>
        </w:tc>
      </w:tr>
      <w:tr w:rsidR="001C671E" w14:paraId="5E5B7734" w14:textId="77777777">
        <w:trPr>
          <w:trHeight w:val="326"/>
        </w:trPr>
        <w:tc>
          <w:tcPr>
            <w:tcW w:w="2866" w:type="dxa"/>
            <w:tcBorders>
              <w:top w:val="single" w:sz="3" w:space="0" w:color="000000"/>
              <w:left w:val="nil"/>
              <w:bottom w:val="nil"/>
              <w:right w:val="nil"/>
            </w:tcBorders>
          </w:tcPr>
          <w:p w14:paraId="3FE6518B" w14:textId="77777777" w:rsidR="001C671E" w:rsidRDefault="00000000">
            <w:pPr>
              <w:tabs>
                <w:tab w:val="center" w:pos="1356"/>
              </w:tabs>
              <w:spacing w:after="0" w:line="259" w:lineRule="auto"/>
              <w:ind w:left="0" w:right="0" w:firstLine="0"/>
              <w:jc w:val="left"/>
            </w:pPr>
            <w:r>
              <w:rPr>
                <w:sz w:val="20"/>
              </w:rPr>
              <w:t>Treated</w:t>
            </w:r>
            <w:r>
              <w:rPr>
                <w:sz w:val="20"/>
              </w:rPr>
              <w:tab/>
            </w:r>
            <w:r>
              <w:rPr>
                <w:noProof/>
              </w:rPr>
              <w:drawing>
                <wp:inline distT="0" distB="0" distL="0" distR="0" wp14:anchorId="1E8F67F7" wp14:editId="7E941EE8">
                  <wp:extent cx="734568" cy="143256"/>
                  <wp:effectExtent l="0" t="0" r="0" b="0"/>
                  <wp:docPr id="52106" name="Picture 52106"/>
                  <wp:cNvGraphicFramePr/>
                  <a:graphic xmlns:a="http://schemas.openxmlformats.org/drawingml/2006/main">
                    <a:graphicData uri="http://schemas.openxmlformats.org/drawingml/2006/picture">
                      <pic:pic xmlns:pic="http://schemas.openxmlformats.org/drawingml/2006/picture">
                        <pic:nvPicPr>
                          <pic:cNvPr id="52106" name="Picture 52106"/>
                          <pic:cNvPicPr/>
                        </pic:nvPicPr>
                        <pic:blipFill>
                          <a:blip r:embed="rId11"/>
                          <a:stretch>
                            <a:fillRect/>
                          </a:stretch>
                        </pic:blipFill>
                        <pic:spPr>
                          <a:xfrm>
                            <a:off x="0" y="0"/>
                            <a:ext cx="734568" cy="143256"/>
                          </a:xfrm>
                          <a:prstGeom prst="rect">
                            <a:avLst/>
                          </a:prstGeom>
                        </pic:spPr>
                      </pic:pic>
                    </a:graphicData>
                  </a:graphic>
                </wp:inline>
              </w:drawing>
            </w:r>
            <w:r>
              <w:rPr>
                <w:sz w:val="20"/>
              </w:rPr>
              <w:t>)</w:t>
            </w:r>
          </w:p>
        </w:tc>
        <w:tc>
          <w:tcPr>
            <w:tcW w:w="1402" w:type="dxa"/>
            <w:tcBorders>
              <w:top w:val="single" w:sz="3" w:space="0" w:color="000000"/>
              <w:left w:val="nil"/>
              <w:bottom w:val="nil"/>
              <w:right w:val="nil"/>
            </w:tcBorders>
          </w:tcPr>
          <w:p w14:paraId="01D3163E" w14:textId="77777777" w:rsidR="001C671E" w:rsidRDefault="00000000">
            <w:pPr>
              <w:spacing w:after="0" w:line="259" w:lineRule="auto"/>
              <w:ind w:left="177" w:right="0" w:firstLine="0"/>
              <w:jc w:val="left"/>
            </w:pPr>
            <w:r>
              <w:rPr>
                <w:sz w:val="20"/>
              </w:rPr>
              <w:t>0.035</w:t>
            </w:r>
            <w:r>
              <w:rPr>
                <w:sz w:val="20"/>
                <w:vertAlign w:val="superscript"/>
              </w:rPr>
              <w:t>∗∗∗</w:t>
            </w:r>
          </w:p>
        </w:tc>
        <w:tc>
          <w:tcPr>
            <w:tcW w:w="1651" w:type="dxa"/>
            <w:tcBorders>
              <w:top w:val="single" w:sz="3" w:space="0" w:color="000000"/>
              <w:left w:val="nil"/>
              <w:bottom w:val="nil"/>
              <w:right w:val="nil"/>
            </w:tcBorders>
          </w:tcPr>
          <w:p w14:paraId="1A090CB6" w14:textId="77777777" w:rsidR="001C671E" w:rsidRDefault="00000000">
            <w:pPr>
              <w:spacing w:after="0" w:line="259" w:lineRule="auto"/>
              <w:ind w:left="302" w:right="0" w:firstLine="0"/>
              <w:jc w:val="left"/>
            </w:pPr>
            <w:r>
              <w:rPr>
                <w:sz w:val="20"/>
              </w:rPr>
              <w:t>0.095</w:t>
            </w:r>
            <w:r>
              <w:rPr>
                <w:sz w:val="20"/>
                <w:vertAlign w:val="superscript"/>
              </w:rPr>
              <w:t>∗∗∗</w:t>
            </w:r>
          </w:p>
        </w:tc>
        <w:tc>
          <w:tcPr>
            <w:tcW w:w="1402" w:type="dxa"/>
            <w:tcBorders>
              <w:top w:val="single" w:sz="3" w:space="0" w:color="000000"/>
              <w:left w:val="nil"/>
              <w:bottom w:val="nil"/>
              <w:right w:val="nil"/>
            </w:tcBorders>
          </w:tcPr>
          <w:p w14:paraId="683960D5" w14:textId="77777777" w:rsidR="001C671E" w:rsidRDefault="00000000">
            <w:pPr>
              <w:spacing w:after="0" w:line="259" w:lineRule="auto"/>
              <w:ind w:left="177" w:right="0" w:firstLine="0"/>
              <w:jc w:val="left"/>
            </w:pPr>
            <w:r>
              <w:rPr>
                <w:sz w:val="20"/>
              </w:rPr>
              <w:t>0.041</w:t>
            </w:r>
            <w:r>
              <w:rPr>
                <w:sz w:val="20"/>
                <w:vertAlign w:val="superscript"/>
              </w:rPr>
              <w:t>∗∗∗</w:t>
            </w:r>
          </w:p>
        </w:tc>
        <w:tc>
          <w:tcPr>
            <w:tcW w:w="1651" w:type="dxa"/>
            <w:tcBorders>
              <w:top w:val="single" w:sz="3" w:space="0" w:color="000000"/>
              <w:left w:val="nil"/>
              <w:bottom w:val="nil"/>
              <w:right w:val="nil"/>
            </w:tcBorders>
          </w:tcPr>
          <w:p w14:paraId="7C44BD7E" w14:textId="77777777" w:rsidR="001C671E" w:rsidRDefault="00000000">
            <w:pPr>
              <w:spacing w:after="0" w:line="259" w:lineRule="auto"/>
              <w:ind w:left="302" w:right="0" w:firstLine="0"/>
              <w:jc w:val="left"/>
            </w:pPr>
            <w:r>
              <w:rPr>
                <w:sz w:val="20"/>
              </w:rPr>
              <w:t>0.122</w:t>
            </w:r>
            <w:r>
              <w:rPr>
                <w:sz w:val="20"/>
                <w:vertAlign w:val="superscript"/>
              </w:rPr>
              <w:t>∗∗∗</w:t>
            </w:r>
          </w:p>
        </w:tc>
        <w:tc>
          <w:tcPr>
            <w:tcW w:w="1402" w:type="dxa"/>
            <w:tcBorders>
              <w:top w:val="single" w:sz="3" w:space="0" w:color="000000"/>
              <w:left w:val="nil"/>
              <w:bottom w:val="nil"/>
              <w:right w:val="nil"/>
            </w:tcBorders>
          </w:tcPr>
          <w:p w14:paraId="74267D1C" w14:textId="77777777" w:rsidR="001C671E" w:rsidRDefault="00000000">
            <w:pPr>
              <w:spacing w:after="0" w:line="259" w:lineRule="auto"/>
              <w:ind w:left="305" w:right="0" w:firstLine="0"/>
              <w:jc w:val="left"/>
            </w:pPr>
            <w:r>
              <w:rPr>
                <w:sz w:val="20"/>
              </w:rPr>
              <w:t>0.005</w:t>
            </w:r>
          </w:p>
        </w:tc>
        <w:tc>
          <w:tcPr>
            <w:tcW w:w="1432" w:type="dxa"/>
            <w:tcBorders>
              <w:top w:val="single" w:sz="3" w:space="0" w:color="000000"/>
              <w:left w:val="nil"/>
              <w:bottom w:val="nil"/>
              <w:right w:val="nil"/>
            </w:tcBorders>
          </w:tcPr>
          <w:p w14:paraId="039AA292" w14:textId="77777777" w:rsidR="001C671E" w:rsidRDefault="00000000">
            <w:pPr>
              <w:spacing w:after="0" w:line="259" w:lineRule="auto"/>
              <w:ind w:left="0" w:right="0" w:firstLine="0"/>
              <w:jc w:val="center"/>
            </w:pPr>
            <w:r>
              <w:rPr>
                <w:sz w:val="20"/>
              </w:rPr>
              <w:t>0.068</w:t>
            </w:r>
          </w:p>
        </w:tc>
      </w:tr>
      <w:tr w:rsidR="001C671E" w14:paraId="2BCDE06A" w14:textId="77777777">
        <w:trPr>
          <w:trHeight w:val="339"/>
        </w:trPr>
        <w:tc>
          <w:tcPr>
            <w:tcW w:w="2866" w:type="dxa"/>
            <w:tcBorders>
              <w:top w:val="nil"/>
              <w:left w:val="nil"/>
              <w:bottom w:val="nil"/>
              <w:right w:val="nil"/>
            </w:tcBorders>
          </w:tcPr>
          <w:p w14:paraId="75F9009F" w14:textId="77777777" w:rsidR="001C671E" w:rsidRDefault="001C671E">
            <w:pPr>
              <w:spacing w:after="160" w:line="259" w:lineRule="auto"/>
              <w:ind w:left="0" w:right="0" w:firstLine="0"/>
              <w:jc w:val="left"/>
            </w:pPr>
          </w:p>
        </w:tc>
        <w:tc>
          <w:tcPr>
            <w:tcW w:w="1402" w:type="dxa"/>
            <w:tcBorders>
              <w:top w:val="nil"/>
              <w:left w:val="nil"/>
              <w:bottom w:val="nil"/>
              <w:right w:val="nil"/>
            </w:tcBorders>
          </w:tcPr>
          <w:p w14:paraId="6C99C1D4" w14:textId="77777777" w:rsidR="001C671E" w:rsidRDefault="00000000">
            <w:pPr>
              <w:spacing w:after="0" w:line="259" w:lineRule="auto"/>
              <w:ind w:left="227" w:right="0" w:firstLine="0"/>
              <w:jc w:val="left"/>
            </w:pPr>
            <w:r>
              <w:rPr>
                <w:sz w:val="20"/>
              </w:rPr>
              <w:t>(0.007)</w:t>
            </w:r>
          </w:p>
        </w:tc>
        <w:tc>
          <w:tcPr>
            <w:tcW w:w="1651" w:type="dxa"/>
            <w:tcBorders>
              <w:top w:val="nil"/>
              <w:left w:val="nil"/>
              <w:bottom w:val="nil"/>
              <w:right w:val="nil"/>
            </w:tcBorders>
          </w:tcPr>
          <w:p w14:paraId="61ADDBC6" w14:textId="77777777" w:rsidR="001C671E" w:rsidRDefault="00000000">
            <w:pPr>
              <w:spacing w:after="0" w:line="259" w:lineRule="auto"/>
              <w:ind w:left="352" w:right="0" w:firstLine="0"/>
              <w:jc w:val="left"/>
            </w:pPr>
            <w:r>
              <w:rPr>
                <w:sz w:val="20"/>
              </w:rPr>
              <w:t>(0.031)</w:t>
            </w:r>
          </w:p>
        </w:tc>
        <w:tc>
          <w:tcPr>
            <w:tcW w:w="1402" w:type="dxa"/>
            <w:tcBorders>
              <w:top w:val="nil"/>
              <w:left w:val="nil"/>
              <w:bottom w:val="nil"/>
              <w:right w:val="nil"/>
            </w:tcBorders>
          </w:tcPr>
          <w:p w14:paraId="65D51B36" w14:textId="77777777" w:rsidR="001C671E" w:rsidRDefault="00000000">
            <w:pPr>
              <w:spacing w:after="0" w:line="259" w:lineRule="auto"/>
              <w:ind w:left="227" w:right="0" w:firstLine="0"/>
              <w:jc w:val="left"/>
            </w:pPr>
            <w:r>
              <w:rPr>
                <w:sz w:val="20"/>
              </w:rPr>
              <w:t>(0.008)</w:t>
            </w:r>
          </w:p>
        </w:tc>
        <w:tc>
          <w:tcPr>
            <w:tcW w:w="1651" w:type="dxa"/>
            <w:tcBorders>
              <w:top w:val="nil"/>
              <w:left w:val="nil"/>
              <w:bottom w:val="nil"/>
              <w:right w:val="nil"/>
            </w:tcBorders>
          </w:tcPr>
          <w:p w14:paraId="3B81D01E" w14:textId="77777777" w:rsidR="001C671E" w:rsidRDefault="00000000">
            <w:pPr>
              <w:spacing w:after="0" w:line="259" w:lineRule="auto"/>
              <w:ind w:left="352" w:right="0" w:firstLine="0"/>
              <w:jc w:val="left"/>
            </w:pPr>
            <w:r>
              <w:rPr>
                <w:sz w:val="20"/>
              </w:rPr>
              <w:t>(0.035)</w:t>
            </w:r>
          </w:p>
        </w:tc>
        <w:tc>
          <w:tcPr>
            <w:tcW w:w="1402" w:type="dxa"/>
            <w:tcBorders>
              <w:top w:val="nil"/>
              <w:left w:val="nil"/>
              <w:bottom w:val="nil"/>
              <w:right w:val="nil"/>
            </w:tcBorders>
          </w:tcPr>
          <w:p w14:paraId="7E19DF25" w14:textId="77777777" w:rsidR="001C671E" w:rsidRDefault="00000000">
            <w:pPr>
              <w:spacing w:after="0" w:line="259" w:lineRule="auto"/>
              <w:ind w:left="227" w:right="0" w:firstLine="0"/>
              <w:jc w:val="left"/>
            </w:pPr>
            <w:r>
              <w:rPr>
                <w:sz w:val="20"/>
              </w:rPr>
              <w:t>(0.018)</w:t>
            </w:r>
          </w:p>
        </w:tc>
        <w:tc>
          <w:tcPr>
            <w:tcW w:w="1432" w:type="dxa"/>
            <w:tcBorders>
              <w:top w:val="nil"/>
              <w:left w:val="nil"/>
              <w:bottom w:val="nil"/>
              <w:right w:val="nil"/>
            </w:tcBorders>
          </w:tcPr>
          <w:p w14:paraId="41927CE3" w14:textId="77777777" w:rsidR="001C671E" w:rsidRDefault="00000000">
            <w:pPr>
              <w:spacing w:after="0" w:line="259" w:lineRule="auto"/>
              <w:ind w:left="352" w:right="0" w:firstLine="0"/>
              <w:jc w:val="left"/>
            </w:pPr>
            <w:r>
              <w:rPr>
                <w:sz w:val="20"/>
              </w:rPr>
              <w:t>(0.079)</w:t>
            </w:r>
          </w:p>
        </w:tc>
      </w:tr>
      <w:tr w:rsidR="001C671E" w14:paraId="0F74722B" w14:textId="77777777">
        <w:trPr>
          <w:trHeight w:val="378"/>
        </w:trPr>
        <w:tc>
          <w:tcPr>
            <w:tcW w:w="2866" w:type="dxa"/>
            <w:tcBorders>
              <w:top w:val="nil"/>
              <w:left w:val="nil"/>
              <w:bottom w:val="nil"/>
              <w:right w:val="nil"/>
            </w:tcBorders>
            <w:vAlign w:val="bottom"/>
          </w:tcPr>
          <w:p w14:paraId="14271515" w14:textId="77777777" w:rsidR="001C671E" w:rsidRDefault="00000000">
            <w:pPr>
              <w:tabs>
                <w:tab w:val="center" w:pos="1356"/>
              </w:tabs>
              <w:spacing w:after="0" w:line="259" w:lineRule="auto"/>
              <w:ind w:left="0" w:right="0" w:firstLine="0"/>
              <w:jc w:val="left"/>
            </w:pPr>
            <w:r>
              <w:rPr>
                <w:sz w:val="20"/>
              </w:rPr>
              <w:t>Treated</w:t>
            </w:r>
            <w:r>
              <w:rPr>
                <w:sz w:val="20"/>
              </w:rPr>
              <w:tab/>
            </w:r>
            <w:r>
              <w:rPr>
                <w:noProof/>
              </w:rPr>
              <w:drawing>
                <wp:inline distT="0" distB="0" distL="0" distR="0" wp14:anchorId="1372A29F" wp14:editId="2FD55673">
                  <wp:extent cx="734568" cy="143256"/>
                  <wp:effectExtent l="0" t="0" r="0" b="0"/>
                  <wp:docPr id="52107" name="Picture 52107"/>
                  <wp:cNvGraphicFramePr/>
                  <a:graphic xmlns:a="http://schemas.openxmlformats.org/drawingml/2006/main">
                    <a:graphicData uri="http://schemas.openxmlformats.org/drawingml/2006/picture">
                      <pic:pic xmlns:pic="http://schemas.openxmlformats.org/drawingml/2006/picture">
                        <pic:nvPicPr>
                          <pic:cNvPr id="52107" name="Picture 52107"/>
                          <pic:cNvPicPr/>
                        </pic:nvPicPr>
                        <pic:blipFill>
                          <a:blip r:embed="rId12"/>
                          <a:stretch>
                            <a:fillRect/>
                          </a:stretch>
                        </pic:blipFill>
                        <pic:spPr>
                          <a:xfrm>
                            <a:off x="0" y="0"/>
                            <a:ext cx="734568" cy="143256"/>
                          </a:xfrm>
                          <a:prstGeom prst="rect">
                            <a:avLst/>
                          </a:prstGeom>
                        </pic:spPr>
                      </pic:pic>
                    </a:graphicData>
                  </a:graphic>
                </wp:inline>
              </w:drawing>
            </w:r>
            <w:r>
              <w:rPr>
                <w:sz w:val="20"/>
              </w:rPr>
              <w:t>)</w:t>
            </w:r>
          </w:p>
        </w:tc>
        <w:tc>
          <w:tcPr>
            <w:tcW w:w="1402" w:type="dxa"/>
            <w:tcBorders>
              <w:top w:val="nil"/>
              <w:left w:val="nil"/>
              <w:bottom w:val="nil"/>
              <w:right w:val="nil"/>
            </w:tcBorders>
            <w:vAlign w:val="bottom"/>
          </w:tcPr>
          <w:p w14:paraId="3A60808D" w14:textId="77777777" w:rsidR="001C671E" w:rsidRDefault="00000000">
            <w:pPr>
              <w:spacing w:after="0" w:line="259" w:lineRule="auto"/>
              <w:ind w:left="305" w:right="0" w:firstLine="0"/>
              <w:jc w:val="left"/>
            </w:pPr>
            <w:r>
              <w:rPr>
                <w:sz w:val="20"/>
              </w:rPr>
              <w:t>0.006</w:t>
            </w:r>
          </w:p>
        </w:tc>
        <w:tc>
          <w:tcPr>
            <w:tcW w:w="1651" w:type="dxa"/>
            <w:tcBorders>
              <w:top w:val="nil"/>
              <w:left w:val="nil"/>
              <w:bottom w:val="nil"/>
              <w:right w:val="nil"/>
            </w:tcBorders>
            <w:vAlign w:val="bottom"/>
          </w:tcPr>
          <w:p w14:paraId="2330645C" w14:textId="77777777" w:rsidR="001C671E" w:rsidRDefault="00000000">
            <w:pPr>
              <w:spacing w:after="0" w:line="259" w:lineRule="auto"/>
              <w:ind w:left="265" w:right="0" w:firstLine="0"/>
              <w:jc w:val="left"/>
            </w:pPr>
            <w:r>
              <w:rPr>
                <w:sz w:val="20"/>
              </w:rPr>
              <w:t>−0.083</w:t>
            </w:r>
            <w:r>
              <w:rPr>
                <w:sz w:val="20"/>
                <w:vertAlign w:val="superscript"/>
              </w:rPr>
              <w:t>∗∗</w:t>
            </w:r>
          </w:p>
        </w:tc>
        <w:tc>
          <w:tcPr>
            <w:tcW w:w="1402" w:type="dxa"/>
            <w:tcBorders>
              <w:top w:val="nil"/>
              <w:left w:val="nil"/>
              <w:bottom w:val="nil"/>
              <w:right w:val="nil"/>
            </w:tcBorders>
            <w:vAlign w:val="bottom"/>
          </w:tcPr>
          <w:p w14:paraId="1286EDAC" w14:textId="77777777" w:rsidR="001C671E" w:rsidRDefault="00000000">
            <w:pPr>
              <w:spacing w:after="0" w:line="259" w:lineRule="auto"/>
              <w:ind w:left="305" w:right="0" w:firstLine="0"/>
              <w:jc w:val="left"/>
            </w:pPr>
            <w:r>
              <w:rPr>
                <w:sz w:val="20"/>
              </w:rPr>
              <w:t>0.007</w:t>
            </w:r>
          </w:p>
        </w:tc>
        <w:tc>
          <w:tcPr>
            <w:tcW w:w="1651" w:type="dxa"/>
            <w:tcBorders>
              <w:top w:val="nil"/>
              <w:left w:val="nil"/>
              <w:bottom w:val="nil"/>
              <w:right w:val="nil"/>
            </w:tcBorders>
            <w:vAlign w:val="bottom"/>
          </w:tcPr>
          <w:p w14:paraId="5D58A790" w14:textId="77777777" w:rsidR="001C671E" w:rsidRDefault="00000000">
            <w:pPr>
              <w:spacing w:after="0" w:line="259" w:lineRule="auto"/>
              <w:ind w:left="306" w:right="0" w:firstLine="0"/>
              <w:jc w:val="left"/>
            </w:pPr>
            <w:r>
              <w:rPr>
                <w:sz w:val="20"/>
              </w:rPr>
              <w:t>−0.074</w:t>
            </w:r>
            <w:r>
              <w:rPr>
                <w:sz w:val="20"/>
                <w:vertAlign w:val="superscript"/>
              </w:rPr>
              <w:t>∗</w:t>
            </w:r>
          </w:p>
        </w:tc>
        <w:tc>
          <w:tcPr>
            <w:tcW w:w="1402" w:type="dxa"/>
            <w:tcBorders>
              <w:top w:val="nil"/>
              <w:left w:val="nil"/>
              <w:bottom w:val="nil"/>
              <w:right w:val="nil"/>
            </w:tcBorders>
            <w:vAlign w:val="bottom"/>
          </w:tcPr>
          <w:p w14:paraId="2D21357A" w14:textId="77777777" w:rsidR="001C671E" w:rsidRDefault="00000000">
            <w:pPr>
              <w:spacing w:after="0" w:line="259" w:lineRule="auto"/>
              <w:ind w:left="227" w:right="0" w:firstLine="0"/>
              <w:jc w:val="left"/>
            </w:pPr>
            <w:r>
              <w:rPr>
                <w:sz w:val="20"/>
              </w:rPr>
              <w:t>−0.005</w:t>
            </w:r>
          </w:p>
        </w:tc>
        <w:tc>
          <w:tcPr>
            <w:tcW w:w="1432" w:type="dxa"/>
            <w:tcBorders>
              <w:top w:val="nil"/>
              <w:left w:val="nil"/>
              <w:bottom w:val="nil"/>
              <w:right w:val="nil"/>
            </w:tcBorders>
            <w:vAlign w:val="bottom"/>
          </w:tcPr>
          <w:p w14:paraId="6E0D4DF4" w14:textId="77777777" w:rsidR="001C671E" w:rsidRDefault="00000000">
            <w:pPr>
              <w:spacing w:after="0" w:line="259" w:lineRule="auto"/>
              <w:ind w:left="352" w:right="0" w:firstLine="0"/>
              <w:jc w:val="left"/>
            </w:pPr>
            <w:r>
              <w:rPr>
                <w:sz w:val="20"/>
              </w:rPr>
              <w:t>−0.121</w:t>
            </w:r>
          </w:p>
        </w:tc>
      </w:tr>
      <w:tr w:rsidR="001C671E" w14:paraId="4A850024" w14:textId="77777777">
        <w:trPr>
          <w:trHeight w:val="484"/>
        </w:trPr>
        <w:tc>
          <w:tcPr>
            <w:tcW w:w="2866" w:type="dxa"/>
            <w:tcBorders>
              <w:top w:val="nil"/>
              <w:left w:val="nil"/>
              <w:bottom w:val="single" w:sz="3" w:space="0" w:color="000000"/>
              <w:right w:val="nil"/>
            </w:tcBorders>
          </w:tcPr>
          <w:p w14:paraId="014C9E16" w14:textId="77777777" w:rsidR="001C671E" w:rsidRDefault="001C671E">
            <w:pPr>
              <w:spacing w:after="160" w:line="259" w:lineRule="auto"/>
              <w:ind w:left="0" w:right="0" w:firstLine="0"/>
              <w:jc w:val="left"/>
            </w:pPr>
          </w:p>
        </w:tc>
        <w:tc>
          <w:tcPr>
            <w:tcW w:w="1402" w:type="dxa"/>
            <w:tcBorders>
              <w:top w:val="nil"/>
              <w:left w:val="nil"/>
              <w:bottom w:val="single" w:sz="3" w:space="0" w:color="000000"/>
              <w:right w:val="nil"/>
            </w:tcBorders>
          </w:tcPr>
          <w:p w14:paraId="735969E3" w14:textId="77777777" w:rsidR="001C671E" w:rsidRDefault="00000000">
            <w:pPr>
              <w:spacing w:after="0" w:line="259" w:lineRule="auto"/>
              <w:ind w:left="227" w:right="0" w:firstLine="0"/>
              <w:jc w:val="left"/>
            </w:pPr>
            <w:r>
              <w:rPr>
                <w:sz w:val="20"/>
              </w:rPr>
              <w:t>(0.009)</w:t>
            </w:r>
          </w:p>
        </w:tc>
        <w:tc>
          <w:tcPr>
            <w:tcW w:w="1651" w:type="dxa"/>
            <w:tcBorders>
              <w:top w:val="nil"/>
              <w:left w:val="nil"/>
              <w:bottom w:val="single" w:sz="3" w:space="0" w:color="000000"/>
              <w:right w:val="nil"/>
            </w:tcBorders>
          </w:tcPr>
          <w:p w14:paraId="484016A3" w14:textId="77777777" w:rsidR="001C671E" w:rsidRDefault="00000000">
            <w:pPr>
              <w:spacing w:after="0" w:line="259" w:lineRule="auto"/>
              <w:ind w:left="352" w:right="0" w:firstLine="0"/>
              <w:jc w:val="left"/>
            </w:pPr>
            <w:r>
              <w:rPr>
                <w:sz w:val="20"/>
              </w:rPr>
              <w:t>(0.034)</w:t>
            </w:r>
          </w:p>
        </w:tc>
        <w:tc>
          <w:tcPr>
            <w:tcW w:w="1402" w:type="dxa"/>
            <w:tcBorders>
              <w:top w:val="nil"/>
              <w:left w:val="nil"/>
              <w:bottom w:val="single" w:sz="3" w:space="0" w:color="000000"/>
              <w:right w:val="nil"/>
            </w:tcBorders>
          </w:tcPr>
          <w:p w14:paraId="5DB14341" w14:textId="77777777" w:rsidR="001C671E" w:rsidRDefault="00000000">
            <w:pPr>
              <w:spacing w:after="0" w:line="259" w:lineRule="auto"/>
              <w:ind w:left="227" w:right="0" w:firstLine="0"/>
              <w:jc w:val="left"/>
            </w:pPr>
            <w:r>
              <w:rPr>
                <w:sz w:val="20"/>
              </w:rPr>
              <w:t>(0.010)</w:t>
            </w:r>
          </w:p>
        </w:tc>
        <w:tc>
          <w:tcPr>
            <w:tcW w:w="1651" w:type="dxa"/>
            <w:tcBorders>
              <w:top w:val="nil"/>
              <w:left w:val="nil"/>
              <w:bottom w:val="single" w:sz="3" w:space="0" w:color="000000"/>
              <w:right w:val="nil"/>
            </w:tcBorders>
          </w:tcPr>
          <w:p w14:paraId="746DFEDC" w14:textId="77777777" w:rsidR="001C671E" w:rsidRDefault="00000000">
            <w:pPr>
              <w:spacing w:after="0" w:line="259" w:lineRule="auto"/>
              <w:ind w:left="352" w:right="0" w:firstLine="0"/>
              <w:jc w:val="left"/>
            </w:pPr>
            <w:r>
              <w:rPr>
                <w:sz w:val="20"/>
              </w:rPr>
              <w:t>(0.038)</w:t>
            </w:r>
          </w:p>
        </w:tc>
        <w:tc>
          <w:tcPr>
            <w:tcW w:w="1402" w:type="dxa"/>
            <w:tcBorders>
              <w:top w:val="nil"/>
              <w:left w:val="nil"/>
              <w:bottom w:val="single" w:sz="3" w:space="0" w:color="000000"/>
              <w:right w:val="nil"/>
            </w:tcBorders>
          </w:tcPr>
          <w:p w14:paraId="3AD72D7E" w14:textId="77777777" w:rsidR="001C671E" w:rsidRDefault="00000000">
            <w:pPr>
              <w:spacing w:after="0" w:line="259" w:lineRule="auto"/>
              <w:ind w:left="227" w:right="0" w:firstLine="0"/>
              <w:jc w:val="left"/>
            </w:pPr>
            <w:r>
              <w:rPr>
                <w:sz w:val="20"/>
              </w:rPr>
              <w:t>(0.021)</w:t>
            </w:r>
          </w:p>
        </w:tc>
        <w:tc>
          <w:tcPr>
            <w:tcW w:w="1432" w:type="dxa"/>
            <w:tcBorders>
              <w:top w:val="nil"/>
              <w:left w:val="nil"/>
              <w:bottom w:val="single" w:sz="3" w:space="0" w:color="000000"/>
              <w:right w:val="nil"/>
            </w:tcBorders>
          </w:tcPr>
          <w:p w14:paraId="6BF90014" w14:textId="77777777" w:rsidR="001C671E" w:rsidRDefault="00000000">
            <w:pPr>
              <w:spacing w:after="0" w:line="259" w:lineRule="auto"/>
              <w:ind w:left="352" w:right="0" w:firstLine="0"/>
              <w:jc w:val="left"/>
            </w:pPr>
            <w:r>
              <w:rPr>
                <w:sz w:val="20"/>
              </w:rPr>
              <w:t>(0.095)</w:t>
            </w:r>
          </w:p>
        </w:tc>
      </w:tr>
      <w:tr w:rsidR="001C671E" w14:paraId="4E9DE94B" w14:textId="77777777">
        <w:trPr>
          <w:trHeight w:val="326"/>
        </w:trPr>
        <w:tc>
          <w:tcPr>
            <w:tcW w:w="2866" w:type="dxa"/>
            <w:tcBorders>
              <w:top w:val="single" w:sz="3" w:space="0" w:color="000000"/>
              <w:left w:val="nil"/>
              <w:bottom w:val="nil"/>
              <w:right w:val="nil"/>
            </w:tcBorders>
          </w:tcPr>
          <w:p w14:paraId="6B634F19" w14:textId="77777777" w:rsidR="001C671E" w:rsidRDefault="00000000">
            <w:pPr>
              <w:spacing w:after="0" w:line="259" w:lineRule="auto"/>
              <w:ind w:left="0" w:right="0" w:firstLine="0"/>
              <w:jc w:val="left"/>
            </w:pPr>
            <w:r>
              <w:rPr>
                <w:sz w:val="20"/>
              </w:rPr>
              <w:t>Dep. var. 1930 treated mean</w:t>
            </w:r>
          </w:p>
        </w:tc>
        <w:tc>
          <w:tcPr>
            <w:tcW w:w="1402" w:type="dxa"/>
            <w:tcBorders>
              <w:top w:val="single" w:sz="3" w:space="0" w:color="000000"/>
              <w:left w:val="nil"/>
              <w:bottom w:val="nil"/>
              <w:right w:val="nil"/>
            </w:tcBorders>
          </w:tcPr>
          <w:p w14:paraId="5BDE731B" w14:textId="77777777" w:rsidR="001C671E" w:rsidRDefault="00000000">
            <w:pPr>
              <w:spacing w:after="0" w:line="259" w:lineRule="auto"/>
              <w:ind w:left="255" w:right="0" w:firstLine="0"/>
              <w:jc w:val="left"/>
            </w:pPr>
            <w:r>
              <w:rPr>
                <w:sz w:val="20"/>
              </w:rPr>
              <w:t>0.1775</w:t>
            </w:r>
          </w:p>
        </w:tc>
        <w:tc>
          <w:tcPr>
            <w:tcW w:w="1651" w:type="dxa"/>
            <w:tcBorders>
              <w:top w:val="single" w:sz="3" w:space="0" w:color="000000"/>
              <w:left w:val="nil"/>
              <w:bottom w:val="nil"/>
              <w:right w:val="nil"/>
            </w:tcBorders>
          </w:tcPr>
          <w:p w14:paraId="7FF2CAEA" w14:textId="77777777" w:rsidR="001C671E" w:rsidRDefault="00000000">
            <w:pPr>
              <w:spacing w:after="0" w:line="259" w:lineRule="auto"/>
              <w:ind w:left="379" w:right="0" w:firstLine="0"/>
              <w:jc w:val="left"/>
            </w:pPr>
            <w:r>
              <w:rPr>
                <w:sz w:val="20"/>
              </w:rPr>
              <w:t>0.6442</w:t>
            </w:r>
          </w:p>
        </w:tc>
        <w:tc>
          <w:tcPr>
            <w:tcW w:w="1402" w:type="dxa"/>
            <w:tcBorders>
              <w:top w:val="single" w:sz="3" w:space="0" w:color="000000"/>
              <w:left w:val="nil"/>
              <w:bottom w:val="nil"/>
              <w:right w:val="nil"/>
            </w:tcBorders>
          </w:tcPr>
          <w:p w14:paraId="205F79BB" w14:textId="77777777" w:rsidR="001C671E" w:rsidRDefault="00000000">
            <w:pPr>
              <w:spacing w:after="0" w:line="259" w:lineRule="auto"/>
              <w:ind w:left="255" w:right="0" w:firstLine="0"/>
              <w:jc w:val="left"/>
            </w:pPr>
            <w:r>
              <w:rPr>
                <w:sz w:val="20"/>
              </w:rPr>
              <w:t>0.1557</w:t>
            </w:r>
          </w:p>
        </w:tc>
        <w:tc>
          <w:tcPr>
            <w:tcW w:w="1651" w:type="dxa"/>
            <w:tcBorders>
              <w:top w:val="single" w:sz="3" w:space="0" w:color="000000"/>
              <w:left w:val="nil"/>
              <w:bottom w:val="nil"/>
              <w:right w:val="nil"/>
            </w:tcBorders>
          </w:tcPr>
          <w:p w14:paraId="09CDC531" w14:textId="77777777" w:rsidR="001C671E" w:rsidRDefault="00000000">
            <w:pPr>
              <w:spacing w:after="0" w:line="259" w:lineRule="auto"/>
              <w:ind w:left="379" w:right="0" w:firstLine="0"/>
              <w:jc w:val="left"/>
            </w:pPr>
            <w:r>
              <w:rPr>
                <w:sz w:val="20"/>
              </w:rPr>
              <w:t>0.6055</w:t>
            </w:r>
          </w:p>
        </w:tc>
        <w:tc>
          <w:tcPr>
            <w:tcW w:w="1402" w:type="dxa"/>
            <w:tcBorders>
              <w:top w:val="single" w:sz="3" w:space="0" w:color="000000"/>
              <w:left w:val="nil"/>
              <w:bottom w:val="nil"/>
              <w:right w:val="nil"/>
            </w:tcBorders>
          </w:tcPr>
          <w:p w14:paraId="36129C81" w14:textId="77777777" w:rsidR="001C671E" w:rsidRDefault="00000000">
            <w:pPr>
              <w:spacing w:after="0" w:line="259" w:lineRule="auto"/>
              <w:ind w:left="255" w:right="0" w:firstLine="0"/>
              <w:jc w:val="left"/>
            </w:pPr>
            <w:r>
              <w:rPr>
                <w:sz w:val="20"/>
              </w:rPr>
              <w:t>0.3168</w:t>
            </w:r>
          </w:p>
        </w:tc>
        <w:tc>
          <w:tcPr>
            <w:tcW w:w="1432" w:type="dxa"/>
            <w:tcBorders>
              <w:top w:val="single" w:sz="3" w:space="0" w:color="000000"/>
              <w:left w:val="nil"/>
              <w:bottom w:val="nil"/>
              <w:right w:val="nil"/>
            </w:tcBorders>
          </w:tcPr>
          <w:p w14:paraId="030AC115" w14:textId="77777777" w:rsidR="001C671E" w:rsidRDefault="00000000">
            <w:pPr>
              <w:spacing w:after="0" w:line="259" w:lineRule="auto"/>
              <w:ind w:left="0" w:right="0" w:firstLine="0"/>
              <w:jc w:val="center"/>
            </w:pPr>
            <w:r>
              <w:rPr>
                <w:sz w:val="20"/>
              </w:rPr>
              <w:t>1.192</w:t>
            </w:r>
          </w:p>
        </w:tc>
      </w:tr>
      <w:tr w:rsidR="001C671E" w14:paraId="4F414365" w14:textId="77777777">
        <w:trPr>
          <w:trHeight w:val="224"/>
        </w:trPr>
        <w:tc>
          <w:tcPr>
            <w:tcW w:w="2866" w:type="dxa"/>
            <w:tcBorders>
              <w:top w:val="nil"/>
              <w:left w:val="nil"/>
              <w:bottom w:val="nil"/>
              <w:right w:val="nil"/>
            </w:tcBorders>
          </w:tcPr>
          <w:p w14:paraId="1B0BB19A" w14:textId="77777777" w:rsidR="001C671E" w:rsidRDefault="00000000">
            <w:pPr>
              <w:spacing w:after="0" w:line="259" w:lineRule="auto"/>
              <w:ind w:left="0" w:right="0" w:firstLine="0"/>
              <w:jc w:val="left"/>
            </w:pPr>
            <w:r>
              <w:rPr>
                <w:i/>
                <w:sz w:val="20"/>
              </w:rPr>
              <w:t>Observations</w:t>
            </w:r>
          </w:p>
        </w:tc>
        <w:tc>
          <w:tcPr>
            <w:tcW w:w="1402" w:type="dxa"/>
            <w:tcBorders>
              <w:top w:val="nil"/>
              <w:left w:val="nil"/>
              <w:bottom w:val="nil"/>
              <w:right w:val="nil"/>
            </w:tcBorders>
          </w:tcPr>
          <w:p w14:paraId="2AA912C6" w14:textId="77777777" w:rsidR="001C671E" w:rsidRDefault="00000000">
            <w:pPr>
              <w:spacing w:after="0" w:line="259" w:lineRule="auto"/>
              <w:ind w:left="305" w:right="0" w:firstLine="0"/>
              <w:jc w:val="left"/>
            </w:pPr>
            <w:r>
              <w:rPr>
                <w:sz w:val="20"/>
              </w:rPr>
              <w:t>2,640</w:t>
            </w:r>
          </w:p>
        </w:tc>
        <w:tc>
          <w:tcPr>
            <w:tcW w:w="1651" w:type="dxa"/>
            <w:tcBorders>
              <w:top w:val="nil"/>
              <w:left w:val="nil"/>
              <w:bottom w:val="nil"/>
              <w:right w:val="nil"/>
            </w:tcBorders>
          </w:tcPr>
          <w:p w14:paraId="334207C1" w14:textId="77777777" w:rsidR="001C671E" w:rsidRDefault="00000000">
            <w:pPr>
              <w:spacing w:after="0" w:line="259" w:lineRule="auto"/>
              <w:ind w:left="429" w:right="0" w:firstLine="0"/>
              <w:jc w:val="left"/>
            </w:pPr>
            <w:r>
              <w:rPr>
                <w:sz w:val="20"/>
              </w:rPr>
              <w:t>2,640</w:t>
            </w:r>
          </w:p>
        </w:tc>
        <w:tc>
          <w:tcPr>
            <w:tcW w:w="1402" w:type="dxa"/>
            <w:tcBorders>
              <w:top w:val="nil"/>
              <w:left w:val="nil"/>
              <w:bottom w:val="nil"/>
              <w:right w:val="nil"/>
            </w:tcBorders>
          </w:tcPr>
          <w:p w14:paraId="07303814" w14:textId="77777777" w:rsidR="001C671E" w:rsidRDefault="00000000">
            <w:pPr>
              <w:spacing w:after="0" w:line="259" w:lineRule="auto"/>
              <w:ind w:left="305" w:right="0" w:firstLine="0"/>
              <w:jc w:val="left"/>
            </w:pPr>
            <w:r>
              <w:rPr>
                <w:sz w:val="20"/>
              </w:rPr>
              <w:t>2,635</w:t>
            </w:r>
          </w:p>
        </w:tc>
        <w:tc>
          <w:tcPr>
            <w:tcW w:w="1651" w:type="dxa"/>
            <w:tcBorders>
              <w:top w:val="nil"/>
              <w:left w:val="nil"/>
              <w:bottom w:val="nil"/>
              <w:right w:val="nil"/>
            </w:tcBorders>
          </w:tcPr>
          <w:p w14:paraId="5FE41D3F" w14:textId="77777777" w:rsidR="001C671E" w:rsidRDefault="00000000">
            <w:pPr>
              <w:spacing w:after="0" w:line="259" w:lineRule="auto"/>
              <w:ind w:left="429" w:right="0" w:firstLine="0"/>
              <w:jc w:val="left"/>
            </w:pPr>
            <w:r>
              <w:rPr>
                <w:sz w:val="20"/>
              </w:rPr>
              <w:t>2,635</w:t>
            </w:r>
          </w:p>
        </w:tc>
        <w:tc>
          <w:tcPr>
            <w:tcW w:w="1402" w:type="dxa"/>
            <w:tcBorders>
              <w:top w:val="nil"/>
              <w:left w:val="nil"/>
              <w:bottom w:val="nil"/>
              <w:right w:val="nil"/>
            </w:tcBorders>
          </w:tcPr>
          <w:p w14:paraId="4D42ECC0" w14:textId="77777777" w:rsidR="001C671E" w:rsidRDefault="00000000">
            <w:pPr>
              <w:spacing w:after="0" w:line="259" w:lineRule="auto"/>
              <w:ind w:left="305" w:right="0" w:firstLine="0"/>
              <w:jc w:val="left"/>
            </w:pPr>
            <w:r>
              <w:rPr>
                <w:sz w:val="20"/>
              </w:rPr>
              <w:t>1,445</w:t>
            </w:r>
          </w:p>
        </w:tc>
        <w:tc>
          <w:tcPr>
            <w:tcW w:w="1432" w:type="dxa"/>
            <w:tcBorders>
              <w:top w:val="nil"/>
              <w:left w:val="nil"/>
              <w:bottom w:val="nil"/>
              <w:right w:val="nil"/>
            </w:tcBorders>
          </w:tcPr>
          <w:p w14:paraId="1B816D0D" w14:textId="77777777" w:rsidR="001C671E" w:rsidRDefault="00000000">
            <w:pPr>
              <w:spacing w:after="0" w:line="259" w:lineRule="auto"/>
              <w:ind w:left="0" w:right="0" w:firstLine="0"/>
              <w:jc w:val="center"/>
            </w:pPr>
            <w:r>
              <w:rPr>
                <w:sz w:val="20"/>
              </w:rPr>
              <w:t>1,445</w:t>
            </w:r>
          </w:p>
        </w:tc>
      </w:tr>
      <w:tr w:rsidR="001C671E" w14:paraId="5092B25B" w14:textId="77777777">
        <w:trPr>
          <w:trHeight w:val="284"/>
        </w:trPr>
        <w:tc>
          <w:tcPr>
            <w:tcW w:w="2866" w:type="dxa"/>
            <w:tcBorders>
              <w:top w:val="nil"/>
              <w:left w:val="nil"/>
              <w:bottom w:val="double" w:sz="3" w:space="0" w:color="000000"/>
              <w:right w:val="nil"/>
            </w:tcBorders>
          </w:tcPr>
          <w:p w14:paraId="15C351F6" w14:textId="77777777" w:rsidR="001C671E" w:rsidRDefault="00000000">
            <w:pPr>
              <w:spacing w:after="0" w:line="259" w:lineRule="auto"/>
              <w:ind w:left="0" w:right="0" w:firstLine="0"/>
              <w:jc w:val="left"/>
            </w:pPr>
            <w:r>
              <w:rPr>
                <w:i/>
                <w:sz w:val="20"/>
              </w:rPr>
              <w:t>Adjusted R</w:t>
            </w:r>
            <w:r>
              <w:rPr>
                <w:sz w:val="20"/>
                <w:vertAlign w:val="superscript"/>
              </w:rPr>
              <w:t>2</w:t>
            </w:r>
          </w:p>
        </w:tc>
        <w:tc>
          <w:tcPr>
            <w:tcW w:w="1402" w:type="dxa"/>
            <w:tcBorders>
              <w:top w:val="nil"/>
              <w:left w:val="nil"/>
              <w:bottom w:val="double" w:sz="3" w:space="0" w:color="000000"/>
              <w:right w:val="nil"/>
            </w:tcBorders>
          </w:tcPr>
          <w:p w14:paraId="012BFCCC" w14:textId="77777777" w:rsidR="001C671E" w:rsidRDefault="00000000">
            <w:pPr>
              <w:spacing w:after="0" w:line="259" w:lineRule="auto"/>
              <w:ind w:left="305" w:right="0" w:firstLine="0"/>
              <w:jc w:val="left"/>
            </w:pPr>
            <w:r>
              <w:rPr>
                <w:sz w:val="20"/>
              </w:rPr>
              <w:t>0.839</w:t>
            </w:r>
          </w:p>
        </w:tc>
        <w:tc>
          <w:tcPr>
            <w:tcW w:w="1651" w:type="dxa"/>
            <w:tcBorders>
              <w:top w:val="nil"/>
              <w:left w:val="nil"/>
              <w:bottom w:val="double" w:sz="3" w:space="0" w:color="000000"/>
              <w:right w:val="nil"/>
            </w:tcBorders>
          </w:tcPr>
          <w:p w14:paraId="0F8DDAF4" w14:textId="77777777" w:rsidR="001C671E" w:rsidRDefault="00000000">
            <w:pPr>
              <w:spacing w:after="0" w:line="259" w:lineRule="auto"/>
              <w:ind w:left="429" w:right="0" w:firstLine="0"/>
              <w:jc w:val="left"/>
            </w:pPr>
            <w:r>
              <w:rPr>
                <w:sz w:val="20"/>
              </w:rPr>
              <w:t>0.709</w:t>
            </w:r>
          </w:p>
        </w:tc>
        <w:tc>
          <w:tcPr>
            <w:tcW w:w="1402" w:type="dxa"/>
            <w:tcBorders>
              <w:top w:val="nil"/>
              <w:left w:val="nil"/>
              <w:bottom w:val="double" w:sz="3" w:space="0" w:color="000000"/>
              <w:right w:val="nil"/>
            </w:tcBorders>
          </w:tcPr>
          <w:p w14:paraId="50158900" w14:textId="77777777" w:rsidR="001C671E" w:rsidRDefault="00000000">
            <w:pPr>
              <w:spacing w:after="0" w:line="259" w:lineRule="auto"/>
              <w:ind w:left="305" w:right="0" w:firstLine="0"/>
              <w:jc w:val="left"/>
            </w:pPr>
            <w:r>
              <w:rPr>
                <w:sz w:val="20"/>
              </w:rPr>
              <w:t>0.840</w:t>
            </w:r>
          </w:p>
        </w:tc>
        <w:tc>
          <w:tcPr>
            <w:tcW w:w="1651" w:type="dxa"/>
            <w:tcBorders>
              <w:top w:val="nil"/>
              <w:left w:val="nil"/>
              <w:bottom w:val="double" w:sz="3" w:space="0" w:color="000000"/>
              <w:right w:val="nil"/>
            </w:tcBorders>
          </w:tcPr>
          <w:p w14:paraId="6535997B" w14:textId="77777777" w:rsidR="001C671E" w:rsidRDefault="00000000">
            <w:pPr>
              <w:spacing w:after="0" w:line="259" w:lineRule="auto"/>
              <w:ind w:left="429" w:right="0" w:firstLine="0"/>
              <w:jc w:val="left"/>
            </w:pPr>
            <w:r>
              <w:rPr>
                <w:sz w:val="20"/>
              </w:rPr>
              <w:t>0.680</w:t>
            </w:r>
          </w:p>
        </w:tc>
        <w:tc>
          <w:tcPr>
            <w:tcW w:w="1402" w:type="dxa"/>
            <w:tcBorders>
              <w:top w:val="nil"/>
              <w:left w:val="nil"/>
              <w:bottom w:val="double" w:sz="3" w:space="0" w:color="000000"/>
              <w:right w:val="nil"/>
            </w:tcBorders>
          </w:tcPr>
          <w:p w14:paraId="544DE8FC" w14:textId="77777777" w:rsidR="001C671E" w:rsidRDefault="00000000">
            <w:pPr>
              <w:spacing w:after="0" w:line="259" w:lineRule="auto"/>
              <w:ind w:left="305" w:right="0" w:firstLine="0"/>
              <w:jc w:val="left"/>
            </w:pPr>
            <w:r>
              <w:rPr>
                <w:sz w:val="20"/>
              </w:rPr>
              <w:t>0.386</w:t>
            </w:r>
          </w:p>
        </w:tc>
        <w:tc>
          <w:tcPr>
            <w:tcW w:w="1432" w:type="dxa"/>
            <w:tcBorders>
              <w:top w:val="nil"/>
              <w:left w:val="nil"/>
              <w:bottom w:val="double" w:sz="3" w:space="0" w:color="000000"/>
              <w:right w:val="nil"/>
            </w:tcBorders>
          </w:tcPr>
          <w:p w14:paraId="4BEFFB90" w14:textId="77777777" w:rsidR="001C671E" w:rsidRDefault="00000000">
            <w:pPr>
              <w:spacing w:after="0" w:line="259" w:lineRule="auto"/>
              <w:ind w:left="0" w:right="0" w:firstLine="0"/>
              <w:jc w:val="center"/>
            </w:pPr>
            <w:r>
              <w:rPr>
                <w:sz w:val="20"/>
              </w:rPr>
              <w:t>0.555</w:t>
            </w:r>
          </w:p>
        </w:tc>
      </w:tr>
    </w:tbl>
    <w:p w14:paraId="26D12E3E" w14:textId="77777777" w:rsidR="001C671E" w:rsidRDefault="00000000">
      <w:pPr>
        <w:spacing w:after="12" w:line="254" w:lineRule="auto"/>
        <w:ind w:left="-5" w:right="0"/>
      </w:pPr>
      <w:r>
        <w:rPr>
          <w:i/>
          <w:sz w:val="20"/>
        </w:rPr>
        <w:t xml:space="preserve">Notes: </w:t>
      </w:r>
      <w:r>
        <w:rPr>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p>
    <w:p w14:paraId="41E7CA8E" w14:textId="77777777" w:rsidR="001C671E" w:rsidRDefault="00000000">
      <w:pPr>
        <w:spacing w:after="45" w:line="259" w:lineRule="auto"/>
        <w:ind w:left="43" w:right="0" w:firstLine="0"/>
        <w:jc w:val="left"/>
      </w:pPr>
      <w:r>
        <w:rPr>
          <w:sz w:val="20"/>
          <w:vertAlign w:val="superscript"/>
        </w:rPr>
        <w:t>∗</w:t>
      </w:r>
      <w:r>
        <w:rPr>
          <w:i/>
          <w:sz w:val="20"/>
        </w:rPr>
        <w:t xml:space="preserve">p &lt; </w:t>
      </w:r>
      <w:r>
        <w:rPr>
          <w:sz w:val="20"/>
        </w:rPr>
        <w:t>0</w:t>
      </w:r>
      <w:r>
        <w:rPr>
          <w:i/>
          <w:sz w:val="20"/>
        </w:rPr>
        <w:t>.</w:t>
      </w:r>
      <w:r>
        <w:rPr>
          <w:sz w:val="20"/>
        </w:rPr>
        <w:t>10</w:t>
      </w:r>
      <w:r>
        <w:rPr>
          <w:i/>
          <w:sz w:val="20"/>
        </w:rPr>
        <w:t xml:space="preserve">, </w:t>
      </w:r>
      <w:r>
        <w:rPr>
          <w:sz w:val="20"/>
          <w:vertAlign w:val="superscript"/>
        </w:rPr>
        <w:t>∗∗</w:t>
      </w:r>
      <w:r>
        <w:rPr>
          <w:i/>
          <w:sz w:val="20"/>
        </w:rPr>
        <w:t xml:space="preserve">p &lt; </w:t>
      </w:r>
      <w:r>
        <w:rPr>
          <w:sz w:val="20"/>
        </w:rPr>
        <w:t>0</w:t>
      </w:r>
      <w:r>
        <w:rPr>
          <w:i/>
          <w:sz w:val="20"/>
        </w:rPr>
        <w:t>.</w:t>
      </w:r>
      <w:r>
        <w:rPr>
          <w:sz w:val="20"/>
        </w:rPr>
        <w:t>05</w:t>
      </w:r>
      <w:r>
        <w:rPr>
          <w:i/>
          <w:sz w:val="20"/>
        </w:rPr>
        <w:t xml:space="preserve">, </w:t>
      </w:r>
      <w:r>
        <w:rPr>
          <w:sz w:val="20"/>
          <w:vertAlign w:val="superscript"/>
        </w:rPr>
        <w:t>∗∗∗</w:t>
      </w:r>
      <w:r>
        <w:rPr>
          <w:i/>
          <w:sz w:val="20"/>
        </w:rPr>
        <w:t xml:space="preserve">p &lt; </w:t>
      </w:r>
      <w:r>
        <w:rPr>
          <w:sz w:val="20"/>
        </w:rPr>
        <w:t>0</w:t>
      </w:r>
      <w:r>
        <w:rPr>
          <w:i/>
          <w:sz w:val="20"/>
        </w:rPr>
        <w:t>.</w:t>
      </w:r>
      <w:r>
        <w:rPr>
          <w:sz w:val="20"/>
        </w:rPr>
        <w:t>01</w:t>
      </w:r>
    </w:p>
    <w:p w14:paraId="74526EBE" w14:textId="77777777" w:rsidR="001C671E" w:rsidRDefault="00000000">
      <w:pPr>
        <w:spacing w:after="12" w:line="254" w:lineRule="auto"/>
        <w:ind w:left="-5" w:right="0"/>
      </w:pPr>
      <w:r>
        <w:rPr>
          <w:i/>
          <w:sz w:val="20"/>
        </w:rPr>
        <w:t xml:space="preserve">Source: </w:t>
      </w:r>
      <w:r>
        <w:rPr>
          <w:sz w:val="20"/>
        </w:rPr>
        <w:t>All regressions use the 1910, 1920, 1930, 1940, and 1950 IPUMS full count Censuses.</w:t>
      </w:r>
    </w:p>
    <w:p w14:paraId="196F61F7" w14:textId="77777777" w:rsidR="001C671E" w:rsidRDefault="001C671E">
      <w:pPr>
        <w:sectPr w:rsidR="001C671E">
          <w:footerReference w:type="even" r:id="rId13"/>
          <w:footerReference w:type="default" r:id="rId14"/>
          <w:footerReference w:type="first" r:id="rId15"/>
          <w:pgSz w:w="15840" w:h="12240" w:orient="landscape"/>
          <w:pgMar w:top="1440" w:right="2017" w:bottom="1440" w:left="2017" w:header="720" w:footer="720" w:gutter="0"/>
          <w:cols w:space="720"/>
        </w:sectPr>
      </w:pPr>
    </w:p>
    <w:p w14:paraId="610E0CC8" w14:textId="77777777" w:rsidR="001C671E" w:rsidRDefault="00000000">
      <w:pPr>
        <w:spacing w:after="47" w:line="259" w:lineRule="auto"/>
        <w:ind w:left="-5" w:right="0"/>
        <w:jc w:val="left"/>
      </w:pPr>
      <w:r>
        <w:rPr>
          <w:sz w:val="17"/>
        </w:rPr>
        <w:t>Table 3: Estimated effects of the prohibitions on women’s propensity to get married and either teach, work outside of teaching, or exit the labor force.</w:t>
      </w:r>
    </w:p>
    <w:tbl>
      <w:tblPr>
        <w:tblStyle w:val="TableGrid"/>
        <w:tblW w:w="9360" w:type="dxa"/>
        <w:tblInd w:w="0" w:type="dxa"/>
        <w:tblCellMar>
          <w:top w:w="0" w:type="dxa"/>
          <w:left w:w="0" w:type="dxa"/>
          <w:bottom w:w="0" w:type="dxa"/>
          <w:right w:w="85" w:type="dxa"/>
        </w:tblCellMar>
        <w:tblLook w:val="04A0" w:firstRow="1" w:lastRow="0" w:firstColumn="1" w:lastColumn="0" w:noHBand="0" w:noVBand="1"/>
      </w:tblPr>
      <w:tblGrid>
        <w:gridCol w:w="2839"/>
        <w:gridCol w:w="1758"/>
        <w:gridCol w:w="1319"/>
        <w:gridCol w:w="1756"/>
        <w:gridCol w:w="1688"/>
      </w:tblGrid>
      <w:tr w:rsidR="001C671E" w14:paraId="0EB7C25B" w14:textId="77777777">
        <w:trPr>
          <w:trHeight w:val="741"/>
        </w:trPr>
        <w:tc>
          <w:tcPr>
            <w:tcW w:w="5917" w:type="dxa"/>
            <w:gridSpan w:val="3"/>
            <w:tcBorders>
              <w:top w:val="double" w:sz="2" w:space="0" w:color="000000"/>
              <w:left w:val="nil"/>
              <w:bottom w:val="nil"/>
              <w:right w:val="nil"/>
            </w:tcBorders>
            <w:vAlign w:val="center"/>
          </w:tcPr>
          <w:p w14:paraId="730D3C81" w14:textId="77777777" w:rsidR="001C671E" w:rsidRDefault="00000000">
            <w:pPr>
              <w:spacing w:after="0" w:line="259" w:lineRule="auto"/>
              <w:ind w:left="0" w:right="187" w:firstLine="0"/>
              <w:jc w:val="right"/>
            </w:pPr>
            <w:r>
              <w:rPr>
                <w:sz w:val="17"/>
              </w:rPr>
              <w:t>Pr(Married Teacher</w:t>
            </w:r>
          </w:p>
          <w:p w14:paraId="5DD717A0" w14:textId="77777777" w:rsidR="001C671E" w:rsidRDefault="00000000">
            <w:pPr>
              <w:tabs>
                <w:tab w:val="center" w:pos="3155"/>
              </w:tabs>
              <w:spacing w:after="0" w:line="259" w:lineRule="auto"/>
              <w:ind w:left="0" w:right="0" w:firstLine="0"/>
              <w:jc w:val="left"/>
            </w:pPr>
            <w:r>
              <w:rPr>
                <w:b/>
                <w:sz w:val="17"/>
              </w:rPr>
              <w:t>Dependent Variable:</w:t>
            </w:r>
            <w:r>
              <w:rPr>
                <w:b/>
                <w:sz w:val="17"/>
              </w:rPr>
              <w:tab/>
            </w:r>
            <w:r>
              <w:rPr>
                <w:sz w:val="17"/>
              </w:rPr>
              <w:t xml:space="preserve">Pr(Married in </w:t>
            </w:r>
            <w:r>
              <w:rPr>
                <w:i/>
                <w:sz w:val="17"/>
              </w:rPr>
              <w:t>t</w:t>
            </w:r>
            <w:r>
              <w:rPr>
                <w:sz w:val="17"/>
              </w:rPr>
              <w:t>)</w:t>
            </w:r>
          </w:p>
          <w:p w14:paraId="1FB22B38" w14:textId="77777777" w:rsidR="001C671E" w:rsidRDefault="00000000">
            <w:pPr>
              <w:spacing w:after="0" w:line="259" w:lineRule="auto"/>
              <w:ind w:left="0" w:right="745" w:firstLine="0"/>
              <w:jc w:val="right"/>
            </w:pPr>
            <w:r>
              <w:rPr>
                <w:sz w:val="17"/>
              </w:rPr>
              <w:t xml:space="preserve">in </w:t>
            </w:r>
            <w:r>
              <w:rPr>
                <w:i/>
                <w:sz w:val="17"/>
              </w:rPr>
              <w:t>t</w:t>
            </w:r>
            <w:r>
              <w:rPr>
                <w:sz w:val="17"/>
              </w:rPr>
              <w:t>)</w:t>
            </w:r>
          </w:p>
        </w:tc>
        <w:tc>
          <w:tcPr>
            <w:tcW w:w="1756" w:type="dxa"/>
            <w:tcBorders>
              <w:top w:val="double" w:sz="2" w:space="0" w:color="000000"/>
              <w:left w:val="nil"/>
              <w:bottom w:val="nil"/>
              <w:right w:val="nil"/>
            </w:tcBorders>
          </w:tcPr>
          <w:p w14:paraId="1130D1DF" w14:textId="77777777" w:rsidR="001C671E" w:rsidRDefault="00000000">
            <w:pPr>
              <w:spacing w:after="0" w:line="259" w:lineRule="auto"/>
              <w:ind w:left="376" w:right="0" w:firstLine="0"/>
              <w:jc w:val="left"/>
            </w:pPr>
            <w:r>
              <w:rPr>
                <w:sz w:val="17"/>
              </w:rPr>
              <w:t>Pr(Married</w:t>
            </w:r>
          </w:p>
          <w:p w14:paraId="18F01947" w14:textId="77777777" w:rsidR="001C671E" w:rsidRDefault="00000000">
            <w:pPr>
              <w:spacing w:after="0" w:line="259" w:lineRule="auto"/>
              <w:ind w:left="0" w:right="0" w:firstLine="0"/>
              <w:jc w:val="left"/>
            </w:pPr>
            <w:r>
              <w:rPr>
                <w:sz w:val="17"/>
              </w:rPr>
              <w:t>Non-Teacher in LF in</w:t>
            </w:r>
          </w:p>
          <w:p w14:paraId="4E067449" w14:textId="77777777" w:rsidR="001C671E" w:rsidRDefault="00000000">
            <w:pPr>
              <w:spacing w:after="0" w:line="259" w:lineRule="auto"/>
              <w:ind w:left="0" w:right="102" w:firstLine="0"/>
              <w:jc w:val="center"/>
            </w:pPr>
            <w:r>
              <w:rPr>
                <w:i/>
                <w:sz w:val="17"/>
              </w:rPr>
              <w:t>t</w:t>
            </w:r>
            <w:r>
              <w:rPr>
                <w:sz w:val="17"/>
              </w:rPr>
              <w:t>)</w:t>
            </w:r>
          </w:p>
        </w:tc>
        <w:tc>
          <w:tcPr>
            <w:tcW w:w="1688" w:type="dxa"/>
            <w:tcBorders>
              <w:top w:val="double" w:sz="2" w:space="0" w:color="000000"/>
              <w:left w:val="nil"/>
              <w:bottom w:val="nil"/>
              <w:right w:val="nil"/>
            </w:tcBorders>
            <w:vAlign w:val="center"/>
          </w:tcPr>
          <w:p w14:paraId="68A7F6E6" w14:textId="77777777" w:rsidR="001C671E" w:rsidRDefault="00000000">
            <w:pPr>
              <w:spacing w:after="0" w:line="259" w:lineRule="auto"/>
              <w:ind w:left="643" w:right="0" w:hanging="643"/>
              <w:jc w:val="left"/>
            </w:pPr>
            <w:r>
              <w:rPr>
                <w:sz w:val="17"/>
              </w:rPr>
              <w:t xml:space="preserve">Pr(Married Not in LF in </w:t>
            </w:r>
            <w:r>
              <w:rPr>
                <w:i/>
                <w:sz w:val="17"/>
              </w:rPr>
              <w:t>t</w:t>
            </w:r>
            <w:r>
              <w:rPr>
                <w:sz w:val="17"/>
              </w:rPr>
              <w:t>)</w:t>
            </w:r>
          </w:p>
        </w:tc>
      </w:tr>
      <w:tr w:rsidR="001C671E" w14:paraId="2FF0FB83" w14:textId="77777777">
        <w:trPr>
          <w:trHeight w:val="276"/>
        </w:trPr>
        <w:tc>
          <w:tcPr>
            <w:tcW w:w="5917" w:type="dxa"/>
            <w:gridSpan w:val="3"/>
            <w:tcBorders>
              <w:top w:val="nil"/>
              <w:left w:val="nil"/>
              <w:bottom w:val="single" w:sz="3" w:space="0" w:color="000000"/>
              <w:right w:val="nil"/>
            </w:tcBorders>
          </w:tcPr>
          <w:p w14:paraId="3AA7C6A5" w14:textId="77777777" w:rsidR="001C671E" w:rsidRDefault="00000000">
            <w:pPr>
              <w:tabs>
                <w:tab w:val="center" w:pos="3155"/>
                <w:tab w:val="center" w:pos="4928"/>
              </w:tabs>
              <w:spacing w:after="0" w:line="259" w:lineRule="auto"/>
              <w:ind w:left="0" w:right="0" w:firstLine="0"/>
              <w:jc w:val="left"/>
            </w:pPr>
            <w:r>
              <w:rPr>
                <w:rFonts w:ascii="Calibri" w:eastAsia="Calibri" w:hAnsi="Calibri" w:cs="Calibri"/>
                <w:sz w:val="22"/>
              </w:rPr>
              <w:tab/>
            </w:r>
            <w:r>
              <w:rPr>
                <w:sz w:val="17"/>
              </w:rPr>
              <w:t>(1)</w:t>
            </w:r>
            <w:r>
              <w:rPr>
                <w:sz w:val="17"/>
              </w:rPr>
              <w:tab/>
              <w:t>(2)</w:t>
            </w:r>
          </w:p>
        </w:tc>
        <w:tc>
          <w:tcPr>
            <w:tcW w:w="1756" w:type="dxa"/>
            <w:tcBorders>
              <w:top w:val="nil"/>
              <w:left w:val="nil"/>
              <w:bottom w:val="single" w:sz="3" w:space="0" w:color="000000"/>
              <w:right w:val="nil"/>
            </w:tcBorders>
          </w:tcPr>
          <w:p w14:paraId="517C7A83" w14:textId="77777777" w:rsidR="001C671E" w:rsidRDefault="00000000">
            <w:pPr>
              <w:spacing w:after="0" w:line="259" w:lineRule="auto"/>
              <w:ind w:left="0" w:right="102" w:firstLine="0"/>
              <w:jc w:val="center"/>
            </w:pPr>
            <w:r>
              <w:rPr>
                <w:sz w:val="17"/>
              </w:rPr>
              <w:t>(3)</w:t>
            </w:r>
          </w:p>
        </w:tc>
        <w:tc>
          <w:tcPr>
            <w:tcW w:w="1688" w:type="dxa"/>
            <w:tcBorders>
              <w:top w:val="nil"/>
              <w:left w:val="nil"/>
              <w:bottom w:val="single" w:sz="3" w:space="0" w:color="000000"/>
              <w:right w:val="nil"/>
            </w:tcBorders>
          </w:tcPr>
          <w:p w14:paraId="2F74D3E0" w14:textId="77777777" w:rsidR="001C671E" w:rsidRDefault="00000000">
            <w:pPr>
              <w:spacing w:after="0" w:line="259" w:lineRule="auto"/>
              <w:ind w:left="0" w:right="0" w:firstLine="0"/>
              <w:jc w:val="center"/>
            </w:pPr>
            <w:r>
              <w:rPr>
                <w:sz w:val="17"/>
              </w:rPr>
              <w:t>(4)</w:t>
            </w:r>
          </w:p>
        </w:tc>
      </w:tr>
      <w:tr w:rsidR="001C671E" w14:paraId="747965CB" w14:textId="77777777">
        <w:trPr>
          <w:trHeight w:val="289"/>
        </w:trPr>
        <w:tc>
          <w:tcPr>
            <w:tcW w:w="5917" w:type="dxa"/>
            <w:gridSpan w:val="3"/>
            <w:tcBorders>
              <w:top w:val="single" w:sz="3" w:space="0" w:color="000000"/>
              <w:left w:val="nil"/>
              <w:bottom w:val="single" w:sz="3" w:space="0" w:color="000000"/>
              <w:right w:val="nil"/>
            </w:tcBorders>
          </w:tcPr>
          <w:p w14:paraId="4AEDA0D6" w14:textId="77777777" w:rsidR="001C671E" w:rsidRDefault="00000000">
            <w:pPr>
              <w:spacing w:after="0" w:line="259" w:lineRule="auto"/>
              <w:ind w:left="85" w:right="0" w:firstLine="0"/>
              <w:jc w:val="left"/>
            </w:pPr>
            <w:r>
              <w:rPr>
                <w:sz w:val="17"/>
              </w:rPr>
              <w:t xml:space="preserve">Sample 1: Women who were unmarried and teaching in </w:t>
            </w:r>
            <w:r>
              <w:rPr>
                <w:i/>
                <w:sz w:val="17"/>
              </w:rPr>
              <w:t>t</w:t>
            </w:r>
            <w:r>
              <w:rPr>
                <w:sz w:val="17"/>
              </w:rPr>
              <w:t>− 10</w:t>
            </w:r>
          </w:p>
        </w:tc>
        <w:tc>
          <w:tcPr>
            <w:tcW w:w="1756" w:type="dxa"/>
            <w:tcBorders>
              <w:top w:val="single" w:sz="3" w:space="0" w:color="000000"/>
              <w:left w:val="nil"/>
              <w:bottom w:val="single" w:sz="3" w:space="0" w:color="000000"/>
              <w:right w:val="nil"/>
            </w:tcBorders>
          </w:tcPr>
          <w:p w14:paraId="19402030" w14:textId="77777777" w:rsidR="001C671E" w:rsidRDefault="001C671E">
            <w:pPr>
              <w:spacing w:after="160" w:line="259" w:lineRule="auto"/>
              <w:ind w:left="0" w:right="0" w:firstLine="0"/>
              <w:jc w:val="left"/>
            </w:pPr>
          </w:p>
        </w:tc>
        <w:tc>
          <w:tcPr>
            <w:tcW w:w="1688" w:type="dxa"/>
            <w:tcBorders>
              <w:top w:val="single" w:sz="3" w:space="0" w:color="000000"/>
              <w:left w:val="nil"/>
              <w:bottom w:val="single" w:sz="3" w:space="0" w:color="000000"/>
              <w:right w:val="nil"/>
            </w:tcBorders>
          </w:tcPr>
          <w:p w14:paraId="4C1FA13C" w14:textId="77777777" w:rsidR="001C671E" w:rsidRDefault="001C671E">
            <w:pPr>
              <w:spacing w:after="160" w:line="259" w:lineRule="auto"/>
              <w:ind w:left="0" w:right="0" w:firstLine="0"/>
              <w:jc w:val="left"/>
            </w:pPr>
          </w:p>
        </w:tc>
      </w:tr>
      <w:tr w:rsidR="001C671E" w14:paraId="209CC71C" w14:textId="77777777">
        <w:trPr>
          <w:trHeight w:val="254"/>
        </w:trPr>
        <w:tc>
          <w:tcPr>
            <w:tcW w:w="2840" w:type="dxa"/>
            <w:tcBorders>
              <w:top w:val="single" w:sz="3" w:space="0" w:color="000000"/>
              <w:left w:val="nil"/>
              <w:bottom w:val="nil"/>
              <w:right w:val="nil"/>
            </w:tcBorders>
          </w:tcPr>
          <w:p w14:paraId="70430545" w14:textId="77777777" w:rsidR="001C671E" w:rsidRDefault="00000000">
            <w:pPr>
              <w:tabs>
                <w:tab w:val="center" w:pos="1205"/>
              </w:tabs>
              <w:spacing w:after="0" w:line="259" w:lineRule="auto"/>
              <w:ind w:left="0" w:right="0" w:firstLine="0"/>
              <w:jc w:val="left"/>
            </w:pPr>
            <w:r>
              <w:rPr>
                <w:sz w:val="17"/>
              </w:rPr>
              <w:t>Treated</w:t>
            </w:r>
            <w:r>
              <w:rPr>
                <w:sz w:val="17"/>
              </w:rPr>
              <w:tab/>
            </w:r>
            <w:r>
              <w:rPr>
                <w:noProof/>
              </w:rPr>
              <w:drawing>
                <wp:inline distT="0" distB="0" distL="0" distR="0" wp14:anchorId="26624575" wp14:editId="230F5E84">
                  <wp:extent cx="600456" cy="121920"/>
                  <wp:effectExtent l="0" t="0" r="0" b="0"/>
                  <wp:docPr id="52108" name="Picture 52108"/>
                  <wp:cNvGraphicFramePr/>
                  <a:graphic xmlns:a="http://schemas.openxmlformats.org/drawingml/2006/main">
                    <a:graphicData uri="http://schemas.openxmlformats.org/drawingml/2006/picture">
                      <pic:pic xmlns:pic="http://schemas.openxmlformats.org/drawingml/2006/picture">
                        <pic:nvPicPr>
                          <pic:cNvPr id="52108" name="Picture 52108"/>
                          <pic:cNvPicPr/>
                        </pic:nvPicPr>
                        <pic:blipFill>
                          <a:blip r:embed="rId16"/>
                          <a:stretch>
                            <a:fillRect/>
                          </a:stretch>
                        </pic:blipFill>
                        <pic:spPr>
                          <a:xfrm>
                            <a:off x="0" y="0"/>
                            <a:ext cx="600456" cy="121920"/>
                          </a:xfrm>
                          <a:prstGeom prst="rect">
                            <a:avLst/>
                          </a:prstGeom>
                        </pic:spPr>
                      </pic:pic>
                    </a:graphicData>
                  </a:graphic>
                </wp:inline>
              </w:drawing>
            </w:r>
            <w:r>
              <w:rPr>
                <w:sz w:val="17"/>
              </w:rPr>
              <w:t>)</w:t>
            </w:r>
          </w:p>
        </w:tc>
        <w:tc>
          <w:tcPr>
            <w:tcW w:w="1758" w:type="dxa"/>
            <w:tcBorders>
              <w:top w:val="single" w:sz="3" w:space="0" w:color="000000"/>
              <w:left w:val="nil"/>
              <w:bottom w:val="nil"/>
              <w:right w:val="nil"/>
            </w:tcBorders>
          </w:tcPr>
          <w:p w14:paraId="562E10E4" w14:textId="77777777" w:rsidR="001C671E" w:rsidRDefault="00000000">
            <w:pPr>
              <w:spacing w:after="0" w:line="259" w:lineRule="auto"/>
              <w:ind w:left="58" w:right="0" w:firstLine="0"/>
              <w:jc w:val="left"/>
            </w:pPr>
            <w:r>
              <w:rPr>
                <w:sz w:val="17"/>
              </w:rPr>
              <w:t>-0.0165</w:t>
            </w:r>
          </w:p>
        </w:tc>
        <w:tc>
          <w:tcPr>
            <w:tcW w:w="1318" w:type="dxa"/>
            <w:tcBorders>
              <w:top w:val="single" w:sz="3" w:space="0" w:color="000000"/>
              <w:left w:val="nil"/>
              <w:bottom w:val="nil"/>
              <w:right w:val="nil"/>
            </w:tcBorders>
          </w:tcPr>
          <w:p w14:paraId="404AD92A" w14:textId="77777777" w:rsidR="001C671E" w:rsidRDefault="00000000">
            <w:pPr>
              <w:spacing w:after="0" w:line="259" w:lineRule="auto"/>
              <w:ind w:left="6" w:right="0" w:firstLine="0"/>
              <w:jc w:val="left"/>
            </w:pPr>
            <w:r>
              <w:rPr>
                <w:sz w:val="17"/>
              </w:rPr>
              <w:t>0.0216</w:t>
            </w:r>
            <w:r>
              <w:rPr>
                <w:sz w:val="17"/>
                <w:vertAlign w:val="superscript"/>
              </w:rPr>
              <w:t>∗∗∗</w:t>
            </w:r>
          </w:p>
        </w:tc>
        <w:tc>
          <w:tcPr>
            <w:tcW w:w="1756" w:type="dxa"/>
            <w:tcBorders>
              <w:top w:val="single" w:sz="3" w:space="0" w:color="000000"/>
              <w:left w:val="nil"/>
              <w:bottom w:val="nil"/>
              <w:right w:val="nil"/>
            </w:tcBorders>
          </w:tcPr>
          <w:p w14:paraId="1279EE09" w14:textId="77777777" w:rsidR="001C671E" w:rsidRDefault="00000000">
            <w:pPr>
              <w:spacing w:after="0" w:line="259" w:lineRule="auto"/>
              <w:ind w:left="527" w:right="0" w:firstLine="0"/>
              <w:jc w:val="left"/>
            </w:pPr>
            <w:r>
              <w:rPr>
                <w:sz w:val="17"/>
              </w:rPr>
              <w:t>-0.0027</w:t>
            </w:r>
          </w:p>
        </w:tc>
        <w:tc>
          <w:tcPr>
            <w:tcW w:w="1688" w:type="dxa"/>
            <w:tcBorders>
              <w:top w:val="single" w:sz="3" w:space="0" w:color="000000"/>
              <w:left w:val="nil"/>
              <w:bottom w:val="nil"/>
              <w:right w:val="nil"/>
            </w:tcBorders>
          </w:tcPr>
          <w:p w14:paraId="6AAD9793" w14:textId="77777777" w:rsidR="001C671E" w:rsidRDefault="00000000">
            <w:pPr>
              <w:spacing w:after="0" w:line="259" w:lineRule="auto"/>
              <w:ind w:left="0" w:right="7" w:firstLine="0"/>
              <w:jc w:val="center"/>
            </w:pPr>
            <w:r>
              <w:rPr>
                <w:sz w:val="17"/>
              </w:rPr>
              <w:t>-0.0355</w:t>
            </w:r>
            <w:r>
              <w:rPr>
                <w:sz w:val="17"/>
                <w:vertAlign w:val="superscript"/>
              </w:rPr>
              <w:t>∗∗∗</w:t>
            </w:r>
          </w:p>
        </w:tc>
      </w:tr>
      <w:tr w:rsidR="001C671E" w14:paraId="1F0AA0B3" w14:textId="77777777">
        <w:trPr>
          <w:trHeight w:val="209"/>
        </w:trPr>
        <w:tc>
          <w:tcPr>
            <w:tcW w:w="2840" w:type="dxa"/>
            <w:tcBorders>
              <w:top w:val="nil"/>
              <w:left w:val="nil"/>
              <w:bottom w:val="single" w:sz="2" w:space="0" w:color="000000"/>
              <w:right w:val="nil"/>
            </w:tcBorders>
          </w:tcPr>
          <w:p w14:paraId="398F3572" w14:textId="77777777" w:rsidR="001C671E" w:rsidRDefault="001C671E">
            <w:pPr>
              <w:spacing w:after="160" w:line="259" w:lineRule="auto"/>
              <w:ind w:left="0" w:right="0" w:firstLine="0"/>
              <w:jc w:val="left"/>
            </w:pPr>
          </w:p>
        </w:tc>
        <w:tc>
          <w:tcPr>
            <w:tcW w:w="1758" w:type="dxa"/>
            <w:tcBorders>
              <w:top w:val="nil"/>
              <w:left w:val="nil"/>
              <w:bottom w:val="single" w:sz="2" w:space="0" w:color="000000"/>
              <w:right w:val="nil"/>
            </w:tcBorders>
          </w:tcPr>
          <w:p w14:paraId="460219B3" w14:textId="77777777" w:rsidR="001C671E" w:rsidRDefault="00000000">
            <w:pPr>
              <w:spacing w:after="0" w:line="259" w:lineRule="auto"/>
              <w:ind w:left="21" w:right="0" w:firstLine="0"/>
              <w:jc w:val="left"/>
            </w:pPr>
            <w:r>
              <w:rPr>
                <w:sz w:val="17"/>
              </w:rPr>
              <w:t>(0.0112)</w:t>
            </w:r>
          </w:p>
        </w:tc>
        <w:tc>
          <w:tcPr>
            <w:tcW w:w="1318" w:type="dxa"/>
            <w:tcBorders>
              <w:top w:val="nil"/>
              <w:left w:val="nil"/>
              <w:bottom w:val="single" w:sz="2" w:space="0" w:color="000000"/>
              <w:right w:val="nil"/>
            </w:tcBorders>
          </w:tcPr>
          <w:p w14:paraId="59A0C636" w14:textId="77777777" w:rsidR="001C671E" w:rsidRDefault="00000000">
            <w:pPr>
              <w:spacing w:after="0" w:line="259" w:lineRule="auto"/>
              <w:ind w:left="35" w:right="0" w:firstLine="0"/>
              <w:jc w:val="left"/>
            </w:pPr>
            <w:r>
              <w:rPr>
                <w:sz w:val="17"/>
              </w:rPr>
              <w:t>(0.0058)</w:t>
            </w:r>
          </w:p>
        </w:tc>
        <w:tc>
          <w:tcPr>
            <w:tcW w:w="1756" w:type="dxa"/>
            <w:tcBorders>
              <w:top w:val="nil"/>
              <w:left w:val="nil"/>
              <w:bottom w:val="single" w:sz="2" w:space="0" w:color="000000"/>
              <w:right w:val="nil"/>
            </w:tcBorders>
          </w:tcPr>
          <w:p w14:paraId="07E0EBD3" w14:textId="77777777" w:rsidR="001C671E" w:rsidRDefault="00000000">
            <w:pPr>
              <w:spacing w:after="0" w:line="259" w:lineRule="auto"/>
              <w:ind w:left="490" w:right="0" w:firstLine="0"/>
              <w:jc w:val="left"/>
            </w:pPr>
            <w:r>
              <w:rPr>
                <w:sz w:val="17"/>
              </w:rPr>
              <w:t>(0.0033)</w:t>
            </w:r>
          </w:p>
        </w:tc>
        <w:tc>
          <w:tcPr>
            <w:tcW w:w="1688" w:type="dxa"/>
            <w:tcBorders>
              <w:top w:val="nil"/>
              <w:left w:val="nil"/>
              <w:bottom w:val="single" w:sz="2" w:space="0" w:color="000000"/>
              <w:right w:val="nil"/>
            </w:tcBorders>
          </w:tcPr>
          <w:p w14:paraId="5AC3A7D6" w14:textId="77777777" w:rsidR="001C671E" w:rsidRDefault="00000000">
            <w:pPr>
              <w:spacing w:after="0" w:line="259" w:lineRule="auto"/>
              <w:ind w:left="0" w:right="0" w:firstLine="0"/>
              <w:jc w:val="center"/>
            </w:pPr>
            <w:r>
              <w:rPr>
                <w:sz w:val="17"/>
              </w:rPr>
              <w:t>(0.0116)</w:t>
            </w:r>
          </w:p>
        </w:tc>
      </w:tr>
      <w:tr w:rsidR="001C671E" w14:paraId="1BD58B8B" w14:textId="77777777">
        <w:trPr>
          <w:trHeight w:val="279"/>
        </w:trPr>
        <w:tc>
          <w:tcPr>
            <w:tcW w:w="2840" w:type="dxa"/>
            <w:tcBorders>
              <w:top w:val="single" w:sz="2" w:space="0" w:color="000000"/>
              <w:left w:val="nil"/>
              <w:bottom w:val="nil"/>
              <w:right w:val="nil"/>
            </w:tcBorders>
          </w:tcPr>
          <w:p w14:paraId="75C3B257" w14:textId="77777777" w:rsidR="001C671E" w:rsidRDefault="00000000">
            <w:pPr>
              <w:spacing w:after="0" w:line="259" w:lineRule="auto"/>
              <w:ind w:left="85" w:right="0" w:firstLine="0"/>
              <w:jc w:val="left"/>
            </w:pPr>
            <w:r>
              <w:rPr>
                <w:sz w:val="17"/>
              </w:rPr>
              <w:t>Dep. var. 1930 treated mean</w:t>
            </w:r>
          </w:p>
        </w:tc>
        <w:tc>
          <w:tcPr>
            <w:tcW w:w="1758" w:type="dxa"/>
            <w:tcBorders>
              <w:top w:val="single" w:sz="2" w:space="0" w:color="000000"/>
              <w:left w:val="nil"/>
              <w:bottom w:val="nil"/>
              <w:right w:val="nil"/>
            </w:tcBorders>
          </w:tcPr>
          <w:p w14:paraId="6F9DA019" w14:textId="77777777" w:rsidR="001C671E" w:rsidRDefault="00000000">
            <w:pPr>
              <w:spacing w:after="0" w:line="259" w:lineRule="auto"/>
              <w:ind w:left="85" w:right="0" w:firstLine="0"/>
              <w:jc w:val="left"/>
            </w:pPr>
            <w:r>
              <w:rPr>
                <w:sz w:val="17"/>
              </w:rPr>
              <w:t>0.5891</w:t>
            </w:r>
          </w:p>
        </w:tc>
        <w:tc>
          <w:tcPr>
            <w:tcW w:w="1318" w:type="dxa"/>
            <w:tcBorders>
              <w:top w:val="single" w:sz="2" w:space="0" w:color="000000"/>
              <w:left w:val="nil"/>
              <w:bottom w:val="nil"/>
              <w:right w:val="nil"/>
            </w:tcBorders>
          </w:tcPr>
          <w:p w14:paraId="0D13DFE3" w14:textId="77777777" w:rsidR="001C671E" w:rsidRDefault="00000000">
            <w:pPr>
              <w:spacing w:after="0" w:line="259" w:lineRule="auto"/>
              <w:ind w:left="100" w:right="0" w:firstLine="0"/>
              <w:jc w:val="left"/>
            </w:pPr>
            <w:r>
              <w:rPr>
                <w:sz w:val="17"/>
              </w:rPr>
              <w:t>0.0453</w:t>
            </w:r>
          </w:p>
        </w:tc>
        <w:tc>
          <w:tcPr>
            <w:tcW w:w="1756" w:type="dxa"/>
            <w:tcBorders>
              <w:top w:val="single" w:sz="2" w:space="0" w:color="000000"/>
              <w:left w:val="nil"/>
              <w:bottom w:val="nil"/>
              <w:right w:val="nil"/>
            </w:tcBorders>
          </w:tcPr>
          <w:p w14:paraId="4E80C43B" w14:textId="77777777" w:rsidR="001C671E" w:rsidRDefault="00000000">
            <w:pPr>
              <w:spacing w:after="0" w:line="259" w:lineRule="auto"/>
              <w:ind w:left="554" w:right="0" w:firstLine="0"/>
              <w:jc w:val="left"/>
            </w:pPr>
            <w:r>
              <w:rPr>
                <w:sz w:val="17"/>
              </w:rPr>
              <w:t>0.0347</w:t>
            </w:r>
          </w:p>
        </w:tc>
        <w:tc>
          <w:tcPr>
            <w:tcW w:w="1688" w:type="dxa"/>
            <w:tcBorders>
              <w:top w:val="single" w:sz="2" w:space="0" w:color="000000"/>
              <w:left w:val="nil"/>
              <w:bottom w:val="nil"/>
              <w:right w:val="nil"/>
            </w:tcBorders>
          </w:tcPr>
          <w:p w14:paraId="3CF4F130" w14:textId="77777777" w:rsidR="001C671E" w:rsidRDefault="00000000">
            <w:pPr>
              <w:spacing w:after="0" w:line="259" w:lineRule="auto"/>
              <w:ind w:left="0" w:right="0" w:firstLine="0"/>
              <w:jc w:val="center"/>
            </w:pPr>
            <w:r>
              <w:rPr>
                <w:sz w:val="17"/>
              </w:rPr>
              <w:t>0.5092</w:t>
            </w:r>
          </w:p>
        </w:tc>
      </w:tr>
      <w:tr w:rsidR="001C671E" w14:paraId="6483FCEB" w14:textId="77777777">
        <w:trPr>
          <w:trHeight w:val="193"/>
        </w:trPr>
        <w:tc>
          <w:tcPr>
            <w:tcW w:w="2840" w:type="dxa"/>
            <w:tcBorders>
              <w:top w:val="nil"/>
              <w:left w:val="nil"/>
              <w:bottom w:val="nil"/>
              <w:right w:val="nil"/>
            </w:tcBorders>
          </w:tcPr>
          <w:p w14:paraId="6A570373" w14:textId="77777777" w:rsidR="001C671E" w:rsidRDefault="00000000">
            <w:pPr>
              <w:spacing w:after="0" w:line="259" w:lineRule="auto"/>
              <w:ind w:left="85" w:right="0" w:firstLine="0"/>
              <w:jc w:val="left"/>
            </w:pPr>
            <w:r>
              <w:rPr>
                <w:i/>
                <w:sz w:val="17"/>
              </w:rPr>
              <w:t>Observations</w:t>
            </w:r>
          </w:p>
        </w:tc>
        <w:tc>
          <w:tcPr>
            <w:tcW w:w="1758" w:type="dxa"/>
            <w:tcBorders>
              <w:top w:val="nil"/>
              <w:left w:val="nil"/>
              <w:bottom w:val="nil"/>
              <w:right w:val="nil"/>
            </w:tcBorders>
          </w:tcPr>
          <w:p w14:paraId="272C3636" w14:textId="77777777" w:rsidR="001C671E" w:rsidRDefault="00000000">
            <w:pPr>
              <w:spacing w:after="0" w:line="259" w:lineRule="auto"/>
              <w:ind w:left="85" w:right="0" w:firstLine="0"/>
              <w:jc w:val="left"/>
            </w:pPr>
            <w:r>
              <w:rPr>
                <w:sz w:val="17"/>
              </w:rPr>
              <w:t>59,542</w:t>
            </w:r>
          </w:p>
        </w:tc>
        <w:tc>
          <w:tcPr>
            <w:tcW w:w="1318" w:type="dxa"/>
            <w:tcBorders>
              <w:top w:val="nil"/>
              <w:left w:val="nil"/>
              <w:bottom w:val="nil"/>
              <w:right w:val="nil"/>
            </w:tcBorders>
          </w:tcPr>
          <w:p w14:paraId="66286A84" w14:textId="77777777" w:rsidR="001C671E" w:rsidRDefault="00000000">
            <w:pPr>
              <w:spacing w:after="0" w:line="259" w:lineRule="auto"/>
              <w:ind w:left="100" w:right="0" w:firstLine="0"/>
              <w:jc w:val="left"/>
            </w:pPr>
            <w:r>
              <w:rPr>
                <w:sz w:val="17"/>
              </w:rPr>
              <w:t>59,542</w:t>
            </w:r>
          </w:p>
        </w:tc>
        <w:tc>
          <w:tcPr>
            <w:tcW w:w="1756" w:type="dxa"/>
            <w:tcBorders>
              <w:top w:val="nil"/>
              <w:left w:val="nil"/>
              <w:bottom w:val="nil"/>
              <w:right w:val="nil"/>
            </w:tcBorders>
          </w:tcPr>
          <w:p w14:paraId="378B2CEF" w14:textId="77777777" w:rsidR="001C671E" w:rsidRDefault="00000000">
            <w:pPr>
              <w:spacing w:after="0" w:line="259" w:lineRule="auto"/>
              <w:ind w:left="554" w:right="0" w:firstLine="0"/>
              <w:jc w:val="left"/>
            </w:pPr>
            <w:r>
              <w:rPr>
                <w:sz w:val="17"/>
              </w:rPr>
              <w:t>59,542</w:t>
            </w:r>
          </w:p>
        </w:tc>
        <w:tc>
          <w:tcPr>
            <w:tcW w:w="1688" w:type="dxa"/>
            <w:tcBorders>
              <w:top w:val="nil"/>
              <w:left w:val="nil"/>
              <w:bottom w:val="nil"/>
              <w:right w:val="nil"/>
            </w:tcBorders>
          </w:tcPr>
          <w:p w14:paraId="7147A4A3" w14:textId="77777777" w:rsidR="001C671E" w:rsidRDefault="00000000">
            <w:pPr>
              <w:spacing w:after="0" w:line="259" w:lineRule="auto"/>
              <w:ind w:left="0" w:right="0" w:firstLine="0"/>
              <w:jc w:val="center"/>
            </w:pPr>
            <w:r>
              <w:rPr>
                <w:sz w:val="17"/>
              </w:rPr>
              <w:t>59,542</w:t>
            </w:r>
          </w:p>
        </w:tc>
      </w:tr>
      <w:tr w:rsidR="001C671E" w14:paraId="2DFE5556" w14:textId="77777777">
        <w:trPr>
          <w:trHeight w:val="250"/>
        </w:trPr>
        <w:tc>
          <w:tcPr>
            <w:tcW w:w="2840" w:type="dxa"/>
            <w:tcBorders>
              <w:top w:val="nil"/>
              <w:left w:val="nil"/>
              <w:bottom w:val="single" w:sz="3" w:space="0" w:color="000000"/>
              <w:right w:val="nil"/>
            </w:tcBorders>
          </w:tcPr>
          <w:p w14:paraId="368ABF61" w14:textId="77777777" w:rsidR="001C671E" w:rsidRDefault="00000000">
            <w:pPr>
              <w:spacing w:after="0" w:line="259" w:lineRule="auto"/>
              <w:ind w:left="85" w:right="0" w:firstLine="0"/>
              <w:jc w:val="left"/>
            </w:pPr>
            <w:r>
              <w:rPr>
                <w:i/>
                <w:sz w:val="17"/>
              </w:rPr>
              <w:t>Adjusted R</w:t>
            </w:r>
            <w:r>
              <w:rPr>
                <w:sz w:val="17"/>
                <w:vertAlign w:val="superscript"/>
              </w:rPr>
              <w:t>2</w:t>
            </w:r>
          </w:p>
        </w:tc>
        <w:tc>
          <w:tcPr>
            <w:tcW w:w="1758" w:type="dxa"/>
            <w:tcBorders>
              <w:top w:val="nil"/>
              <w:left w:val="nil"/>
              <w:bottom w:val="single" w:sz="3" w:space="0" w:color="000000"/>
              <w:right w:val="nil"/>
            </w:tcBorders>
          </w:tcPr>
          <w:p w14:paraId="03DCB752" w14:textId="77777777" w:rsidR="001C671E" w:rsidRDefault="00000000">
            <w:pPr>
              <w:spacing w:after="0" w:line="259" w:lineRule="auto"/>
              <w:ind w:left="44" w:right="0" w:firstLine="0"/>
              <w:jc w:val="left"/>
            </w:pPr>
            <w:r>
              <w:rPr>
                <w:sz w:val="17"/>
              </w:rPr>
              <w:t>0.15787</w:t>
            </w:r>
          </w:p>
        </w:tc>
        <w:tc>
          <w:tcPr>
            <w:tcW w:w="1318" w:type="dxa"/>
            <w:tcBorders>
              <w:top w:val="nil"/>
              <w:left w:val="nil"/>
              <w:bottom w:val="single" w:sz="3" w:space="0" w:color="000000"/>
              <w:right w:val="nil"/>
            </w:tcBorders>
          </w:tcPr>
          <w:p w14:paraId="4571786A" w14:textId="77777777" w:rsidR="001C671E" w:rsidRDefault="00000000">
            <w:pPr>
              <w:spacing w:after="0" w:line="259" w:lineRule="auto"/>
              <w:ind w:left="58" w:right="0" w:firstLine="0"/>
              <w:jc w:val="left"/>
            </w:pPr>
            <w:r>
              <w:rPr>
                <w:sz w:val="17"/>
              </w:rPr>
              <w:t>0.02246</w:t>
            </w:r>
          </w:p>
        </w:tc>
        <w:tc>
          <w:tcPr>
            <w:tcW w:w="1756" w:type="dxa"/>
            <w:tcBorders>
              <w:top w:val="nil"/>
              <w:left w:val="nil"/>
              <w:bottom w:val="single" w:sz="3" w:space="0" w:color="000000"/>
              <w:right w:val="nil"/>
            </w:tcBorders>
          </w:tcPr>
          <w:p w14:paraId="2D255A1E" w14:textId="77777777" w:rsidR="001C671E" w:rsidRDefault="00000000">
            <w:pPr>
              <w:spacing w:after="0" w:line="259" w:lineRule="auto"/>
              <w:ind w:left="513" w:right="0" w:firstLine="0"/>
              <w:jc w:val="left"/>
            </w:pPr>
            <w:r>
              <w:rPr>
                <w:sz w:val="17"/>
              </w:rPr>
              <w:t>0.00751</w:t>
            </w:r>
          </w:p>
        </w:tc>
        <w:tc>
          <w:tcPr>
            <w:tcW w:w="1688" w:type="dxa"/>
            <w:tcBorders>
              <w:top w:val="nil"/>
              <w:left w:val="nil"/>
              <w:bottom w:val="single" w:sz="3" w:space="0" w:color="000000"/>
              <w:right w:val="nil"/>
            </w:tcBorders>
          </w:tcPr>
          <w:p w14:paraId="0CFF020D" w14:textId="77777777" w:rsidR="001C671E" w:rsidRDefault="00000000">
            <w:pPr>
              <w:spacing w:after="0" w:line="259" w:lineRule="auto"/>
              <w:ind w:left="0" w:right="0" w:firstLine="0"/>
              <w:jc w:val="center"/>
            </w:pPr>
            <w:r>
              <w:rPr>
                <w:sz w:val="17"/>
              </w:rPr>
              <w:t>0.13835</w:t>
            </w:r>
          </w:p>
        </w:tc>
      </w:tr>
      <w:tr w:rsidR="001C671E" w14:paraId="2C7B60D5" w14:textId="77777777">
        <w:trPr>
          <w:trHeight w:val="289"/>
        </w:trPr>
        <w:tc>
          <w:tcPr>
            <w:tcW w:w="5917" w:type="dxa"/>
            <w:gridSpan w:val="3"/>
            <w:tcBorders>
              <w:top w:val="single" w:sz="3" w:space="0" w:color="000000"/>
              <w:left w:val="nil"/>
              <w:bottom w:val="single" w:sz="3" w:space="0" w:color="000000"/>
              <w:right w:val="nil"/>
            </w:tcBorders>
          </w:tcPr>
          <w:p w14:paraId="111C88F4" w14:textId="77777777" w:rsidR="001C671E" w:rsidRDefault="00000000">
            <w:pPr>
              <w:spacing w:after="0" w:line="259" w:lineRule="auto"/>
              <w:ind w:left="85" w:right="0" w:firstLine="0"/>
              <w:jc w:val="left"/>
            </w:pPr>
            <w:r>
              <w:rPr>
                <w:sz w:val="17"/>
              </w:rPr>
              <w:t xml:space="preserve">Sample 2: Women who were married and not in the labor force in </w:t>
            </w:r>
            <w:r>
              <w:rPr>
                <w:i/>
                <w:sz w:val="17"/>
              </w:rPr>
              <w:t>t</w:t>
            </w:r>
            <w:r>
              <w:rPr>
                <w:sz w:val="17"/>
              </w:rPr>
              <w:t>− 10</w:t>
            </w:r>
          </w:p>
        </w:tc>
        <w:tc>
          <w:tcPr>
            <w:tcW w:w="1756" w:type="dxa"/>
            <w:tcBorders>
              <w:top w:val="single" w:sz="3" w:space="0" w:color="000000"/>
              <w:left w:val="nil"/>
              <w:bottom w:val="single" w:sz="3" w:space="0" w:color="000000"/>
              <w:right w:val="nil"/>
            </w:tcBorders>
          </w:tcPr>
          <w:p w14:paraId="0EBEC1C6" w14:textId="77777777" w:rsidR="001C671E" w:rsidRDefault="001C671E">
            <w:pPr>
              <w:spacing w:after="160" w:line="259" w:lineRule="auto"/>
              <w:ind w:left="0" w:right="0" w:firstLine="0"/>
              <w:jc w:val="left"/>
            </w:pPr>
          </w:p>
        </w:tc>
        <w:tc>
          <w:tcPr>
            <w:tcW w:w="1688" w:type="dxa"/>
            <w:tcBorders>
              <w:top w:val="single" w:sz="3" w:space="0" w:color="000000"/>
              <w:left w:val="nil"/>
              <w:bottom w:val="single" w:sz="3" w:space="0" w:color="000000"/>
              <w:right w:val="nil"/>
            </w:tcBorders>
          </w:tcPr>
          <w:p w14:paraId="471C8732" w14:textId="77777777" w:rsidR="001C671E" w:rsidRDefault="001C671E">
            <w:pPr>
              <w:spacing w:after="160" w:line="259" w:lineRule="auto"/>
              <w:ind w:left="0" w:right="0" w:firstLine="0"/>
              <w:jc w:val="left"/>
            </w:pPr>
          </w:p>
        </w:tc>
      </w:tr>
      <w:tr w:rsidR="001C671E" w14:paraId="0E7BBEDE" w14:textId="77777777">
        <w:trPr>
          <w:trHeight w:val="254"/>
        </w:trPr>
        <w:tc>
          <w:tcPr>
            <w:tcW w:w="2840" w:type="dxa"/>
            <w:tcBorders>
              <w:top w:val="single" w:sz="3" w:space="0" w:color="000000"/>
              <w:left w:val="nil"/>
              <w:bottom w:val="nil"/>
              <w:right w:val="nil"/>
            </w:tcBorders>
          </w:tcPr>
          <w:p w14:paraId="143E92CA" w14:textId="77777777" w:rsidR="001C671E" w:rsidRDefault="00000000">
            <w:pPr>
              <w:tabs>
                <w:tab w:val="center" w:pos="1205"/>
              </w:tabs>
              <w:spacing w:after="0" w:line="259" w:lineRule="auto"/>
              <w:ind w:left="0" w:right="0" w:firstLine="0"/>
              <w:jc w:val="left"/>
            </w:pPr>
            <w:r>
              <w:rPr>
                <w:sz w:val="17"/>
              </w:rPr>
              <w:t>Treated</w:t>
            </w:r>
            <w:r>
              <w:rPr>
                <w:sz w:val="17"/>
              </w:rPr>
              <w:tab/>
            </w:r>
            <w:r>
              <w:rPr>
                <w:noProof/>
              </w:rPr>
              <w:drawing>
                <wp:inline distT="0" distB="0" distL="0" distR="0" wp14:anchorId="1FA9AC98" wp14:editId="4B4F175D">
                  <wp:extent cx="600456" cy="121920"/>
                  <wp:effectExtent l="0" t="0" r="0" b="0"/>
                  <wp:docPr id="52109" name="Picture 52109"/>
                  <wp:cNvGraphicFramePr/>
                  <a:graphic xmlns:a="http://schemas.openxmlformats.org/drawingml/2006/main">
                    <a:graphicData uri="http://schemas.openxmlformats.org/drawingml/2006/picture">
                      <pic:pic xmlns:pic="http://schemas.openxmlformats.org/drawingml/2006/picture">
                        <pic:nvPicPr>
                          <pic:cNvPr id="52109" name="Picture 52109"/>
                          <pic:cNvPicPr/>
                        </pic:nvPicPr>
                        <pic:blipFill>
                          <a:blip r:embed="rId16"/>
                          <a:stretch>
                            <a:fillRect/>
                          </a:stretch>
                        </pic:blipFill>
                        <pic:spPr>
                          <a:xfrm>
                            <a:off x="0" y="0"/>
                            <a:ext cx="600456" cy="121920"/>
                          </a:xfrm>
                          <a:prstGeom prst="rect">
                            <a:avLst/>
                          </a:prstGeom>
                        </pic:spPr>
                      </pic:pic>
                    </a:graphicData>
                  </a:graphic>
                </wp:inline>
              </w:drawing>
            </w:r>
            <w:r>
              <w:rPr>
                <w:sz w:val="17"/>
              </w:rPr>
              <w:t>)</w:t>
            </w:r>
          </w:p>
        </w:tc>
        <w:tc>
          <w:tcPr>
            <w:tcW w:w="1758" w:type="dxa"/>
            <w:tcBorders>
              <w:top w:val="single" w:sz="3" w:space="0" w:color="000000"/>
              <w:left w:val="nil"/>
              <w:bottom w:val="nil"/>
              <w:right w:val="nil"/>
            </w:tcBorders>
          </w:tcPr>
          <w:p w14:paraId="3F9206D5" w14:textId="77777777" w:rsidR="001C671E" w:rsidRDefault="00000000">
            <w:pPr>
              <w:spacing w:after="0" w:line="259" w:lineRule="auto"/>
              <w:ind w:left="58" w:right="0" w:firstLine="0"/>
              <w:jc w:val="left"/>
            </w:pPr>
            <w:r>
              <w:rPr>
                <w:sz w:val="17"/>
              </w:rPr>
              <w:t>-0.0005</w:t>
            </w:r>
          </w:p>
        </w:tc>
        <w:tc>
          <w:tcPr>
            <w:tcW w:w="1318" w:type="dxa"/>
            <w:tcBorders>
              <w:top w:val="single" w:sz="3" w:space="0" w:color="000000"/>
              <w:left w:val="nil"/>
              <w:bottom w:val="nil"/>
              <w:right w:val="nil"/>
            </w:tcBorders>
          </w:tcPr>
          <w:p w14:paraId="601CDCBD" w14:textId="77777777" w:rsidR="001C671E" w:rsidRDefault="00000000">
            <w:pPr>
              <w:spacing w:after="0" w:line="259" w:lineRule="auto"/>
              <w:ind w:left="6" w:right="0" w:firstLine="0"/>
              <w:jc w:val="left"/>
            </w:pPr>
            <w:r>
              <w:rPr>
                <w:sz w:val="17"/>
              </w:rPr>
              <w:t>0.0006</w:t>
            </w:r>
            <w:r>
              <w:rPr>
                <w:sz w:val="17"/>
                <w:vertAlign w:val="superscript"/>
              </w:rPr>
              <w:t>∗∗∗</w:t>
            </w:r>
          </w:p>
        </w:tc>
        <w:tc>
          <w:tcPr>
            <w:tcW w:w="1756" w:type="dxa"/>
            <w:tcBorders>
              <w:top w:val="single" w:sz="3" w:space="0" w:color="000000"/>
              <w:left w:val="nil"/>
              <w:bottom w:val="nil"/>
              <w:right w:val="nil"/>
            </w:tcBorders>
          </w:tcPr>
          <w:p w14:paraId="4E4D23D0" w14:textId="77777777" w:rsidR="001C671E" w:rsidRDefault="00000000">
            <w:pPr>
              <w:spacing w:after="0" w:line="259" w:lineRule="auto"/>
              <w:ind w:left="521" w:right="0" w:firstLine="0"/>
              <w:jc w:val="left"/>
            </w:pPr>
            <w:r>
              <w:rPr>
                <w:sz w:val="17"/>
              </w:rPr>
              <w:t>0.0064</w:t>
            </w:r>
            <w:r>
              <w:rPr>
                <w:sz w:val="17"/>
                <w:vertAlign w:val="superscript"/>
              </w:rPr>
              <w:t>∗</w:t>
            </w:r>
          </w:p>
        </w:tc>
        <w:tc>
          <w:tcPr>
            <w:tcW w:w="1688" w:type="dxa"/>
            <w:tcBorders>
              <w:top w:val="single" w:sz="3" w:space="0" w:color="000000"/>
              <w:left w:val="nil"/>
              <w:bottom w:val="nil"/>
              <w:right w:val="nil"/>
            </w:tcBorders>
          </w:tcPr>
          <w:p w14:paraId="0063C4A6" w14:textId="77777777" w:rsidR="001C671E" w:rsidRDefault="00000000">
            <w:pPr>
              <w:spacing w:after="0" w:line="259" w:lineRule="auto"/>
              <w:ind w:left="0" w:right="7" w:firstLine="0"/>
              <w:jc w:val="center"/>
            </w:pPr>
            <w:r>
              <w:rPr>
                <w:sz w:val="17"/>
              </w:rPr>
              <w:t>-0.0075</w:t>
            </w:r>
            <w:r>
              <w:rPr>
                <w:sz w:val="17"/>
                <w:vertAlign w:val="superscript"/>
              </w:rPr>
              <w:t>∗∗</w:t>
            </w:r>
          </w:p>
        </w:tc>
      </w:tr>
      <w:tr w:rsidR="001C671E" w14:paraId="744B1D73" w14:textId="77777777">
        <w:trPr>
          <w:trHeight w:val="209"/>
        </w:trPr>
        <w:tc>
          <w:tcPr>
            <w:tcW w:w="2840" w:type="dxa"/>
            <w:tcBorders>
              <w:top w:val="nil"/>
              <w:left w:val="nil"/>
              <w:bottom w:val="single" w:sz="2" w:space="0" w:color="000000"/>
              <w:right w:val="nil"/>
            </w:tcBorders>
          </w:tcPr>
          <w:p w14:paraId="3C5604B8" w14:textId="77777777" w:rsidR="001C671E" w:rsidRDefault="001C671E">
            <w:pPr>
              <w:spacing w:after="160" w:line="259" w:lineRule="auto"/>
              <w:ind w:left="0" w:right="0" w:firstLine="0"/>
              <w:jc w:val="left"/>
            </w:pPr>
          </w:p>
        </w:tc>
        <w:tc>
          <w:tcPr>
            <w:tcW w:w="1758" w:type="dxa"/>
            <w:tcBorders>
              <w:top w:val="nil"/>
              <w:left w:val="nil"/>
              <w:bottom w:val="single" w:sz="2" w:space="0" w:color="000000"/>
              <w:right w:val="nil"/>
            </w:tcBorders>
          </w:tcPr>
          <w:p w14:paraId="4AFFE649" w14:textId="77777777" w:rsidR="001C671E" w:rsidRDefault="00000000">
            <w:pPr>
              <w:spacing w:after="0" w:line="259" w:lineRule="auto"/>
              <w:ind w:left="21" w:right="0" w:firstLine="0"/>
              <w:jc w:val="left"/>
            </w:pPr>
            <w:r>
              <w:rPr>
                <w:sz w:val="17"/>
              </w:rPr>
              <w:t>(0.0009)</w:t>
            </w:r>
          </w:p>
        </w:tc>
        <w:tc>
          <w:tcPr>
            <w:tcW w:w="1318" w:type="dxa"/>
            <w:tcBorders>
              <w:top w:val="nil"/>
              <w:left w:val="nil"/>
              <w:bottom w:val="single" w:sz="2" w:space="0" w:color="000000"/>
              <w:right w:val="nil"/>
            </w:tcBorders>
          </w:tcPr>
          <w:p w14:paraId="56324999" w14:textId="77777777" w:rsidR="001C671E" w:rsidRDefault="00000000">
            <w:pPr>
              <w:spacing w:after="0" w:line="259" w:lineRule="auto"/>
              <w:ind w:left="35" w:right="0" w:firstLine="0"/>
              <w:jc w:val="left"/>
            </w:pPr>
            <w:r>
              <w:rPr>
                <w:sz w:val="17"/>
              </w:rPr>
              <w:t>(0.0002)</w:t>
            </w:r>
          </w:p>
        </w:tc>
        <w:tc>
          <w:tcPr>
            <w:tcW w:w="1756" w:type="dxa"/>
            <w:tcBorders>
              <w:top w:val="nil"/>
              <w:left w:val="nil"/>
              <w:bottom w:val="single" w:sz="2" w:space="0" w:color="000000"/>
              <w:right w:val="nil"/>
            </w:tcBorders>
          </w:tcPr>
          <w:p w14:paraId="623E4C92" w14:textId="77777777" w:rsidR="001C671E" w:rsidRDefault="00000000">
            <w:pPr>
              <w:spacing w:after="0" w:line="259" w:lineRule="auto"/>
              <w:ind w:left="490" w:right="0" w:firstLine="0"/>
              <w:jc w:val="left"/>
            </w:pPr>
            <w:r>
              <w:rPr>
                <w:sz w:val="17"/>
              </w:rPr>
              <w:t>(0.0035)</w:t>
            </w:r>
          </w:p>
        </w:tc>
        <w:tc>
          <w:tcPr>
            <w:tcW w:w="1688" w:type="dxa"/>
            <w:tcBorders>
              <w:top w:val="nil"/>
              <w:left w:val="nil"/>
              <w:bottom w:val="single" w:sz="2" w:space="0" w:color="000000"/>
              <w:right w:val="nil"/>
            </w:tcBorders>
          </w:tcPr>
          <w:p w14:paraId="0B0C5CA7" w14:textId="77777777" w:rsidR="001C671E" w:rsidRDefault="00000000">
            <w:pPr>
              <w:spacing w:after="0" w:line="259" w:lineRule="auto"/>
              <w:ind w:left="0" w:right="0" w:firstLine="0"/>
              <w:jc w:val="center"/>
            </w:pPr>
            <w:r>
              <w:rPr>
                <w:sz w:val="17"/>
              </w:rPr>
              <w:t>(0.0034)</w:t>
            </w:r>
          </w:p>
        </w:tc>
      </w:tr>
      <w:tr w:rsidR="001C671E" w14:paraId="135677C5" w14:textId="77777777">
        <w:trPr>
          <w:trHeight w:val="279"/>
        </w:trPr>
        <w:tc>
          <w:tcPr>
            <w:tcW w:w="2840" w:type="dxa"/>
            <w:tcBorders>
              <w:top w:val="single" w:sz="2" w:space="0" w:color="000000"/>
              <w:left w:val="nil"/>
              <w:bottom w:val="nil"/>
              <w:right w:val="nil"/>
            </w:tcBorders>
          </w:tcPr>
          <w:p w14:paraId="00B5BA1F" w14:textId="77777777" w:rsidR="001C671E" w:rsidRDefault="00000000">
            <w:pPr>
              <w:spacing w:after="0" w:line="259" w:lineRule="auto"/>
              <w:ind w:left="85" w:right="0" w:firstLine="0"/>
              <w:jc w:val="left"/>
            </w:pPr>
            <w:r>
              <w:rPr>
                <w:sz w:val="17"/>
              </w:rPr>
              <w:t>Dep. var. 1930 treated mean</w:t>
            </w:r>
          </w:p>
        </w:tc>
        <w:tc>
          <w:tcPr>
            <w:tcW w:w="1758" w:type="dxa"/>
            <w:tcBorders>
              <w:top w:val="single" w:sz="2" w:space="0" w:color="000000"/>
              <w:left w:val="nil"/>
              <w:bottom w:val="nil"/>
              <w:right w:val="nil"/>
            </w:tcBorders>
          </w:tcPr>
          <w:p w14:paraId="56B1D5C2" w14:textId="77777777" w:rsidR="001C671E" w:rsidRDefault="00000000">
            <w:pPr>
              <w:spacing w:after="0" w:line="259" w:lineRule="auto"/>
              <w:ind w:left="85" w:right="0" w:firstLine="0"/>
              <w:jc w:val="left"/>
            </w:pPr>
            <w:r>
              <w:rPr>
                <w:sz w:val="17"/>
              </w:rPr>
              <w:t>0.9331</w:t>
            </w:r>
          </w:p>
        </w:tc>
        <w:tc>
          <w:tcPr>
            <w:tcW w:w="1318" w:type="dxa"/>
            <w:tcBorders>
              <w:top w:val="single" w:sz="2" w:space="0" w:color="000000"/>
              <w:left w:val="nil"/>
              <w:bottom w:val="nil"/>
              <w:right w:val="nil"/>
            </w:tcBorders>
          </w:tcPr>
          <w:p w14:paraId="7F624A8A" w14:textId="77777777" w:rsidR="001C671E" w:rsidRDefault="00000000">
            <w:pPr>
              <w:spacing w:after="0" w:line="259" w:lineRule="auto"/>
              <w:ind w:left="100" w:right="0" w:firstLine="0"/>
              <w:jc w:val="left"/>
            </w:pPr>
            <w:r>
              <w:rPr>
                <w:sz w:val="17"/>
              </w:rPr>
              <w:t>0.0018</w:t>
            </w:r>
          </w:p>
        </w:tc>
        <w:tc>
          <w:tcPr>
            <w:tcW w:w="1756" w:type="dxa"/>
            <w:tcBorders>
              <w:top w:val="single" w:sz="2" w:space="0" w:color="000000"/>
              <w:left w:val="nil"/>
              <w:bottom w:val="nil"/>
              <w:right w:val="nil"/>
            </w:tcBorders>
          </w:tcPr>
          <w:p w14:paraId="78D29E58" w14:textId="77777777" w:rsidR="001C671E" w:rsidRDefault="00000000">
            <w:pPr>
              <w:spacing w:after="0" w:line="259" w:lineRule="auto"/>
              <w:ind w:left="554" w:right="0" w:firstLine="0"/>
              <w:jc w:val="left"/>
            </w:pPr>
            <w:r>
              <w:rPr>
                <w:sz w:val="17"/>
              </w:rPr>
              <w:t>0.0534</w:t>
            </w:r>
          </w:p>
        </w:tc>
        <w:tc>
          <w:tcPr>
            <w:tcW w:w="1688" w:type="dxa"/>
            <w:tcBorders>
              <w:top w:val="single" w:sz="2" w:space="0" w:color="000000"/>
              <w:left w:val="nil"/>
              <w:bottom w:val="nil"/>
              <w:right w:val="nil"/>
            </w:tcBorders>
          </w:tcPr>
          <w:p w14:paraId="43118CE1" w14:textId="77777777" w:rsidR="001C671E" w:rsidRDefault="00000000">
            <w:pPr>
              <w:spacing w:after="0" w:line="259" w:lineRule="auto"/>
              <w:ind w:left="0" w:right="0" w:firstLine="0"/>
              <w:jc w:val="center"/>
            </w:pPr>
            <w:r>
              <w:rPr>
                <w:sz w:val="17"/>
              </w:rPr>
              <w:t>0.8779</w:t>
            </w:r>
          </w:p>
        </w:tc>
      </w:tr>
      <w:tr w:rsidR="001C671E" w14:paraId="0C8260E9" w14:textId="77777777">
        <w:trPr>
          <w:trHeight w:val="193"/>
        </w:trPr>
        <w:tc>
          <w:tcPr>
            <w:tcW w:w="2840" w:type="dxa"/>
            <w:tcBorders>
              <w:top w:val="nil"/>
              <w:left w:val="nil"/>
              <w:bottom w:val="nil"/>
              <w:right w:val="nil"/>
            </w:tcBorders>
          </w:tcPr>
          <w:p w14:paraId="773D86D9" w14:textId="77777777" w:rsidR="001C671E" w:rsidRDefault="00000000">
            <w:pPr>
              <w:spacing w:after="0" w:line="259" w:lineRule="auto"/>
              <w:ind w:left="85" w:right="0" w:firstLine="0"/>
              <w:jc w:val="left"/>
            </w:pPr>
            <w:r>
              <w:rPr>
                <w:i/>
                <w:sz w:val="17"/>
              </w:rPr>
              <w:t>Observations</w:t>
            </w:r>
          </w:p>
        </w:tc>
        <w:tc>
          <w:tcPr>
            <w:tcW w:w="1758" w:type="dxa"/>
            <w:tcBorders>
              <w:top w:val="nil"/>
              <w:left w:val="nil"/>
              <w:bottom w:val="nil"/>
              <w:right w:val="nil"/>
            </w:tcBorders>
          </w:tcPr>
          <w:p w14:paraId="0E6B1B36" w14:textId="77777777" w:rsidR="001C671E" w:rsidRDefault="00000000">
            <w:pPr>
              <w:spacing w:after="0" w:line="259" w:lineRule="auto"/>
              <w:ind w:left="-21" w:right="0" w:firstLine="0"/>
              <w:jc w:val="left"/>
            </w:pPr>
            <w:r>
              <w:rPr>
                <w:sz w:val="17"/>
              </w:rPr>
              <w:t>3,125,563</w:t>
            </w:r>
          </w:p>
        </w:tc>
        <w:tc>
          <w:tcPr>
            <w:tcW w:w="1318" w:type="dxa"/>
            <w:tcBorders>
              <w:top w:val="nil"/>
              <w:left w:val="nil"/>
              <w:bottom w:val="nil"/>
              <w:right w:val="nil"/>
            </w:tcBorders>
          </w:tcPr>
          <w:p w14:paraId="3DFF9B24" w14:textId="77777777" w:rsidR="001C671E" w:rsidRDefault="00000000">
            <w:pPr>
              <w:spacing w:after="0" w:line="259" w:lineRule="auto"/>
              <w:ind w:left="-6" w:right="0" w:firstLine="0"/>
              <w:jc w:val="left"/>
            </w:pPr>
            <w:r>
              <w:rPr>
                <w:sz w:val="17"/>
              </w:rPr>
              <w:t>3,125,563</w:t>
            </w:r>
          </w:p>
        </w:tc>
        <w:tc>
          <w:tcPr>
            <w:tcW w:w="1756" w:type="dxa"/>
            <w:tcBorders>
              <w:top w:val="nil"/>
              <w:left w:val="nil"/>
              <w:bottom w:val="nil"/>
              <w:right w:val="nil"/>
            </w:tcBorders>
          </w:tcPr>
          <w:p w14:paraId="11EF9A95" w14:textId="77777777" w:rsidR="001C671E" w:rsidRDefault="00000000">
            <w:pPr>
              <w:spacing w:after="0" w:line="259" w:lineRule="auto"/>
              <w:ind w:left="448" w:right="0" w:firstLine="0"/>
              <w:jc w:val="left"/>
            </w:pPr>
            <w:r>
              <w:rPr>
                <w:sz w:val="17"/>
              </w:rPr>
              <w:t>3,125,563</w:t>
            </w:r>
          </w:p>
        </w:tc>
        <w:tc>
          <w:tcPr>
            <w:tcW w:w="1688" w:type="dxa"/>
            <w:tcBorders>
              <w:top w:val="nil"/>
              <w:left w:val="nil"/>
              <w:bottom w:val="nil"/>
              <w:right w:val="nil"/>
            </w:tcBorders>
          </w:tcPr>
          <w:p w14:paraId="300A0C30" w14:textId="77777777" w:rsidR="001C671E" w:rsidRDefault="00000000">
            <w:pPr>
              <w:spacing w:after="0" w:line="259" w:lineRule="auto"/>
              <w:ind w:left="0" w:right="0" w:firstLine="0"/>
              <w:jc w:val="center"/>
            </w:pPr>
            <w:r>
              <w:rPr>
                <w:sz w:val="17"/>
              </w:rPr>
              <w:t>3,125,563</w:t>
            </w:r>
          </w:p>
        </w:tc>
      </w:tr>
      <w:tr w:rsidR="001C671E" w14:paraId="1E8D4A53" w14:textId="77777777">
        <w:trPr>
          <w:trHeight w:val="250"/>
        </w:trPr>
        <w:tc>
          <w:tcPr>
            <w:tcW w:w="2840" w:type="dxa"/>
            <w:tcBorders>
              <w:top w:val="nil"/>
              <w:left w:val="nil"/>
              <w:bottom w:val="single" w:sz="3" w:space="0" w:color="000000"/>
              <w:right w:val="nil"/>
            </w:tcBorders>
          </w:tcPr>
          <w:p w14:paraId="00CC8B76" w14:textId="77777777" w:rsidR="001C671E" w:rsidRDefault="00000000">
            <w:pPr>
              <w:spacing w:after="0" w:line="259" w:lineRule="auto"/>
              <w:ind w:left="85" w:right="0" w:firstLine="0"/>
              <w:jc w:val="left"/>
            </w:pPr>
            <w:r>
              <w:rPr>
                <w:i/>
                <w:sz w:val="17"/>
              </w:rPr>
              <w:t>Adjusted R</w:t>
            </w:r>
            <w:r>
              <w:rPr>
                <w:sz w:val="17"/>
                <w:vertAlign w:val="superscript"/>
              </w:rPr>
              <w:t>2</w:t>
            </w:r>
          </w:p>
        </w:tc>
        <w:tc>
          <w:tcPr>
            <w:tcW w:w="1758" w:type="dxa"/>
            <w:tcBorders>
              <w:top w:val="nil"/>
              <w:left w:val="nil"/>
              <w:bottom w:val="single" w:sz="3" w:space="0" w:color="000000"/>
              <w:right w:val="nil"/>
            </w:tcBorders>
          </w:tcPr>
          <w:p w14:paraId="420EE5EA" w14:textId="77777777" w:rsidR="001C671E" w:rsidRDefault="00000000">
            <w:pPr>
              <w:spacing w:after="0" w:line="259" w:lineRule="auto"/>
              <w:ind w:left="44" w:right="0" w:firstLine="0"/>
              <w:jc w:val="left"/>
            </w:pPr>
            <w:r>
              <w:rPr>
                <w:sz w:val="17"/>
              </w:rPr>
              <w:t>0.02377</w:t>
            </w:r>
          </w:p>
        </w:tc>
        <w:tc>
          <w:tcPr>
            <w:tcW w:w="1318" w:type="dxa"/>
            <w:tcBorders>
              <w:top w:val="nil"/>
              <w:left w:val="nil"/>
              <w:bottom w:val="single" w:sz="3" w:space="0" w:color="000000"/>
              <w:right w:val="nil"/>
            </w:tcBorders>
          </w:tcPr>
          <w:p w14:paraId="509716C1" w14:textId="77777777" w:rsidR="001C671E" w:rsidRDefault="00000000">
            <w:pPr>
              <w:spacing w:after="0" w:line="259" w:lineRule="auto"/>
              <w:ind w:left="58" w:right="0" w:firstLine="0"/>
              <w:jc w:val="left"/>
            </w:pPr>
            <w:r>
              <w:rPr>
                <w:sz w:val="17"/>
              </w:rPr>
              <w:t>0.00086</w:t>
            </w:r>
          </w:p>
        </w:tc>
        <w:tc>
          <w:tcPr>
            <w:tcW w:w="1756" w:type="dxa"/>
            <w:tcBorders>
              <w:top w:val="nil"/>
              <w:left w:val="nil"/>
              <w:bottom w:val="single" w:sz="3" w:space="0" w:color="000000"/>
              <w:right w:val="nil"/>
            </w:tcBorders>
          </w:tcPr>
          <w:p w14:paraId="4F50B9C3" w14:textId="77777777" w:rsidR="001C671E" w:rsidRDefault="00000000">
            <w:pPr>
              <w:spacing w:after="0" w:line="259" w:lineRule="auto"/>
              <w:ind w:left="513" w:right="0" w:firstLine="0"/>
              <w:jc w:val="left"/>
            </w:pPr>
            <w:r>
              <w:rPr>
                <w:sz w:val="17"/>
              </w:rPr>
              <w:t>0.01862</w:t>
            </w:r>
          </w:p>
        </w:tc>
        <w:tc>
          <w:tcPr>
            <w:tcW w:w="1688" w:type="dxa"/>
            <w:tcBorders>
              <w:top w:val="nil"/>
              <w:left w:val="nil"/>
              <w:bottom w:val="single" w:sz="3" w:space="0" w:color="000000"/>
              <w:right w:val="nil"/>
            </w:tcBorders>
          </w:tcPr>
          <w:p w14:paraId="66F34AE6" w14:textId="77777777" w:rsidR="001C671E" w:rsidRDefault="00000000">
            <w:pPr>
              <w:spacing w:after="0" w:line="259" w:lineRule="auto"/>
              <w:ind w:left="0" w:right="0" w:firstLine="0"/>
              <w:jc w:val="center"/>
            </w:pPr>
            <w:r>
              <w:rPr>
                <w:sz w:val="17"/>
              </w:rPr>
              <w:t>0.01684</w:t>
            </w:r>
          </w:p>
        </w:tc>
      </w:tr>
      <w:tr w:rsidR="001C671E" w14:paraId="64AA5611" w14:textId="77777777">
        <w:trPr>
          <w:trHeight w:val="289"/>
        </w:trPr>
        <w:tc>
          <w:tcPr>
            <w:tcW w:w="5917" w:type="dxa"/>
            <w:gridSpan w:val="3"/>
            <w:tcBorders>
              <w:top w:val="single" w:sz="3" w:space="0" w:color="000000"/>
              <w:left w:val="nil"/>
              <w:bottom w:val="single" w:sz="3" w:space="0" w:color="000000"/>
              <w:right w:val="nil"/>
            </w:tcBorders>
          </w:tcPr>
          <w:p w14:paraId="2D6913CA" w14:textId="77777777" w:rsidR="001C671E" w:rsidRDefault="00000000">
            <w:pPr>
              <w:spacing w:after="0" w:line="259" w:lineRule="auto"/>
              <w:ind w:left="85" w:right="0" w:firstLine="0"/>
              <w:jc w:val="left"/>
            </w:pPr>
            <w:r>
              <w:rPr>
                <w:sz w:val="17"/>
              </w:rPr>
              <w:t xml:space="preserve">Sample 3: Women who were unmarried and not in the labor force in </w:t>
            </w:r>
            <w:r>
              <w:rPr>
                <w:i/>
                <w:sz w:val="17"/>
              </w:rPr>
              <w:t>t</w:t>
            </w:r>
            <w:r>
              <w:rPr>
                <w:sz w:val="17"/>
              </w:rPr>
              <w:t>− 10</w:t>
            </w:r>
          </w:p>
        </w:tc>
        <w:tc>
          <w:tcPr>
            <w:tcW w:w="1756" w:type="dxa"/>
            <w:tcBorders>
              <w:top w:val="single" w:sz="3" w:space="0" w:color="000000"/>
              <w:left w:val="nil"/>
              <w:bottom w:val="single" w:sz="3" w:space="0" w:color="000000"/>
              <w:right w:val="nil"/>
            </w:tcBorders>
          </w:tcPr>
          <w:p w14:paraId="33290AB8" w14:textId="77777777" w:rsidR="001C671E" w:rsidRDefault="001C671E">
            <w:pPr>
              <w:spacing w:after="160" w:line="259" w:lineRule="auto"/>
              <w:ind w:left="0" w:right="0" w:firstLine="0"/>
              <w:jc w:val="left"/>
            </w:pPr>
          </w:p>
        </w:tc>
        <w:tc>
          <w:tcPr>
            <w:tcW w:w="1688" w:type="dxa"/>
            <w:tcBorders>
              <w:top w:val="single" w:sz="3" w:space="0" w:color="000000"/>
              <w:left w:val="nil"/>
              <w:bottom w:val="single" w:sz="3" w:space="0" w:color="000000"/>
              <w:right w:val="nil"/>
            </w:tcBorders>
          </w:tcPr>
          <w:p w14:paraId="488D029E" w14:textId="77777777" w:rsidR="001C671E" w:rsidRDefault="001C671E">
            <w:pPr>
              <w:spacing w:after="160" w:line="259" w:lineRule="auto"/>
              <w:ind w:left="0" w:right="0" w:firstLine="0"/>
              <w:jc w:val="left"/>
            </w:pPr>
          </w:p>
        </w:tc>
      </w:tr>
      <w:tr w:rsidR="001C671E" w14:paraId="01FAF25A" w14:textId="77777777">
        <w:trPr>
          <w:trHeight w:val="254"/>
        </w:trPr>
        <w:tc>
          <w:tcPr>
            <w:tcW w:w="2840" w:type="dxa"/>
            <w:tcBorders>
              <w:top w:val="single" w:sz="3" w:space="0" w:color="000000"/>
              <w:left w:val="nil"/>
              <w:bottom w:val="nil"/>
              <w:right w:val="nil"/>
            </w:tcBorders>
          </w:tcPr>
          <w:p w14:paraId="75B4AEE0" w14:textId="77777777" w:rsidR="001C671E" w:rsidRDefault="00000000">
            <w:pPr>
              <w:tabs>
                <w:tab w:val="center" w:pos="1205"/>
              </w:tabs>
              <w:spacing w:after="0" w:line="259" w:lineRule="auto"/>
              <w:ind w:left="0" w:right="0" w:firstLine="0"/>
              <w:jc w:val="left"/>
            </w:pPr>
            <w:r>
              <w:rPr>
                <w:sz w:val="17"/>
              </w:rPr>
              <w:t>Treated</w:t>
            </w:r>
            <w:r>
              <w:rPr>
                <w:sz w:val="17"/>
              </w:rPr>
              <w:tab/>
            </w:r>
            <w:r>
              <w:rPr>
                <w:noProof/>
              </w:rPr>
              <w:drawing>
                <wp:inline distT="0" distB="0" distL="0" distR="0" wp14:anchorId="344023F3" wp14:editId="1BB000F7">
                  <wp:extent cx="600456" cy="121920"/>
                  <wp:effectExtent l="0" t="0" r="0" b="0"/>
                  <wp:docPr id="52110" name="Picture 52110"/>
                  <wp:cNvGraphicFramePr/>
                  <a:graphic xmlns:a="http://schemas.openxmlformats.org/drawingml/2006/main">
                    <a:graphicData uri="http://schemas.openxmlformats.org/drawingml/2006/picture">
                      <pic:pic xmlns:pic="http://schemas.openxmlformats.org/drawingml/2006/picture">
                        <pic:nvPicPr>
                          <pic:cNvPr id="52110" name="Picture 52110"/>
                          <pic:cNvPicPr/>
                        </pic:nvPicPr>
                        <pic:blipFill>
                          <a:blip r:embed="rId16"/>
                          <a:stretch>
                            <a:fillRect/>
                          </a:stretch>
                        </pic:blipFill>
                        <pic:spPr>
                          <a:xfrm>
                            <a:off x="0" y="0"/>
                            <a:ext cx="600456" cy="121920"/>
                          </a:xfrm>
                          <a:prstGeom prst="rect">
                            <a:avLst/>
                          </a:prstGeom>
                        </pic:spPr>
                      </pic:pic>
                    </a:graphicData>
                  </a:graphic>
                </wp:inline>
              </w:drawing>
            </w:r>
            <w:r>
              <w:rPr>
                <w:sz w:val="17"/>
              </w:rPr>
              <w:t>)</w:t>
            </w:r>
          </w:p>
        </w:tc>
        <w:tc>
          <w:tcPr>
            <w:tcW w:w="1758" w:type="dxa"/>
            <w:tcBorders>
              <w:top w:val="single" w:sz="3" w:space="0" w:color="000000"/>
              <w:left w:val="nil"/>
              <w:bottom w:val="nil"/>
              <w:right w:val="nil"/>
            </w:tcBorders>
          </w:tcPr>
          <w:p w14:paraId="2FA5CC60" w14:textId="77777777" w:rsidR="001C671E" w:rsidRDefault="00000000">
            <w:pPr>
              <w:spacing w:after="0" w:line="259" w:lineRule="auto"/>
              <w:ind w:left="58" w:right="0" w:firstLine="0"/>
              <w:jc w:val="left"/>
            </w:pPr>
            <w:r>
              <w:rPr>
                <w:sz w:val="17"/>
              </w:rPr>
              <w:t>-0.0003</w:t>
            </w:r>
          </w:p>
        </w:tc>
        <w:tc>
          <w:tcPr>
            <w:tcW w:w="1318" w:type="dxa"/>
            <w:tcBorders>
              <w:top w:val="single" w:sz="3" w:space="0" w:color="000000"/>
              <w:left w:val="nil"/>
              <w:bottom w:val="nil"/>
              <w:right w:val="nil"/>
            </w:tcBorders>
          </w:tcPr>
          <w:p w14:paraId="069E423D" w14:textId="77777777" w:rsidR="001C671E" w:rsidRDefault="00000000">
            <w:pPr>
              <w:spacing w:after="0" w:line="259" w:lineRule="auto"/>
              <w:ind w:left="6" w:right="0" w:firstLine="0"/>
              <w:jc w:val="left"/>
            </w:pPr>
            <w:r>
              <w:rPr>
                <w:sz w:val="17"/>
              </w:rPr>
              <w:t>0.0014</w:t>
            </w:r>
            <w:r>
              <w:rPr>
                <w:sz w:val="17"/>
                <w:vertAlign w:val="superscript"/>
              </w:rPr>
              <w:t>∗∗∗</w:t>
            </w:r>
          </w:p>
        </w:tc>
        <w:tc>
          <w:tcPr>
            <w:tcW w:w="1756" w:type="dxa"/>
            <w:tcBorders>
              <w:top w:val="single" w:sz="3" w:space="0" w:color="000000"/>
              <w:left w:val="nil"/>
              <w:bottom w:val="nil"/>
              <w:right w:val="nil"/>
            </w:tcBorders>
          </w:tcPr>
          <w:p w14:paraId="005FDCF4" w14:textId="77777777" w:rsidR="001C671E" w:rsidRDefault="00000000">
            <w:pPr>
              <w:spacing w:after="0" w:line="259" w:lineRule="auto"/>
              <w:ind w:left="491" w:right="0" w:firstLine="0"/>
              <w:jc w:val="left"/>
            </w:pPr>
            <w:r>
              <w:rPr>
                <w:sz w:val="17"/>
              </w:rPr>
              <w:t>0.0044</w:t>
            </w:r>
            <w:r>
              <w:rPr>
                <w:sz w:val="17"/>
                <w:vertAlign w:val="superscript"/>
              </w:rPr>
              <w:t>∗∗</w:t>
            </w:r>
          </w:p>
        </w:tc>
        <w:tc>
          <w:tcPr>
            <w:tcW w:w="1688" w:type="dxa"/>
            <w:tcBorders>
              <w:top w:val="single" w:sz="3" w:space="0" w:color="000000"/>
              <w:left w:val="nil"/>
              <w:bottom w:val="nil"/>
              <w:right w:val="nil"/>
            </w:tcBorders>
          </w:tcPr>
          <w:p w14:paraId="78AC385B" w14:textId="77777777" w:rsidR="001C671E" w:rsidRDefault="00000000">
            <w:pPr>
              <w:spacing w:after="0" w:line="259" w:lineRule="auto"/>
              <w:ind w:left="0" w:right="7" w:firstLine="0"/>
              <w:jc w:val="center"/>
            </w:pPr>
            <w:r>
              <w:rPr>
                <w:sz w:val="17"/>
              </w:rPr>
              <w:t>-0.0061</w:t>
            </w:r>
            <w:r>
              <w:rPr>
                <w:sz w:val="17"/>
                <w:vertAlign w:val="superscript"/>
              </w:rPr>
              <w:t>∗</w:t>
            </w:r>
          </w:p>
        </w:tc>
      </w:tr>
      <w:tr w:rsidR="001C671E" w14:paraId="41DC0BD8" w14:textId="77777777">
        <w:trPr>
          <w:trHeight w:val="209"/>
        </w:trPr>
        <w:tc>
          <w:tcPr>
            <w:tcW w:w="2840" w:type="dxa"/>
            <w:tcBorders>
              <w:top w:val="nil"/>
              <w:left w:val="nil"/>
              <w:bottom w:val="single" w:sz="2" w:space="0" w:color="000000"/>
              <w:right w:val="nil"/>
            </w:tcBorders>
          </w:tcPr>
          <w:p w14:paraId="133008CA" w14:textId="77777777" w:rsidR="001C671E" w:rsidRDefault="001C671E">
            <w:pPr>
              <w:spacing w:after="160" w:line="259" w:lineRule="auto"/>
              <w:ind w:left="0" w:right="0" w:firstLine="0"/>
              <w:jc w:val="left"/>
            </w:pPr>
          </w:p>
        </w:tc>
        <w:tc>
          <w:tcPr>
            <w:tcW w:w="1758" w:type="dxa"/>
            <w:tcBorders>
              <w:top w:val="nil"/>
              <w:left w:val="nil"/>
              <w:bottom w:val="single" w:sz="2" w:space="0" w:color="000000"/>
              <w:right w:val="nil"/>
            </w:tcBorders>
          </w:tcPr>
          <w:p w14:paraId="34CDF9AA" w14:textId="77777777" w:rsidR="001C671E" w:rsidRDefault="00000000">
            <w:pPr>
              <w:spacing w:after="0" w:line="259" w:lineRule="auto"/>
              <w:ind w:left="21" w:right="0" w:firstLine="0"/>
              <w:jc w:val="left"/>
            </w:pPr>
            <w:r>
              <w:rPr>
                <w:sz w:val="17"/>
              </w:rPr>
              <w:t>(0.0036)</w:t>
            </w:r>
          </w:p>
        </w:tc>
        <w:tc>
          <w:tcPr>
            <w:tcW w:w="1318" w:type="dxa"/>
            <w:tcBorders>
              <w:top w:val="nil"/>
              <w:left w:val="nil"/>
              <w:bottom w:val="single" w:sz="2" w:space="0" w:color="000000"/>
              <w:right w:val="nil"/>
            </w:tcBorders>
          </w:tcPr>
          <w:p w14:paraId="5CEFB5CA" w14:textId="77777777" w:rsidR="001C671E" w:rsidRDefault="00000000">
            <w:pPr>
              <w:spacing w:after="0" w:line="259" w:lineRule="auto"/>
              <w:ind w:left="35" w:right="0" w:firstLine="0"/>
              <w:jc w:val="left"/>
            </w:pPr>
            <w:r>
              <w:rPr>
                <w:sz w:val="17"/>
              </w:rPr>
              <w:t>(0.0003)</w:t>
            </w:r>
          </w:p>
        </w:tc>
        <w:tc>
          <w:tcPr>
            <w:tcW w:w="1756" w:type="dxa"/>
            <w:tcBorders>
              <w:top w:val="nil"/>
              <w:left w:val="nil"/>
              <w:bottom w:val="single" w:sz="2" w:space="0" w:color="000000"/>
              <w:right w:val="nil"/>
            </w:tcBorders>
          </w:tcPr>
          <w:p w14:paraId="731DE7B6" w14:textId="77777777" w:rsidR="001C671E" w:rsidRDefault="00000000">
            <w:pPr>
              <w:spacing w:after="0" w:line="259" w:lineRule="auto"/>
              <w:ind w:left="490" w:right="0" w:firstLine="0"/>
              <w:jc w:val="left"/>
            </w:pPr>
            <w:r>
              <w:rPr>
                <w:sz w:val="17"/>
              </w:rPr>
              <w:t>(0.0021)</w:t>
            </w:r>
          </w:p>
        </w:tc>
        <w:tc>
          <w:tcPr>
            <w:tcW w:w="1688" w:type="dxa"/>
            <w:tcBorders>
              <w:top w:val="nil"/>
              <w:left w:val="nil"/>
              <w:bottom w:val="single" w:sz="2" w:space="0" w:color="000000"/>
              <w:right w:val="nil"/>
            </w:tcBorders>
          </w:tcPr>
          <w:p w14:paraId="5D4F2F72" w14:textId="77777777" w:rsidR="001C671E" w:rsidRDefault="00000000">
            <w:pPr>
              <w:spacing w:after="0" w:line="259" w:lineRule="auto"/>
              <w:ind w:left="0" w:right="0" w:firstLine="0"/>
              <w:jc w:val="center"/>
            </w:pPr>
            <w:r>
              <w:rPr>
                <w:sz w:val="17"/>
              </w:rPr>
              <w:t>(0.0035)</w:t>
            </w:r>
          </w:p>
        </w:tc>
      </w:tr>
      <w:tr w:rsidR="001C671E" w14:paraId="5E49245D" w14:textId="77777777">
        <w:trPr>
          <w:trHeight w:val="279"/>
        </w:trPr>
        <w:tc>
          <w:tcPr>
            <w:tcW w:w="2840" w:type="dxa"/>
            <w:tcBorders>
              <w:top w:val="single" w:sz="2" w:space="0" w:color="000000"/>
              <w:left w:val="nil"/>
              <w:bottom w:val="nil"/>
              <w:right w:val="nil"/>
            </w:tcBorders>
          </w:tcPr>
          <w:p w14:paraId="31BF38BC" w14:textId="77777777" w:rsidR="001C671E" w:rsidRDefault="00000000">
            <w:pPr>
              <w:spacing w:after="0" w:line="259" w:lineRule="auto"/>
              <w:ind w:left="85" w:right="0" w:firstLine="0"/>
              <w:jc w:val="left"/>
            </w:pPr>
            <w:r>
              <w:rPr>
                <w:sz w:val="17"/>
              </w:rPr>
              <w:t>Dep. var. 1930 treated mean</w:t>
            </w:r>
          </w:p>
        </w:tc>
        <w:tc>
          <w:tcPr>
            <w:tcW w:w="1758" w:type="dxa"/>
            <w:tcBorders>
              <w:top w:val="single" w:sz="2" w:space="0" w:color="000000"/>
              <w:left w:val="nil"/>
              <w:bottom w:val="nil"/>
              <w:right w:val="nil"/>
            </w:tcBorders>
          </w:tcPr>
          <w:p w14:paraId="0FF040EB" w14:textId="77777777" w:rsidR="001C671E" w:rsidRDefault="00000000">
            <w:pPr>
              <w:spacing w:after="0" w:line="259" w:lineRule="auto"/>
              <w:ind w:left="85" w:right="0" w:firstLine="0"/>
              <w:jc w:val="left"/>
            </w:pPr>
            <w:r>
              <w:rPr>
                <w:sz w:val="17"/>
              </w:rPr>
              <w:t>0.5076</w:t>
            </w:r>
          </w:p>
        </w:tc>
        <w:tc>
          <w:tcPr>
            <w:tcW w:w="1318" w:type="dxa"/>
            <w:tcBorders>
              <w:top w:val="single" w:sz="2" w:space="0" w:color="000000"/>
              <w:left w:val="nil"/>
              <w:bottom w:val="nil"/>
              <w:right w:val="nil"/>
            </w:tcBorders>
          </w:tcPr>
          <w:p w14:paraId="0EF728D4" w14:textId="77777777" w:rsidR="001C671E" w:rsidRDefault="00000000">
            <w:pPr>
              <w:spacing w:after="0" w:line="259" w:lineRule="auto"/>
              <w:ind w:left="100" w:right="0" w:firstLine="0"/>
              <w:jc w:val="left"/>
            </w:pPr>
            <w:r>
              <w:rPr>
                <w:sz w:val="17"/>
              </w:rPr>
              <w:t>0.0044</w:t>
            </w:r>
          </w:p>
        </w:tc>
        <w:tc>
          <w:tcPr>
            <w:tcW w:w="1756" w:type="dxa"/>
            <w:tcBorders>
              <w:top w:val="single" w:sz="2" w:space="0" w:color="000000"/>
              <w:left w:val="nil"/>
              <w:bottom w:val="nil"/>
              <w:right w:val="nil"/>
            </w:tcBorders>
          </w:tcPr>
          <w:p w14:paraId="3AE5FBFF" w14:textId="77777777" w:rsidR="001C671E" w:rsidRDefault="00000000">
            <w:pPr>
              <w:spacing w:after="0" w:line="259" w:lineRule="auto"/>
              <w:ind w:left="554" w:right="0" w:firstLine="0"/>
              <w:jc w:val="left"/>
            </w:pPr>
            <w:r>
              <w:rPr>
                <w:sz w:val="17"/>
              </w:rPr>
              <w:t>0.0433</w:t>
            </w:r>
          </w:p>
        </w:tc>
        <w:tc>
          <w:tcPr>
            <w:tcW w:w="1688" w:type="dxa"/>
            <w:tcBorders>
              <w:top w:val="single" w:sz="2" w:space="0" w:color="000000"/>
              <w:left w:val="nil"/>
              <w:bottom w:val="nil"/>
              <w:right w:val="nil"/>
            </w:tcBorders>
          </w:tcPr>
          <w:p w14:paraId="24013B35" w14:textId="77777777" w:rsidR="001C671E" w:rsidRDefault="00000000">
            <w:pPr>
              <w:spacing w:after="0" w:line="259" w:lineRule="auto"/>
              <w:ind w:left="0" w:right="0" w:firstLine="0"/>
              <w:jc w:val="center"/>
            </w:pPr>
            <w:r>
              <w:rPr>
                <w:sz w:val="17"/>
              </w:rPr>
              <w:t>0.4600</w:t>
            </w:r>
          </w:p>
        </w:tc>
      </w:tr>
      <w:tr w:rsidR="001C671E" w14:paraId="412387CC" w14:textId="77777777">
        <w:trPr>
          <w:trHeight w:val="193"/>
        </w:trPr>
        <w:tc>
          <w:tcPr>
            <w:tcW w:w="2840" w:type="dxa"/>
            <w:tcBorders>
              <w:top w:val="nil"/>
              <w:left w:val="nil"/>
              <w:bottom w:val="nil"/>
              <w:right w:val="nil"/>
            </w:tcBorders>
          </w:tcPr>
          <w:p w14:paraId="3704E1E5" w14:textId="77777777" w:rsidR="001C671E" w:rsidRDefault="00000000">
            <w:pPr>
              <w:spacing w:after="0" w:line="259" w:lineRule="auto"/>
              <w:ind w:left="85" w:right="0" w:firstLine="0"/>
              <w:jc w:val="left"/>
            </w:pPr>
            <w:r>
              <w:rPr>
                <w:i/>
                <w:sz w:val="17"/>
              </w:rPr>
              <w:t>Observations</w:t>
            </w:r>
          </w:p>
        </w:tc>
        <w:tc>
          <w:tcPr>
            <w:tcW w:w="1758" w:type="dxa"/>
            <w:tcBorders>
              <w:top w:val="nil"/>
              <w:left w:val="nil"/>
              <w:bottom w:val="nil"/>
              <w:right w:val="nil"/>
            </w:tcBorders>
          </w:tcPr>
          <w:p w14:paraId="515AED6D" w14:textId="77777777" w:rsidR="001C671E" w:rsidRDefault="00000000">
            <w:pPr>
              <w:spacing w:after="0" w:line="259" w:lineRule="auto"/>
              <w:ind w:left="-21" w:right="0" w:firstLine="0"/>
              <w:jc w:val="left"/>
            </w:pPr>
            <w:r>
              <w:rPr>
                <w:sz w:val="17"/>
              </w:rPr>
              <w:t>2,217,852</w:t>
            </w:r>
          </w:p>
        </w:tc>
        <w:tc>
          <w:tcPr>
            <w:tcW w:w="1318" w:type="dxa"/>
            <w:tcBorders>
              <w:top w:val="nil"/>
              <w:left w:val="nil"/>
              <w:bottom w:val="nil"/>
              <w:right w:val="nil"/>
            </w:tcBorders>
          </w:tcPr>
          <w:p w14:paraId="28534345" w14:textId="77777777" w:rsidR="001C671E" w:rsidRDefault="00000000">
            <w:pPr>
              <w:spacing w:after="0" w:line="259" w:lineRule="auto"/>
              <w:ind w:left="-6" w:right="0" w:firstLine="0"/>
              <w:jc w:val="left"/>
            </w:pPr>
            <w:r>
              <w:rPr>
                <w:sz w:val="17"/>
              </w:rPr>
              <w:t>2,217,852</w:t>
            </w:r>
          </w:p>
        </w:tc>
        <w:tc>
          <w:tcPr>
            <w:tcW w:w="1756" w:type="dxa"/>
            <w:tcBorders>
              <w:top w:val="nil"/>
              <w:left w:val="nil"/>
              <w:bottom w:val="nil"/>
              <w:right w:val="nil"/>
            </w:tcBorders>
          </w:tcPr>
          <w:p w14:paraId="1D486B49" w14:textId="77777777" w:rsidR="001C671E" w:rsidRDefault="00000000">
            <w:pPr>
              <w:spacing w:after="0" w:line="259" w:lineRule="auto"/>
              <w:ind w:left="448" w:right="0" w:firstLine="0"/>
              <w:jc w:val="left"/>
            </w:pPr>
            <w:r>
              <w:rPr>
                <w:sz w:val="17"/>
              </w:rPr>
              <w:t>2,217,852</w:t>
            </w:r>
          </w:p>
        </w:tc>
        <w:tc>
          <w:tcPr>
            <w:tcW w:w="1688" w:type="dxa"/>
            <w:tcBorders>
              <w:top w:val="nil"/>
              <w:left w:val="nil"/>
              <w:bottom w:val="nil"/>
              <w:right w:val="nil"/>
            </w:tcBorders>
          </w:tcPr>
          <w:p w14:paraId="7E48925A" w14:textId="77777777" w:rsidR="001C671E" w:rsidRDefault="00000000">
            <w:pPr>
              <w:spacing w:after="0" w:line="259" w:lineRule="auto"/>
              <w:ind w:left="0" w:right="0" w:firstLine="0"/>
              <w:jc w:val="center"/>
            </w:pPr>
            <w:r>
              <w:rPr>
                <w:sz w:val="17"/>
              </w:rPr>
              <w:t>2,217,852</w:t>
            </w:r>
          </w:p>
        </w:tc>
      </w:tr>
      <w:tr w:rsidR="001C671E" w14:paraId="50C35977" w14:textId="77777777">
        <w:trPr>
          <w:trHeight w:val="253"/>
        </w:trPr>
        <w:tc>
          <w:tcPr>
            <w:tcW w:w="2840" w:type="dxa"/>
            <w:tcBorders>
              <w:top w:val="nil"/>
              <w:left w:val="nil"/>
              <w:bottom w:val="single" w:sz="5" w:space="0" w:color="000000"/>
              <w:right w:val="nil"/>
            </w:tcBorders>
          </w:tcPr>
          <w:p w14:paraId="0B1D75C1" w14:textId="77777777" w:rsidR="001C671E" w:rsidRDefault="00000000">
            <w:pPr>
              <w:spacing w:after="0" w:line="259" w:lineRule="auto"/>
              <w:ind w:left="85" w:right="0" w:firstLine="0"/>
              <w:jc w:val="left"/>
            </w:pPr>
            <w:r>
              <w:rPr>
                <w:i/>
                <w:sz w:val="17"/>
              </w:rPr>
              <w:t>Adjusted R</w:t>
            </w:r>
            <w:r>
              <w:rPr>
                <w:sz w:val="17"/>
                <w:vertAlign w:val="superscript"/>
              </w:rPr>
              <w:t>2</w:t>
            </w:r>
          </w:p>
        </w:tc>
        <w:tc>
          <w:tcPr>
            <w:tcW w:w="1758" w:type="dxa"/>
            <w:tcBorders>
              <w:top w:val="nil"/>
              <w:left w:val="nil"/>
              <w:bottom w:val="single" w:sz="5" w:space="0" w:color="000000"/>
              <w:right w:val="nil"/>
            </w:tcBorders>
          </w:tcPr>
          <w:p w14:paraId="043B1C06" w14:textId="77777777" w:rsidR="001C671E" w:rsidRDefault="00000000">
            <w:pPr>
              <w:spacing w:after="0" w:line="259" w:lineRule="auto"/>
              <w:ind w:left="44" w:right="0" w:firstLine="0"/>
              <w:jc w:val="left"/>
            </w:pPr>
            <w:r>
              <w:rPr>
                <w:sz w:val="17"/>
              </w:rPr>
              <w:t>0.15575</w:t>
            </w:r>
          </w:p>
        </w:tc>
        <w:tc>
          <w:tcPr>
            <w:tcW w:w="1318" w:type="dxa"/>
            <w:tcBorders>
              <w:top w:val="nil"/>
              <w:left w:val="nil"/>
              <w:bottom w:val="single" w:sz="5" w:space="0" w:color="000000"/>
              <w:right w:val="nil"/>
            </w:tcBorders>
          </w:tcPr>
          <w:p w14:paraId="6AAEBA6A" w14:textId="77777777" w:rsidR="001C671E" w:rsidRDefault="00000000">
            <w:pPr>
              <w:spacing w:after="0" w:line="259" w:lineRule="auto"/>
              <w:ind w:left="58" w:right="0" w:firstLine="0"/>
              <w:jc w:val="left"/>
            </w:pPr>
            <w:r>
              <w:rPr>
                <w:sz w:val="17"/>
              </w:rPr>
              <w:t>0.00362</w:t>
            </w:r>
          </w:p>
        </w:tc>
        <w:tc>
          <w:tcPr>
            <w:tcW w:w="1756" w:type="dxa"/>
            <w:tcBorders>
              <w:top w:val="nil"/>
              <w:left w:val="nil"/>
              <w:bottom w:val="single" w:sz="5" w:space="0" w:color="000000"/>
              <w:right w:val="nil"/>
            </w:tcBorders>
          </w:tcPr>
          <w:p w14:paraId="4C32631A" w14:textId="77777777" w:rsidR="001C671E" w:rsidRDefault="00000000">
            <w:pPr>
              <w:spacing w:after="0" w:line="259" w:lineRule="auto"/>
              <w:ind w:left="513" w:right="0" w:firstLine="0"/>
              <w:jc w:val="left"/>
            </w:pPr>
            <w:r>
              <w:rPr>
                <w:sz w:val="17"/>
              </w:rPr>
              <w:t>0.02051</w:t>
            </w:r>
          </w:p>
        </w:tc>
        <w:tc>
          <w:tcPr>
            <w:tcW w:w="1688" w:type="dxa"/>
            <w:tcBorders>
              <w:top w:val="nil"/>
              <w:left w:val="nil"/>
              <w:bottom w:val="single" w:sz="5" w:space="0" w:color="000000"/>
              <w:right w:val="nil"/>
            </w:tcBorders>
          </w:tcPr>
          <w:p w14:paraId="4410BA2E" w14:textId="77777777" w:rsidR="001C671E" w:rsidRDefault="00000000">
            <w:pPr>
              <w:spacing w:after="0" w:line="259" w:lineRule="auto"/>
              <w:ind w:left="0" w:right="0" w:firstLine="0"/>
              <w:jc w:val="center"/>
            </w:pPr>
            <w:r>
              <w:rPr>
                <w:sz w:val="17"/>
              </w:rPr>
              <w:t>0.14161</w:t>
            </w:r>
          </w:p>
        </w:tc>
      </w:tr>
    </w:tbl>
    <w:p w14:paraId="714C1381" w14:textId="77777777" w:rsidR="001C671E" w:rsidRDefault="00000000">
      <w:pPr>
        <w:spacing w:after="14" w:line="252" w:lineRule="auto"/>
        <w:ind w:left="-5" w:right="0"/>
      </w:pPr>
      <w:r>
        <w:rPr>
          <w:i/>
          <w:sz w:val="14"/>
        </w:rPr>
        <w:t xml:space="preserve">Notes: </w:t>
      </w:r>
      <w:r>
        <w:rPr>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p>
    <w:p w14:paraId="0E951D93" w14:textId="77777777" w:rsidR="001C671E" w:rsidRDefault="00000000">
      <w:pPr>
        <w:spacing w:after="32" w:line="259" w:lineRule="auto"/>
        <w:ind w:left="26" w:right="0"/>
        <w:jc w:val="left"/>
      </w:pPr>
      <w:r>
        <w:rPr>
          <w:sz w:val="14"/>
          <w:vertAlign w:val="superscript"/>
        </w:rPr>
        <w:t>∗</w:t>
      </w:r>
      <w:r>
        <w:rPr>
          <w:i/>
          <w:sz w:val="14"/>
        </w:rPr>
        <w:t xml:space="preserve">p &lt; </w:t>
      </w:r>
      <w:r>
        <w:rPr>
          <w:sz w:val="14"/>
        </w:rPr>
        <w:t>0</w:t>
      </w:r>
      <w:r>
        <w:rPr>
          <w:i/>
          <w:sz w:val="14"/>
        </w:rPr>
        <w:t>.</w:t>
      </w:r>
      <w:r>
        <w:rPr>
          <w:sz w:val="14"/>
        </w:rPr>
        <w:t>10</w:t>
      </w:r>
      <w:r>
        <w:rPr>
          <w:i/>
          <w:sz w:val="14"/>
        </w:rPr>
        <w:t xml:space="preserve">, </w:t>
      </w:r>
      <w:r>
        <w:rPr>
          <w:sz w:val="14"/>
          <w:vertAlign w:val="superscript"/>
        </w:rPr>
        <w:t>∗∗</w:t>
      </w:r>
      <w:r>
        <w:rPr>
          <w:i/>
          <w:sz w:val="14"/>
        </w:rPr>
        <w:t xml:space="preserve">p &lt; </w:t>
      </w:r>
      <w:r>
        <w:rPr>
          <w:sz w:val="14"/>
        </w:rPr>
        <w:t>0</w:t>
      </w:r>
      <w:r>
        <w:rPr>
          <w:i/>
          <w:sz w:val="14"/>
        </w:rPr>
        <w:t>.</w:t>
      </w:r>
      <w:r>
        <w:rPr>
          <w:sz w:val="14"/>
        </w:rPr>
        <w:t>05</w:t>
      </w:r>
      <w:r>
        <w:rPr>
          <w:i/>
          <w:sz w:val="14"/>
        </w:rPr>
        <w:t xml:space="preserve">, </w:t>
      </w:r>
      <w:r>
        <w:rPr>
          <w:sz w:val="14"/>
          <w:vertAlign w:val="superscript"/>
        </w:rPr>
        <w:t>∗∗∗</w:t>
      </w:r>
      <w:r>
        <w:rPr>
          <w:i/>
          <w:sz w:val="14"/>
        </w:rPr>
        <w:t xml:space="preserve">p &lt; </w:t>
      </w:r>
      <w:r>
        <w:rPr>
          <w:sz w:val="14"/>
        </w:rPr>
        <w:t>0</w:t>
      </w:r>
      <w:r>
        <w:rPr>
          <w:i/>
          <w:sz w:val="14"/>
        </w:rPr>
        <w:t>.</w:t>
      </w:r>
      <w:r>
        <w:rPr>
          <w:sz w:val="14"/>
        </w:rPr>
        <w:t>01</w:t>
      </w:r>
    </w:p>
    <w:p w14:paraId="099C3E7D" w14:textId="77777777" w:rsidR="001C671E" w:rsidRDefault="00000000">
      <w:pPr>
        <w:spacing w:after="14" w:line="252" w:lineRule="auto"/>
        <w:ind w:left="-5" w:right="0"/>
      </w:pPr>
      <w:r>
        <w:rPr>
          <w:i/>
          <w:sz w:val="14"/>
        </w:rPr>
        <w:t xml:space="preserve">Source: </w:t>
      </w:r>
      <w:r>
        <w:rPr>
          <w:sz w:val="14"/>
        </w:rPr>
        <w:t>All regressions use the 1910-1920, 1920-1930, and 1930-1940 linked full-count Census samples from IPUMS and Census Tree.</w:t>
      </w:r>
    </w:p>
    <w:p w14:paraId="4A15E9B9" w14:textId="77777777" w:rsidR="001C671E" w:rsidRDefault="00000000">
      <w:pPr>
        <w:spacing w:after="54" w:line="259" w:lineRule="auto"/>
        <w:ind w:left="0" w:right="0" w:firstLine="0"/>
        <w:jc w:val="center"/>
      </w:pPr>
      <w:r>
        <w:rPr>
          <w:sz w:val="19"/>
        </w:rPr>
        <w:t>Table 4: Estimated effects of the prohibitions on the gender composition of teachers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802"/>
        <w:gridCol w:w="6502"/>
        <w:gridCol w:w="611"/>
        <w:gridCol w:w="900"/>
        <w:gridCol w:w="545"/>
      </w:tblGrid>
      <w:tr w:rsidR="001C671E" w14:paraId="054B6E40" w14:textId="77777777">
        <w:trPr>
          <w:trHeight w:val="343"/>
        </w:trPr>
        <w:tc>
          <w:tcPr>
            <w:tcW w:w="2677" w:type="dxa"/>
            <w:vMerge w:val="restart"/>
            <w:tcBorders>
              <w:top w:val="double" w:sz="3" w:space="0" w:color="000000"/>
              <w:left w:val="nil"/>
              <w:bottom w:val="nil"/>
              <w:right w:val="nil"/>
            </w:tcBorders>
          </w:tcPr>
          <w:p w14:paraId="45B42D68" w14:textId="77777777" w:rsidR="001C671E" w:rsidRDefault="001C671E">
            <w:pPr>
              <w:spacing w:after="160" w:line="259" w:lineRule="auto"/>
              <w:ind w:left="0" w:right="0" w:firstLine="0"/>
              <w:jc w:val="left"/>
            </w:pPr>
          </w:p>
        </w:tc>
        <w:tc>
          <w:tcPr>
            <w:tcW w:w="2006" w:type="dxa"/>
            <w:tcBorders>
              <w:top w:val="double" w:sz="3" w:space="0" w:color="000000"/>
              <w:left w:val="nil"/>
              <w:bottom w:val="single" w:sz="3" w:space="0" w:color="000000"/>
              <w:right w:val="nil"/>
            </w:tcBorders>
          </w:tcPr>
          <w:p w14:paraId="2C3EC866" w14:textId="77777777" w:rsidR="001C671E" w:rsidRDefault="001C671E">
            <w:pPr>
              <w:spacing w:after="160" w:line="259" w:lineRule="auto"/>
              <w:ind w:left="0" w:right="0" w:firstLine="0"/>
              <w:jc w:val="left"/>
            </w:pPr>
          </w:p>
        </w:tc>
        <w:tc>
          <w:tcPr>
            <w:tcW w:w="3643" w:type="dxa"/>
            <w:gridSpan w:val="2"/>
            <w:tcBorders>
              <w:top w:val="double" w:sz="3" w:space="0" w:color="000000"/>
              <w:left w:val="nil"/>
              <w:bottom w:val="single" w:sz="3" w:space="0" w:color="000000"/>
              <w:right w:val="nil"/>
            </w:tcBorders>
          </w:tcPr>
          <w:p w14:paraId="7F9AADD1" w14:textId="77777777" w:rsidR="001C671E" w:rsidRDefault="00000000">
            <w:pPr>
              <w:spacing w:after="0" w:line="259" w:lineRule="auto"/>
              <w:ind w:left="442" w:right="0" w:firstLine="0"/>
              <w:jc w:val="left"/>
            </w:pPr>
            <w:r>
              <w:rPr>
                <w:sz w:val="19"/>
              </w:rPr>
              <w:t>Dependent Variable:</w:t>
            </w:r>
          </w:p>
        </w:tc>
        <w:tc>
          <w:tcPr>
            <w:tcW w:w="1035" w:type="dxa"/>
            <w:tcBorders>
              <w:top w:val="double" w:sz="3" w:space="0" w:color="000000"/>
              <w:left w:val="nil"/>
              <w:bottom w:val="single" w:sz="3" w:space="0" w:color="000000"/>
              <w:right w:val="nil"/>
            </w:tcBorders>
          </w:tcPr>
          <w:p w14:paraId="6C0B370A" w14:textId="77777777" w:rsidR="001C671E" w:rsidRDefault="001C671E">
            <w:pPr>
              <w:spacing w:after="160" w:line="259" w:lineRule="auto"/>
              <w:ind w:left="0" w:right="0" w:firstLine="0"/>
              <w:jc w:val="left"/>
            </w:pPr>
          </w:p>
        </w:tc>
      </w:tr>
      <w:tr w:rsidR="001C671E" w14:paraId="5FF6101A" w14:textId="77777777">
        <w:trPr>
          <w:trHeight w:val="428"/>
        </w:trPr>
        <w:tc>
          <w:tcPr>
            <w:tcW w:w="0" w:type="auto"/>
            <w:vMerge/>
            <w:tcBorders>
              <w:top w:val="nil"/>
              <w:left w:val="nil"/>
              <w:bottom w:val="nil"/>
              <w:right w:val="nil"/>
            </w:tcBorders>
          </w:tcPr>
          <w:p w14:paraId="39D14B37" w14:textId="77777777" w:rsidR="001C671E" w:rsidRDefault="001C671E">
            <w:pPr>
              <w:spacing w:after="160" w:line="259" w:lineRule="auto"/>
              <w:ind w:left="0" w:right="0" w:firstLine="0"/>
              <w:jc w:val="left"/>
            </w:pPr>
          </w:p>
        </w:tc>
        <w:tc>
          <w:tcPr>
            <w:tcW w:w="2006" w:type="dxa"/>
            <w:tcBorders>
              <w:top w:val="single" w:sz="3" w:space="0" w:color="000000"/>
              <w:left w:val="nil"/>
              <w:bottom w:val="nil"/>
              <w:right w:val="nil"/>
            </w:tcBorders>
          </w:tcPr>
          <w:p w14:paraId="2D3F5F23" w14:textId="77777777" w:rsidR="001C671E" w:rsidRDefault="00000000">
            <w:pPr>
              <w:spacing w:after="0" w:line="259" w:lineRule="auto"/>
              <w:ind w:left="0" w:right="0" w:firstLine="0"/>
              <w:jc w:val="left"/>
            </w:pPr>
            <w:r>
              <w:rPr>
                <w:sz w:val="19"/>
              </w:rPr>
              <w:t>% Teach Mar. Wom.</w:t>
            </w:r>
          </w:p>
        </w:tc>
        <w:tc>
          <w:tcPr>
            <w:tcW w:w="1406" w:type="dxa"/>
            <w:tcBorders>
              <w:top w:val="single" w:sz="3" w:space="0" w:color="000000"/>
              <w:left w:val="nil"/>
              <w:bottom w:val="nil"/>
              <w:right w:val="nil"/>
            </w:tcBorders>
          </w:tcPr>
          <w:p w14:paraId="7331999A" w14:textId="77777777" w:rsidR="001C671E" w:rsidRDefault="00000000">
            <w:pPr>
              <w:spacing w:after="0" w:line="259" w:lineRule="auto"/>
              <w:ind w:left="0" w:right="0" w:firstLine="0"/>
              <w:jc w:val="left"/>
            </w:pPr>
            <w:r>
              <w:rPr>
                <w:sz w:val="19"/>
              </w:rPr>
              <w:t>% Teach Men</w:t>
            </w:r>
          </w:p>
        </w:tc>
        <w:tc>
          <w:tcPr>
            <w:tcW w:w="2237" w:type="dxa"/>
            <w:tcBorders>
              <w:top w:val="single" w:sz="3" w:space="0" w:color="000000"/>
              <w:left w:val="nil"/>
              <w:bottom w:val="nil"/>
              <w:right w:val="nil"/>
            </w:tcBorders>
          </w:tcPr>
          <w:p w14:paraId="50DEAB9F" w14:textId="77777777" w:rsidR="001C671E" w:rsidRDefault="00000000">
            <w:pPr>
              <w:spacing w:after="0" w:line="259" w:lineRule="auto"/>
              <w:ind w:left="0" w:right="0" w:firstLine="0"/>
              <w:jc w:val="left"/>
            </w:pPr>
            <w:r>
              <w:rPr>
                <w:sz w:val="19"/>
              </w:rPr>
              <w:t>% Teach Unmar. Wom.</w:t>
            </w:r>
          </w:p>
        </w:tc>
        <w:tc>
          <w:tcPr>
            <w:tcW w:w="1035" w:type="dxa"/>
            <w:tcBorders>
              <w:top w:val="single" w:sz="3" w:space="0" w:color="000000"/>
              <w:left w:val="nil"/>
              <w:bottom w:val="nil"/>
              <w:right w:val="nil"/>
            </w:tcBorders>
          </w:tcPr>
          <w:p w14:paraId="096AC436" w14:textId="77777777" w:rsidR="001C671E" w:rsidRDefault="00000000">
            <w:pPr>
              <w:spacing w:after="0" w:line="259" w:lineRule="auto"/>
              <w:ind w:left="0" w:right="0" w:firstLine="0"/>
            </w:pPr>
            <w:r>
              <w:rPr>
                <w:sz w:val="19"/>
              </w:rPr>
              <w:t># Teachers</w:t>
            </w:r>
          </w:p>
        </w:tc>
      </w:tr>
      <w:tr w:rsidR="001C671E" w14:paraId="34FAD4A7" w14:textId="77777777">
        <w:trPr>
          <w:trHeight w:val="443"/>
        </w:trPr>
        <w:tc>
          <w:tcPr>
            <w:tcW w:w="2677" w:type="dxa"/>
            <w:tcBorders>
              <w:top w:val="nil"/>
              <w:left w:val="nil"/>
              <w:bottom w:val="nil"/>
              <w:right w:val="nil"/>
            </w:tcBorders>
          </w:tcPr>
          <w:p w14:paraId="7DD49008" w14:textId="77777777" w:rsidR="001C671E" w:rsidRDefault="001C671E">
            <w:pPr>
              <w:spacing w:after="160" w:line="259" w:lineRule="auto"/>
              <w:ind w:left="0" w:right="0" w:firstLine="0"/>
              <w:jc w:val="left"/>
            </w:pPr>
          </w:p>
        </w:tc>
        <w:tc>
          <w:tcPr>
            <w:tcW w:w="2006" w:type="dxa"/>
            <w:tcBorders>
              <w:top w:val="nil"/>
              <w:left w:val="nil"/>
              <w:bottom w:val="nil"/>
              <w:right w:val="nil"/>
            </w:tcBorders>
          </w:tcPr>
          <w:p w14:paraId="5EA673E6" w14:textId="77777777" w:rsidR="001C671E" w:rsidRDefault="00000000">
            <w:pPr>
              <w:spacing w:after="0" w:line="259" w:lineRule="auto"/>
              <w:ind w:left="-4117" w:right="6123" w:firstLine="0"/>
              <w:jc w:val="left"/>
            </w:pPr>
            <w:r>
              <w:rPr>
                <w:noProof/>
              </w:rPr>
              <w:drawing>
                <wp:anchor distT="0" distB="0" distL="114300" distR="114300" simplePos="0" relativeHeight="251664384" behindDoc="0" locked="0" layoutInCell="1" allowOverlap="0" wp14:anchorId="4A21B57C" wp14:editId="0A3C20E7">
                  <wp:simplePos x="0" y="0"/>
                  <wp:positionH relativeFrom="column">
                    <wp:posOffset>-1699805</wp:posOffset>
                  </wp:positionH>
                  <wp:positionV relativeFrom="paragraph">
                    <wp:posOffset>0</wp:posOffset>
                  </wp:positionV>
                  <wp:extent cx="5949697" cy="304800"/>
                  <wp:effectExtent l="0" t="0" r="0" b="0"/>
                  <wp:wrapSquare wrapText="bothSides"/>
                  <wp:docPr id="52112" name="Picture 52112"/>
                  <wp:cNvGraphicFramePr/>
                  <a:graphic xmlns:a="http://schemas.openxmlformats.org/drawingml/2006/main">
                    <a:graphicData uri="http://schemas.openxmlformats.org/drawingml/2006/picture">
                      <pic:pic xmlns:pic="http://schemas.openxmlformats.org/drawingml/2006/picture">
                        <pic:nvPicPr>
                          <pic:cNvPr id="52112" name="Picture 52112"/>
                          <pic:cNvPicPr/>
                        </pic:nvPicPr>
                        <pic:blipFill>
                          <a:blip r:embed="rId17"/>
                          <a:stretch>
                            <a:fillRect/>
                          </a:stretch>
                        </pic:blipFill>
                        <pic:spPr>
                          <a:xfrm>
                            <a:off x="0" y="0"/>
                            <a:ext cx="5949697" cy="304800"/>
                          </a:xfrm>
                          <a:prstGeom prst="rect">
                            <a:avLst/>
                          </a:prstGeom>
                        </pic:spPr>
                      </pic:pic>
                    </a:graphicData>
                  </a:graphic>
                </wp:anchor>
              </w:drawing>
            </w:r>
            <w:r>
              <w:rPr>
                <w:noProof/>
              </w:rPr>
              <w:drawing>
                <wp:anchor distT="0" distB="0" distL="114300" distR="114300" simplePos="0" relativeHeight="251665408" behindDoc="0" locked="0" layoutInCell="1" allowOverlap="0" wp14:anchorId="3FC70301" wp14:editId="50CB02F9">
                  <wp:simplePos x="0" y="0"/>
                  <wp:positionH relativeFrom="column">
                    <wp:posOffset>-1268005</wp:posOffset>
                  </wp:positionH>
                  <wp:positionV relativeFrom="paragraph">
                    <wp:posOffset>170386</wp:posOffset>
                  </wp:positionV>
                  <wp:extent cx="4273296" cy="137160"/>
                  <wp:effectExtent l="0" t="0" r="0" b="0"/>
                  <wp:wrapSquare wrapText="bothSides"/>
                  <wp:docPr id="52111" name="Picture 52111"/>
                  <wp:cNvGraphicFramePr/>
                  <a:graphic xmlns:a="http://schemas.openxmlformats.org/drawingml/2006/main">
                    <a:graphicData uri="http://schemas.openxmlformats.org/drawingml/2006/picture">
                      <pic:pic xmlns:pic="http://schemas.openxmlformats.org/drawingml/2006/picture">
                        <pic:nvPicPr>
                          <pic:cNvPr id="52111" name="Picture 52111"/>
                          <pic:cNvPicPr/>
                        </pic:nvPicPr>
                        <pic:blipFill>
                          <a:blip r:embed="rId18"/>
                          <a:stretch>
                            <a:fillRect/>
                          </a:stretch>
                        </pic:blipFill>
                        <pic:spPr>
                          <a:xfrm>
                            <a:off x="0" y="0"/>
                            <a:ext cx="4273296" cy="137160"/>
                          </a:xfrm>
                          <a:prstGeom prst="rect">
                            <a:avLst/>
                          </a:prstGeom>
                        </pic:spPr>
                      </pic:pic>
                    </a:graphicData>
                  </a:graphic>
                </wp:anchor>
              </w:drawing>
            </w:r>
          </w:p>
        </w:tc>
        <w:tc>
          <w:tcPr>
            <w:tcW w:w="1406" w:type="dxa"/>
            <w:tcBorders>
              <w:top w:val="nil"/>
              <w:left w:val="nil"/>
              <w:bottom w:val="nil"/>
              <w:right w:val="nil"/>
            </w:tcBorders>
            <w:vAlign w:val="bottom"/>
          </w:tcPr>
          <w:p w14:paraId="32B91519" w14:textId="77777777" w:rsidR="001C671E" w:rsidRDefault="00000000">
            <w:pPr>
              <w:spacing w:after="0" w:line="259" w:lineRule="auto"/>
              <w:ind w:left="350" w:right="0" w:firstLine="0"/>
              <w:jc w:val="left"/>
            </w:pPr>
            <w:r>
              <w:rPr>
                <w:sz w:val="19"/>
              </w:rPr>
              <w:t>0.002</w:t>
            </w:r>
          </w:p>
        </w:tc>
        <w:tc>
          <w:tcPr>
            <w:tcW w:w="2237" w:type="dxa"/>
            <w:tcBorders>
              <w:top w:val="nil"/>
              <w:left w:val="nil"/>
              <w:bottom w:val="nil"/>
              <w:right w:val="nil"/>
            </w:tcBorders>
          </w:tcPr>
          <w:p w14:paraId="016B320F" w14:textId="77777777" w:rsidR="001C671E" w:rsidRDefault="001C671E">
            <w:pPr>
              <w:spacing w:after="160" w:line="259" w:lineRule="auto"/>
              <w:ind w:left="0" w:right="0" w:firstLine="0"/>
              <w:jc w:val="left"/>
            </w:pPr>
          </w:p>
        </w:tc>
        <w:tc>
          <w:tcPr>
            <w:tcW w:w="1035" w:type="dxa"/>
            <w:tcBorders>
              <w:top w:val="nil"/>
              <w:left w:val="nil"/>
              <w:bottom w:val="nil"/>
              <w:right w:val="nil"/>
            </w:tcBorders>
            <w:vAlign w:val="bottom"/>
          </w:tcPr>
          <w:p w14:paraId="086C11FD" w14:textId="77777777" w:rsidR="001C671E" w:rsidRDefault="00000000">
            <w:pPr>
              <w:spacing w:after="0" w:line="259" w:lineRule="auto"/>
              <w:ind w:left="178" w:right="0" w:firstLine="0"/>
              <w:jc w:val="left"/>
            </w:pPr>
            <w:r>
              <w:rPr>
                <w:sz w:val="19"/>
              </w:rPr>
              <w:t>−0.916</w:t>
            </w:r>
          </w:p>
        </w:tc>
      </w:tr>
      <w:tr w:rsidR="001C671E" w14:paraId="6D9C2F3F" w14:textId="77777777">
        <w:trPr>
          <w:trHeight w:val="345"/>
        </w:trPr>
        <w:tc>
          <w:tcPr>
            <w:tcW w:w="2677" w:type="dxa"/>
            <w:tcBorders>
              <w:top w:val="nil"/>
              <w:left w:val="nil"/>
              <w:bottom w:val="nil"/>
              <w:right w:val="nil"/>
            </w:tcBorders>
          </w:tcPr>
          <w:p w14:paraId="15BCE36C" w14:textId="77777777" w:rsidR="001C671E" w:rsidRDefault="001C671E">
            <w:pPr>
              <w:spacing w:after="160" w:line="259" w:lineRule="auto"/>
              <w:ind w:left="0" w:right="0" w:firstLine="0"/>
              <w:jc w:val="left"/>
            </w:pPr>
          </w:p>
        </w:tc>
        <w:tc>
          <w:tcPr>
            <w:tcW w:w="2006" w:type="dxa"/>
            <w:tcBorders>
              <w:top w:val="nil"/>
              <w:left w:val="nil"/>
              <w:bottom w:val="nil"/>
              <w:right w:val="nil"/>
            </w:tcBorders>
          </w:tcPr>
          <w:p w14:paraId="0A6D72C7" w14:textId="77777777" w:rsidR="001C671E" w:rsidRDefault="00000000">
            <w:pPr>
              <w:spacing w:after="0" w:line="259" w:lineRule="auto"/>
              <w:ind w:left="576" w:right="0" w:firstLine="0"/>
              <w:jc w:val="left"/>
            </w:pPr>
            <w:r>
              <w:rPr>
                <w:sz w:val="19"/>
              </w:rPr>
              <w:t>(0.008)</w:t>
            </w:r>
          </w:p>
        </w:tc>
        <w:tc>
          <w:tcPr>
            <w:tcW w:w="1406" w:type="dxa"/>
            <w:tcBorders>
              <w:top w:val="nil"/>
              <w:left w:val="nil"/>
              <w:bottom w:val="nil"/>
              <w:right w:val="nil"/>
            </w:tcBorders>
          </w:tcPr>
          <w:p w14:paraId="23D8F188" w14:textId="77777777" w:rsidR="001C671E" w:rsidRDefault="00000000">
            <w:pPr>
              <w:spacing w:after="0" w:line="259" w:lineRule="auto"/>
              <w:ind w:left="276" w:right="0" w:firstLine="0"/>
              <w:jc w:val="left"/>
            </w:pPr>
            <w:r>
              <w:rPr>
                <w:sz w:val="19"/>
              </w:rPr>
              <w:t>(0.006)</w:t>
            </w:r>
          </w:p>
        </w:tc>
        <w:tc>
          <w:tcPr>
            <w:tcW w:w="2237" w:type="dxa"/>
            <w:tcBorders>
              <w:top w:val="nil"/>
              <w:left w:val="nil"/>
              <w:bottom w:val="nil"/>
              <w:right w:val="nil"/>
            </w:tcBorders>
          </w:tcPr>
          <w:p w14:paraId="54B6B733" w14:textId="77777777" w:rsidR="001C671E" w:rsidRDefault="00000000">
            <w:pPr>
              <w:spacing w:after="0" w:line="259" w:lineRule="auto"/>
              <w:ind w:left="692" w:right="0" w:firstLine="0"/>
              <w:jc w:val="left"/>
            </w:pPr>
            <w:r>
              <w:rPr>
                <w:sz w:val="19"/>
              </w:rPr>
              <w:t>(0.009)</w:t>
            </w:r>
          </w:p>
        </w:tc>
        <w:tc>
          <w:tcPr>
            <w:tcW w:w="1035" w:type="dxa"/>
            <w:tcBorders>
              <w:top w:val="nil"/>
              <w:left w:val="nil"/>
              <w:bottom w:val="nil"/>
              <w:right w:val="nil"/>
            </w:tcBorders>
          </w:tcPr>
          <w:p w14:paraId="009EF7FC" w14:textId="77777777" w:rsidR="001C671E" w:rsidRDefault="00000000">
            <w:pPr>
              <w:spacing w:after="0" w:line="259" w:lineRule="auto"/>
              <w:ind w:left="180" w:right="0" w:firstLine="0"/>
              <w:jc w:val="left"/>
            </w:pPr>
            <w:r>
              <w:rPr>
                <w:sz w:val="19"/>
              </w:rPr>
              <w:t>(3.941)</w:t>
            </w:r>
          </w:p>
        </w:tc>
      </w:tr>
      <w:tr w:rsidR="001C671E" w14:paraId="47396B50" w14:textId="77777777">
        <w:trPr>
          <w:trHeight w:val="356"/>
        </w:trPr>
        <w:tc>
          <w:tcPr>
            <w:tcW w:w="2677" w:type="dxa"/>
            <w:tcBorders>
              <w:top w:val="nil"/>
              <w:left w:val="nil"/>
              <w:bottom w:val="nil"/>
              <w:right w:val="nil"/>
            </w:tcBorders>
            <w:vAlign w:val="bottom"/>
          </w:tcPr>
          <w:p w14:paraId="1BCD86A4" w14:textId="77777777" w:rsidR="001C671E" w:rsidRDefault="00000000">
            <w:pPr>
              <w:tabs>
                <w:tab w:val="center" w:pos="1282"/>
              </w:tabs>
              <w:spacing w:after="0" w:line="259" w:lineRule="auto"/>
              <w:ind w:left="0" w:right="0" w:firstLine="0"/>
              <w:jc w:val="left"/>
            </w:pPr>
            <w:r>
              <w:rPr>
                <w:sz w:val="19"/>
              </w:rPr>
              <w:t>Treated</w:t>
            </w:r>
            <w:r>
              <w:rPr>
                <w:sz w:val="19"/>
              </w:rPr>
              <w:tab/>
            </w:r>
            <w:r>
              <w:rPr>
                <w:noProof/>
              </w:rPr>
              <w:drawing>
                <wp:inline distT="0" distB="0" distL="0" distR="0" wp14:anchorId="173DDA7C" wp14:editId="3AF37A39">
                  <wp:extent cx="682752" cy="137160"/>
                  <wp:effectExtent l="0" t="0" r="0" b="0"/>
                  <wp:docPr id="52113" name="Picture 52113"/>
                  <wp:cNvGraphicFramePr/>
                  <a:graphic xmlns:a="http://schemas.openxmlformats.org/drawingml/2006/main">
                    <a:graphicData uri="http://schemas.openxmlformats.org/drawingml/2006/picture">
                      <pic:pic xmlns:pic="http://schemas.openxmlformats.org/drawingml/2006/picture">
                        <pic:nvPicPr>
                          <pic:cNvPr id="52113" name="Picture 52113"/>
                          <pic:cNvPicPr/>
                        </pic:nvPicPr>
                        <pic:blipFill>
                          <a:blip r:embed="rId19"/>
                          <a:stretch>
                            <a:fillRect/>
                          </a:stretch>
                        </pic:blipFill>
                        <pic:spPr>
                          <a:xfrm>
                            <a:off x="0" y="0"/>
                            <a:ext cx="682752" cy="137160"/>
                          </a:xfrm>
                          <a:prstGeom prst="rect">
                            <a:avLst/>
                          </a:prstGeom>
                        </pic:spPr>
                      </pic:pic>
                    </a:graphicData>
                  </a:graphic>
                </wp:inline>
              </w:drawing>
            </w:r>
            <w:r>
              <w:rPr>
                <w:sz w:val="19"/>
              </w:rPr>
              <w:t>)</w:t>
            </w:r>
          </w:p>
        </w:tc>
        <w:tc>
          <w:tcPr>
            <w:tcW w:w="2006" w:type="dxa"/>
            <w:tcBorders>
              <w:top w:val="nil"/>
              <w:left w:val="nil"/>
              <w:bottom w:val="nil"/>
              <w:right w:val="nil"/>
            </w:tcBorders>
            <w:vAlign w:val="bottom"/>
          </w:tcPr>
          <w:p w14:paraId="36B2FF3F" w14:textId="77777777" w:rsidR="001C671E" w:rsidRDefault="00000000">
            <w:pPr>
              <w:spacing w:after="0" w:line="259" w:lineRule="auto"/>
              <w:ind w:left="650" w:right="0" w:firstLine="0"/>
              <w:jc w:val="left"/>
            </w:pPr>
            <w:r>
              <w:rPr>
                <w:sz w:val="19"/>
              </w:rPr>
              <w:t>0.007</w:t>
            </w:r>
          </w:p>
        </w:tc>
        <w:tc>
          <w:tcPr>
            <w:tcW w:w="1406" w:type="dxa"/>
            <w:tcBorders>
              <w:top w:val="nil"/>
              <w:left w:val="nil"/>
              <w:bottom w:val="nil"/>
              <w:right w:val="nil"/>
            </w:tcBorders>
            <w:vAlign w:val="bottom"/>
          </w:tcPr>
          <w:p w14:paraId="0BF6DA2C" w14:textId="77777777" w:rsidR="001C671E" w:rsidRDefault="00000000">
            <w:pPr>
              <w:spacing w:after="0" w:line="259" w:lineRule="auto"/>
              <w:ind w:left="275" w:right="0" w:firstLine="0"/>
              <w:jc w:val="left"/>
            </w:pPr>
            <w:r>
              <w:rPr>
                <w:sz w:val="19"/>
              </w:rPr>
              <w:t>−0.009</w:t>
            </w:r>
          </w:p>
        </w:tc>
        <w:tc>
          <w:tcPr>
            <w:tcW w:w="2237" w:type="dxa"/>
            <w:tcBorders>
              <w:top w:val="nil"/>
              <w:left w:val="nil"/>
              <w:bottom w:val="nil"/>
              <w:right w:val="nil"/>
            </w:tcBorders>
            <w:vAlign w:val="bottom"/>
          </w:tcPr>
          <w:p w14:paraId="181C8C00" w14:textId="77777777" w:rsidR="001C671E" w:rsidRDefault="00000000">
            <w:pPr>
              <w:spacing w:after="0" w:line="259" w:lineRule="auto"/>
              <w:ind w:left="766" w:right="0" w:firstLine="0"/>
              <w:jc w:val="left"/>
            </w:pPr>
            <w:r>
              <w:rPr>
                <w:sz w:val="19"/>
              </w:rPr>
              <w:t>0.003</w:t>
            </w:r>
          </w:p>
        </w:tc>
        <w:tc>
          <w:tcPr>
            <w:tcW w:w="1035" w:type="dxa"/>
            <w:tcBorders>
              <w:top w:val="nil"/>
              <w:left w:val="nil"/>
              <w:bottom w:val="nil"/>
              <w:right w:val="nil"/>
            </w:tcBorders>
            <w:vAlign w:val="bottom"/>
          </w:tcPr>
          <w:p w14:paraId="1A339074" w14:textId="77777777" w:rsidR="001C671E" w:rsidRDefault="00000000">
            <w:pPr>
              <w:spacing w:after="0" w:line="259" w:lineRule="auto"/>
              <w:ind w:left="178" w:right="0" w:firstLine="0"/>
              <w:jc w:val="left"/>
            </w:pPr>
            <w:r>
              <w:rPr>
                <w:sz w:val="19"/>
              </w:rPr>
              <w:t>−2.872</w:t>
            </w:r>
          </w:p>
        </w:tc>
      </w:tr>
      <w:tr w:rsidR="001C671E" w14:paraId="6852A9AF" w14:textId="77777777">
        <w:trPr>
          <w:trHeight w:val="472"/>
        </w:trPr>
        <w:tc>
          <w:tcPr>
            <w:tcW w:w="2677" w:type="dxa"/>
            <w:tcBorders>
              <w:top w:val="nil"/>
              <w:left w:val="nil"/>
              <w:bottom w:val="single" w:sz="3" w:space="0" w:color="000000"/>
              <w:right w:val="nil"/>
            </w:tcBorders>
          </w:tcPr>
          <w:p w14:paraId="00D6A63F" w14:textId="77777777" w:rsidR="001C671E" w:rsidRDefault="001C671E">
            <w:pPr>
              <w:spacing w:after="160" w:line="259" w:lineRule="auto"/>
              <w:ind w:left="0" w:right="0" w:firstLine="0"/>
              <w:jc w:val="left"/>
            </w:pPr>
          </w:p>
        </w:tc>
        <w:tc>
          <w:tcPr>
            <w:tcW w:w="2006" w:type="dxa"/>
            <w:tcBorders>
              <w:top w:val="nil"/>
              <w:left w:val="nil"/>
              <w:bottom w:val="single" w:sz="3" w:space="0" w:color="000000"/>
              <w:right w:val="nil"/>
            </w:tcBorders>
          </w:tcPr>
          <w:p w14:paraId="45B46B9E" w14:textId="77777777" w:rsidR="001C671E" w:rsidRDefault="00000000">
            <w:pPr>
              <w:spacing w:after="0" w:line="259" w:lineRule="auto"/>
              <w:ind w:left="576" w:right="0" w:firstLine="0"/>
              <w:jc w:val="left"/>
            </w:pPr>
            <w:r>
              <w:rPr>
                <w:sz w:val="19"/>
              </w:rPr>
              <w:t>(0.010)</w:t>
            </w:r>
          </w:p>
        </w:tc>
        <w:tc>
          <w:tcPr>
            <w:tcW w:w="1406" w:type="dxa"/>
            <w:tcBorders>
              <w:top w:val="nil"/>
              <w:left w:val="nil"/>
              <w:bottom w:val="single" w:sz="3" w:space="0" w:color="000000"/>
              <w:right w:val="nil"/>
            </w:tcBorders>
          </w:tcPr>
          <w:p w14:paraId="35917719" w14:textId="77777777" w:rsidR="001C671E" w:rsidRDefault="00000000">
            <w:pPr>
              <w:spacing w:after="0" w:line="259" w:lineRule="auto"/>
              <w:ind w:left="276" w:right="0" w:firstLine="0"/>
              <w:jc w:val="left"/>
            </w:pPr>
            <w:r>
              <w:rPr>
                <w:sz w:val="19"/>
              </w:rPr>
              <w:t>(0.008)</w:t>
            </w:r>
          </w:p>
        </w:tc>
        <w:tc>
          <w:tcPr>
            <w:tcW w:w="2237" w:type="dxa"/>
            <w:tcBorders>
              <w:top w:val="nil"/>
              <w:left w:val="nil"/>
              <w:bottom w:val="single" w:sz="3" w:space="0" w:color="000000"/>
              <w:right w:val="nil"/>
            </w:tcBorders>
          </w:tcPr>
          <w:p w14:paraId="2892D233" w14:textId="77777777" w:rsidR="001C671E" w:rsidRDefault="00000000">
            <w:pPr>
              <w:spacing w:after="0" w:line="259" w:lineRule="auto"/>
              <w:ind w:left="692" w:right="0" w:firstLine="0"/>
              <w:jc w:val="left"/>
            </w:pPr>
            <w:r>
              <w:rPr>
                <w:sz w:val="19"/>
              </w:rPr>
              <w:t>(0.011)</w:t>
            </w:r>
          </w:p>
        </w:tc>
        <w:tc>
          <w:tcPr>
            <w:tcW w:w="1035" w:type="dxa"/>
            <w:tcBorders>
              <w:top w:val="nil"/>
              <w:left w:val="nil"/>
              <w:bottom w:val="single" w:sz="3" w:space="0" w:color="000000"/>
              <w:right w:val="nil"/>
            </w:tcBorders>
          </w:tcPr>
          <w:p w14:paraId="2396B962" w14:textId="77777777" w:rsidR="001C671E" w:rsidRDefault="00000000">
            <w:pPr>
              <w:spacing w:after="0" w:line="259" w:lineRule="auto"/>
              <w:ind w:left="180" w:right="0" w:firstLine="0"/>
              <w:jc w:val="left"/>
            </w:pPr>
            <w:r>
              <w:rPr>
                <w:sz w:val="19"/>
              </w:rPr>
              <w:t>(5.166)</w:t>
            </w:r>
          </w:p>
        </w:tc>
      </w:tr>
      <w:tr w:rsidR="001C671E" w14:paraId="65E4867E" w14:textId="77777777">
        <w:trPr>
          <w:trHeight w:val="319"/>
        </w:trPr>
        <w:tc>
          <w:tcPr>
            <w:tcW w:w="2677" w:type="dxa"/>
            <w:tcBorders>
              <w:top w:val="single" w:sz="3" w:space="0" w:color="000000"/>
              <w:left w:val="nil"/>
              <w:bottom w:val="nil"/>
              <w:right w:val="nil"/>
            </w:tcBorders>
          </w:tcPr>
          <w:p w14:paraId="46448A8C" w14:textId="77777777" w:rsidR="001C671E" w:rsidRDefault="00000000">
            <w:pPr>
              <w:spacing w:after="0" w:line="259" w:lineRule="auto"/>
              <w:ind w:left="0" w:right="0" w:firstLine="0"/>
              <w:jc w:val="left"/>
            </w:pPr>
            <w:r>
              <w:rPr>
                <w:sz w:val="19"/>
              </w:rPr>
              <w:t>Dep. var. 1930 treated mean</w:t>
            </w:r>
          </w:p>
        </w:tc>
        <w:tc>
          <w:tcPr>
            <w:tcW w:w="2006" w:type="dxa"/>
            <w:tcBorders>
              <w:top w:val="single" w:sz="3" w:space="0" w:color="000000"/>
              <w:left w:val="nil"/>
              <w:bottom w:val="nil"/>
              <w:right w:val="nil"/>
            </w:tcBorders>
          </w:tcPr>
          <w:p w14:paraId="4E83ECE2" w14:textId="77777777" w:rsidR="001C671E" w:rsidRDefault="00000000">
            <w:pPr>
              <w:spacing w:after="0" w:line="259" w:lineRule="auto"/>
              <w:ind w:left="603" w:right="0" w:firstLine="0"/>
              <w:jc w:val="left"/>
            </w:pPr>
            <w:r>
              <w:rPr>
                <w:sz w:val="19"/>
              </w:rPr>
              <w:t>0.1775</w:t>
            </w:r>
          </w:p>
        </w:tc>
        <w:tc>
          <w:tcPr>
            <w:tcW w:w="1406" w:type="dxa"/>
            <w:tcBorders>
              <w:top w:val="single" w:sz="3" w:space="0" w:color="000000"/>
              <w:left w:val="nil"/>
              <w:bottom w:val="nil"/>
              <w:right w:val="nil"/>
            </w:tcBorders>
          </w:tcPr>
          <w:p w14:paraId="362373A4" w14:textId="77777777" w:rsidR="001C671E" w:rsidRDefault="00000000">
            <w:pPr>
              <w:spacing w:after="0" w:line="259" w:lineRule="auto"/>
              <w:ind w:left="303" w:right="0" w:firstLine="0"/>
              <w:jc w:val="left"/>
            </w:pPr>
            <w:r>
              <w:rPr>
                <w:sz w:val="19"/>
              </w:rPr>
              <w:t>0.2185</w:t>
            </w:r>
          </w:p>
        </w:tc>
        <w:tc>
          <w:tcPr>
            <w:tcW w:w="2237" w:type="dxa"/>
            <w:tcBorders>
              <w:top w:val="single" w:sz="3" w:space="0" w:color="000000"/>
              <w:left w:val="nil"/>
              <w:bottom w:val="nil"/>
              <w:right w:val="nil"/>
            </w:tcBorders>
          </w:tcPr>
          <w:p w14:paraId="091836BE" w14:textId="77777777" w:rsidR="001C671E" w:rsidRDefault="00000000">
            <w:pPr>
              <w:spacing w:after="0" w:line="259" w:lineRule="auto"/>
              <w:ind w:left="766" w:right="0" w:firstLine="0"/>
              <w:jc w:val="left"/>
            </w:pPr>
            <w:r>
              <w:rPr>
                <w:sz w:val="19"/>
              </w:rPr>
              <w:t>0.604</w:t>
            </w:r>
          </w:p>
        </w:tc>
        <w:tc>
          <w:tcPr>
            <w:tcW w:w="1035" w:type="dxa"/>
            <w:tcBorders>
              <w:top w:val="single" w:sz="3" w:space="0" w:color="000000"/>
              <w:left w:val="nil"/>
              <w:bottom w:val="nil"/>
              <w:right w:val="nil"/>
            </w:tcBorders>
          </w:tcPr>
          <w:p w14:paraId="00F8DA8A" w14:textId="77777777" w:rsidR="001C671E" w:rsidRDefault="00000000">
            <w:pPr>
              <w:spacing w:after="0" w:line="259" w:lineRule="auto"/>
              <w:ind w:left="253" w:right="0" w:firstLine="0"/>
              <w:jc w:val="left"/>
            </w:pPr>
            <w:r>
              <w:rPr>
                <w:sz w:val="19"/>
              </w:rPr>
              <w:t>188.2</w:t>
            </w:r>
          </w:p>
        </w:tc>
      </w:tr>
      <w:tr w:rsidR="001C671E" w14:paraId="2A118EE8" w14:textId="77777777">
        <w:trPr>
          <w:trHeight w:val="221"/>
        </w:trPr>
        <w:tc>
          <w:tcPr>
            <w:tcW w:w="2677" w:type="dxa"/>
            <w:tcBorders>
              <w:top w:val="nil"/>
              <w:left w:val="nil"/>
              <w:bottom w:val="nil"/>
              <w:right w:val="nil"/>
            </w:tcBorders>
          </w:tcPr>
          <w:p w14:paraId="0B088FFB" w14:textId="77777777" w:rsidR="001C671E" w:rsidRDefault="00000000">
            <w:pPr>
              <w:spacing w:after="0" w:line="259" w:lineRule="auto"/>
              <w:ind w:left="0" w:right="0" w:firstLine="0"/>
              <w:jc w:val="left"/>
            </w:pPr>
            <w:r>
              <w:rPr>
                <w:i/>
                <w:sz w:val="19"/>
              </w:rPr>
              <w:t>Observations</w:t>
            </w:r>
          </w:p>
        </w:tc>
        <w:tc>
          <w:tcPr>
            <w:tcW w:w="2006" w:type="dxa"/>
            <w:tcBorders>
              <w:top w:val="nil"/>
              <w:left w:val="nil"/>
              <w:bottom w:val="nil"/>
              <w:right w:val="nil"/>
            </w:tcBorders>
          </w:tcPr>
          <w:p w14:paraId="628846F4" w14:textId="77777777" w:rsidR="001C671E" w:rsidRDefault="00000000">
            <w:pPr>
              <w:spacing w:after="0" w:line="259" w:lineRule="auto"/>
              <w:ind w:left="650" w:right="0" w:firstLine="0"/>
              <w:jc w:val="left"/>
            </w:pPr>
            <w:r>
              <w:rPr>
                <w:sz w:val="19"/>
              </w:rPr>
              <w:t>2,635</w:t>
            </w:r>
          </w:p>
        </w:tc>
        <w:tc>
          <w:tcPr>
            <w:tcW w:w="1406" w:type="dxa"/>
            <w:tcBorders>
              <w:top w:val="nil"/>
              <w:left w:val="nil"/>
              <w:bottom w:val="nil"/>
              <w:right w:val="nil"/>
            </w:tcBorders>
          </w:tcPr>
          <w:p w14:paraId="2116F661" w14:textId="77777777" w:rsidR="001C671E" w:rsidRDefault="00000000">
            <w:pPr>
              <w:spacing w:after="0" w:line="259" w:lineRule="auto"/>
              <w:ind w:left="350" w:right="0" w:firstLine="0"/>
              <w:jc w:val="left"/>
            </w:pPr>
            <w:r>
              <w:rPr>
                <w:sz w:val="19"/>
              </w:rPr>
              <w:t>2,635</w:t>
            </w:r>
          </w:p>
        </w:tc>
        <w:tc>
          <w:tcPr>
            <w:tcW w:w="2237" w:type="dxa"/>
            <w:tcBorders>
              <w:top w:val="nil"/>
              <w:left w:val="nil"/>
              <w:bottom w:val="nil"/>
              <w:right w:val="nil"/>
            </w:tcBorders>
          </w:tcPr>
          <w:p w14:paraId="08F6A4C2" w14:textId="77777777" w:rsidR="001C671E" w:rsidRDefault="00000000">
            <w:pPr>
              <w:spacing w:after="0" w:line="259" w:lineRule="auto"/>
              <w:ind w:left="766" w:right="0" w:firstLine="0"/>
              <w:jc w:val="left"/>
            </w:pPr>
            <w:r>
              <w:rPr>
                <w:sz w:val="19"/>
              </w:rPr>
              <w:t>2,635</w:t>
            </w:r>
          </w:p>
        </w:tc>
        <w:tc>
          <w:tcPr>
            <w:tcW w:w="1035" w:type="dxa"/>
            <w:tcBorders>
              <w:top w:val="nil"/>
              <w:left w:val="nil"/>
              <w:bottom w:val="nil"/>
              <w:right w:val="nil"/>
            </w:tcBorders>
          </w:tcPr>
          <w:p w14:paraId="791B5ED2" w14:textId="77777777" w:rsidR="001C671E" w:rsidRDefault="00000000">
            <w:pPr>
              <w:spacing w:after="0" w:line="259" w:lineRule="auto"/>
              <w:ind w:left="253" w:right="0" w:firstLine="0"/>
              <w:jc w:val="left"/>
            </w:pPr>
            <w:r>
              <w:rPr>
                <w:sz w:val="19"/>
              </w:rPr>
              <w:t>2,635</w:t>
            </w:r>
          </w:p>
        </w:tc>
      </w:tr>
      <w:tr w:rsidR="001C671E" w14:paraId="14310FA1" w14:textId="77777777">
        <w:trPr>
          <w:trHeight w:val="271"/>
        </w:trPr>
        <w:tc>
          <w:tcPr>
            <w:tcW w:w="2677" w:type="dxa"/>
            <w:tcBorders>
              <w:top w:val="nil"/>
              <w:left w:val="nil"/>
              <w:bottom w:val="double" w:sz="3" w:space="0" w:color="000000"/>
              <w:right w:val="nil"/>
            </w:tcBorders>
          </w:tcPr>
          <w:p w14:paraId="7EA4346B" w14:textId="77777777" w:rsidR="001C671E" w:rsidRDefault="00000000">
            <w:pPr>
              <w:spacing w:after="0" w:line="259" w:lineRule="auto"/>
              <w:ind w:left="0" w:right="0" w:firstLine="0"/>
              <w:jc w:val="left"/>
            </w:pPr>
            <w:r>
              <w:rPr>
                <w:i/>
                <w:sz w:val="19"/>
              </w:rPr>
              <w:t>Adjusted R</w:t>
            </w:r>
            <w:r>
              <w:rPr>
                <w:sz w:val="19"/>
                <w:vertAlign w:val="superscript"/>
              </w:rPr>
              <w:t>2</w:t>
            </w:r>
          </w:p>
        </w:tc>
        <w:tc>
          <w:tcPr>
            <w:tcW w:w="2006" w:type="dxa"/>
            <w:tcBorders>
              <w:top w:val="nil"/>
              <w:left w:val="nil"/>
              <w:bottom w:val="double" w:sz="3" w:space="0" w:color="000000"/>
              <w:right w:val="nil"/>
            </w:tcBorders>
          </w:tcPr>
          <w:p w14:paraId="7C7BDA6A" w14:textId="77777777" w:rsidR="001C671E" w:rsidRDefault="00000000">
            <w:pPr>
              <w:spacing w:after="0" w:line="259" w:lineRule="auto"/>
              <w:ind w:left="650" w:right="0" w:firstLine="0"/>
              <w:jc w:val="left"/>
            </w:pPr>
            <w:r>
              <w:rPr>
                <w:sz w:val="19"/>
              </w:rPr>
              <w:t>0.840</w:t>
            </w:r>
          </w:p>
        </w:tc>
        <w:tc>
          <w:tcPr>
            <w:tcW w:w="1406" w:type="dxa"/>
            <w:tcBorders>
              <w:top w:val="nil"/>
              <w:left w:val="nil"/>
              <w:bottom w:val="double" w:sz="3" w:space="0" w:color="000000"/>
              <w:right w:val="nil"/>
            </w:tcBorders>
          </w:tcPr>
          <w:p w14:paraId="367703ED" w14:textId="77777777" w:rsidR="001C671E" w:rsidRDefault="00000000">
            <w:pPr>
              <w:spacing w:after="0" w:line="259" w:lineRule="auto"/>
              <w:ind w:left="350" w:right="0" w:firstLine="0"/>
              <w:jc w:val="left"/>
            </w:pPr>
            <w:r>
              <w:rPr>
                <w:sz w:val="19"/>
              </w:rPr>
              <w:t>0.680</w:t>
            </w:r>
          </w:p>
        </w:tc>
        <w:tc>
          <w:tcPr>
            <w:tcW w:w="2237" w:type="dxa"/>
            <w:tcBorders>
              <w:top w:val="nil"/>
              <w:left w:val="nil"/>
              <w:bottom w:val="double" w:sz="3" w:space="0" w:color="000000"/>
              <w:right w:val="nil"/>
            </w:tcBorders>
          </w:tcPr>
          <w:p w14:paraId="0EDE78D6" w14:textId="77777777" w:rsidR="001C671E" w:rsidRDefault="00000000">
            <w:pPr>
              <w:spacing w:after="0" w:line="259" w:lineRule="auto"/>
              <w:ind w:left="766" w:right="0" w:firstLine="0"/>
              <w:jc w:val="left"/>
            </w:pPr>
            <w:r>
              <w:rPr>
                <w:sz w:val="19"/>
              </w:rPr>
              <w:t>0.827</w:t>
            </w:r>
          </w:p>
        </w:tc>
        <w:tc>
          <w:tcPr>
            <w:tcW w:w="1035" w:type="dxa"/>
            <w:tcBorders>
              <w:top w:val="nil"/>
              <w:left w:val="nil"/>
              <w:bottom w:val="double" w:sz="3" w:space="0" w:color="000000"/>
              <w:right w:val="nil"/>
            </w:tcBorders>
          </w:tcPr>
          <w:p w14:paraId="07CE6623" w14:textId="77777777" w:rsidR="001C671E" w:rsidRDefault="00000000">
            <w:pPr>
              <w:spacing w:after="0" w:line="259" w:lineRule="auto"/>
              <w:ind w:left="253" w:right="0" w:firstLine="0"/>
              <w:jc w:val="left"/>
            </w:pPr>
            <w:r>
              <w:rPr>
                <w:sz w:val="19"/>
              </w:rPr>
              <w:t>0.842</w:t>
            </w:r>
          </w:p>
        </w:tc>
      </w:tr>
    </w:tbl>
    <w:p w14:paraId="39314ED5" w14:textId="77777777" w:rsidR="001C671E" w:rsidRDefault="00000000">
      <w:pPr>
        <w:spacing w:after="36" w:line="261" w:lineRule="auto"/>
        <w:ind w:left="-5" w:right="0"/>
      </w:pPr>
      <w:r>
        <w:rPr>
          <w:i/>
          <w:sz w:val="16"/>
        </w:rPr>
        <w:t xml:space="preserve">Notes: </w:t>
      </w:r>
      <w:r>
        <w:rPr>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Pr>
          <w:sz w:val="16"/>
          <w:vertAlign w:val="superscript"/>
        </w:rPr>
        <w:t>∗</w:t>
      </w:r>
      <w:r>
        <w:rPr>
          <w:i/>
          <w:sz w:val="16"/>
        </w:rPr>
        <w:t xml:space="preserve">p &lt; </w:t>
      </w:r>
      <w:r>
        <w:rPr>
          <w:sz w:val="16"/>
        </w:rPr>
        <w:t>0</w:t>
      </w:r>
      <w:r>
        <w:rPr>
          <w:i/>
          <w:sz w:val="16"/>
        </w:rPr>
        <w:t>.</w:t>
      </w:r>
      <w:r>
        <w:rPr>
          <w:sz w:val="16"/>
        </w:rPr>
        <w:t>10</w:t>
      </w:r>
      <w:r>
        <w:rPr>
          <w:i/>
          <w:sz w:val="16"/>
        </w:rPr>
        <w:t xml:space="preserve">, </w:t>
      </w:r>
      <w:r>
        <w:rPr>
          <w:sz w:val="16"/>
          <w:vertAlign w:val="superscript"/>
        </w:rPr>
        <w:t>∗∗</w:t>
      </w:r>
      <w:r>
        <w:rPr>
          <w:i/>
          <w:sz w:val="16"/>
        </w:rPr>
        <w:t xml:space="preserve">p &lt; </w:t>
      </w:r>
      <w:r>
        <w:rPr>
          <w:sz w:val="16"/>
        </w:rPr>
        <w:t>0</w:t>
      </w:r>
      <w:r>
        <w:rPr>
          <w:i/>
          <w:sz w:val="16"/>
        </w:rPr>
        <w:t>.</w:t>
      </w:r>
      <w:r>
        <w:rPr>
          <w:sz w:val="16"/>
        </w:rPr>
        <w:t>05</w:t>
      </w:r>
      <w:r>
        <w:rPr>
          <w:i/>
          <w:sz w:val="16"/>
        </w:rPr>
        <w:t xml:space="preserve">, </w:t>
      </w:r>
      <w:r>
        <w:rPr>
          <w:sz w:val="16"/>
          <w:vertAlign w:val="superscript"/>
        </w:rPr>
        <w:t>∗∗∗</w:t>
      </w:r>
      <w:r>
        <w:rPr>
          <w:i/>
          <w:sz w:val="16"/>
        </w:rPr>
        <w:t xml:space="preserve">p &lt; </w:t>
      </w:r>
      <w:r>
        <w:rPr>
          <w:sz w:val="16"/>
        </w:rPr>
        <w:t>0</w:t>
      </w:r>
      <w:r>
        <w:rPr>
          <w:i/>
          <w:sz w:val="16"/>
        </w:rPr>
        <w:t>.</w:t>
      </w:r>
      <w:r>
        <w:rPr>
          <w:sz w:val="16"/>
        </w:rPr>
        <w:t>01</w:t>
      </w:r>
    </w:p>
    <w:p w14:paraId="33AA15D3" w14:textId="77777777" w:rsidR="001C671E" w:rsidRDefault="00000000">
      <w:pPr>
        <w:spacing w:after="966" w:line="261" w:lineRule="auto"/>
        <w:ind w:left="-5" w:right="0"/>
      </w:pPr>
      <w:r>
        <w:rPr>
          <w:i/>
          <w:sz w:val="16"/>
        </w:rPr>
        <w:t xml:space="preserve">Source: </w:t>
      </w:r>
      <w:r>
        <w:rPr>
          <w:sz w:val="16"/>
        </w:rPr>
        <w:t>All regressions use the 1910, 1920, 1930, 1940, and 1950 IPUMS full count Censuses.</w:t>
      </w:r>
    </w:p>
    <w:p w14:paraId="1F140E54" w14:textId="77777777" w:rsidR="001C671E" w:rsidRDefault="00000000">
      <w:pPr>
        <w:spacing w:after="55" w:line="259" w:lineRule="auto"/>
        <w:ind w:left="0" w:right="0" w:firstLine="0"/>
        <w:jc w:val="left"/>
      </w:pPr>
      <w:r>
        <w:rPr>
          <w:sz w:val="20"/>
        </w:rPr>
        <w:t>Table 5: Estimated effects of the prohibitions on unmarried women’s teachers propensity to remain unmarried and either teach, work outside of teaching, or exit the labor force.</w:t>
      </w:r>
    </w:p>
    <w:tbl>
      <w:tblPr>
        <w:tblStyle w:val="TableGrid"/>
        <w:tblW w:w="9360" w:type="dxa"/>
        <w:tblInd w:w="0" w:type="dxa"/>
        <w:tblCellMar>
          <w:top w:w="32" w:type="dxa"/>
          <w:left w:w="0" w:type="dxa"/>
          <w:bottom w:w="0" w:type="dxa"/>
          <w:right w:w="0" w:type="dxa"/>
        </w:tblCellMar>
        <w:tblLook w:val="04A0" w:firstRow="1" w:lastRow="0" w:firstColumn="1" w:lastColumn="0" w:noHBand="0" w:noVBand="1"/>
      </w:tblPr>
      <w:tblGrid>
        <w:gridCol w:w="699"/>
        <w:gridCol w:w="996"/>
        <w:gridCol w:w="6041"/>
        <w:gridCol w:w="813"/>
        <w:gridCol w:w="811"/>
      </w:tblGrid>
      <w:tr w:rsidR="001C671E" w14:paraId="13CF2599" w14:textId="77777777">
        <w:trPr>
          <w:trHeight w:val="387"/>
        </w:trPr>
        <w:tc>
          <w:tcPr>
            <w:tcW w:w="2861" w:type="dxa"/>
            <w:vMerge w:val="restart"/>
            <w:tcBorders>
              <w:top w:val="double" w:sz="3" w:space="0" w:color="000000"/>
              <w:left w:val="nil"/>
              <w:bottom w:val="single" w:sz="3" w:space="0" w:color="000000"/>
              <w:right w:val="nil"/>
            </w:tcBorders>
          </w:tcPr>
          <w:p w14:paraId="5F767BB7" w14:textId="77777777" w:rsidR="001C671E" w:rsidRDefault="001C671E">
            <w:pPr>
              <w:spacing w:after="160" w:line="259" w:lineRule="auto"/>
              <w:ind w:left="0" w:right="0" w:firstLine="0"/>
              <w:jc w:val="left"/>
            </w:pPr>
          </w:p>
        </w:tc>
        <w:tc>
          <w:tcPr>
            <w:tcW w:w="1697" w:type="dxa"/>
            <w:tcBorders>
              <w:top w:val="double" w:sz="3" w:space="0" w:color="000000"/>
              <w:left w:val="nil"/>
              <w:bottom w:val="single" w:sz="2" w:space="0" w:color="000000"/>
              <w:right w:val="nil"/>
            </w:tcBorders>
          </w:tcPr>
          <w:p w14:paraId="5F74F518" w14:textId="77777777" w:rsidR="001C671E" w:rsidRDefault="001C671E">
            <w:pPr>
              <w:spacing w:after="160" w:line="259" w:lineRule="auto"/>
              <w:ind w:left="0" w:right="0" w:firstLine="0"/>
              <w:jc w:val="left"/>
            </w:pPr>
          </w:p>
        </w:tc>
        <w:tc>
          <w:tcPr>
            <w:tcW w:w="3345" w:type="dxa"/>
            <w:gridSpan w:val="2"/>
            <w:tcBorders>
              <w:top w:val="double" w:sz="3" w:space="0" w:color="000000"/>
              <w:left w:val="nil"/>
              <w:bottom w:val="single" w:sz="2" w:space="0" w:color="000000"/>
              <w:right w:val="nil"/>
            </w:tcBorders>
          </w:tcPr>
          <w:p w14:paraId="24EB7CDA" w14:textId="77777777" w:rsidR="001C671E" w:rsidRDefault="00000000">
            <w:pPr>
              <w:spacing w:after="0" w:line="259" w:lineRule="auto"/>
              <w:ind w:left="578" w:right="0" w:firstLine="0"/>
              <w:jc w:val="left"/>
            </w:pPr>
            <w:r>
              <w:rPr>
                <w:sz w:val="20"/>
              </w:rPr>
              <w:t>Dependent Variable:</w:t>
            </w:r>
          </w:p>
        </w:tc>
        <w:tc>
          <w:tcPr>
            <w:tcW w:w="1457" w:type="dxa"/>
            <w:tcBorders>
              <w:top w:val="double" w:sz="3" w:space="0" w:color="000000"/>
              <w:left w:val="nil"/>
              <w:bottom w:val="single" w:sz="2" w:space="0" w:color="000000"/>
              <w:right w:val="nil"/>
            </w:tcBorders>
          </w:tcPr>
          <w:p w14:paraId="79217695" w14:textId="77777777" w:rsidR="001C671E" w:rsidRDefault="001C671E">
            <w:pPr>
              <w:spacing w:after="160" w:line="259" w:lineRule="auto"/>
              <w:ind w:left="0" w:right="0" w:firstLine="0"/>
              <w:jc w:val="left"/>
            </w:pPr>
          </w:p>
        </w:tc>
      </w:tr>
      <w:tr w:rsidR="001C671E" w14:paraId="7EFA7D27" w14:textId="77777777">
        <w:trPr>
          <w:trHeight w:val="1684"/>
        </w:trPr>
        <w:tc>
          <w:tcPr>
            <w:tcW w:w="0" w:type="auto"/>
            <w:vMerge/>
            <w:tcBorders>
              <w:top w:val="nil"/>
              <w:left w:val="nil"/>
              <w:bottom w:val="single" w:sz="3" w:space="0" w:color="000000"/>
              <w:right w:val="nil"/>
            </w:tcBorders>
          </w:tcPr>
          <w:p w14:paraId="0CE20E9D" w14:textId="77777777" w:rsidR="001C671E" w:rsidRDefault="001C671E">
            <w:pPr>
              <w:spacing w:after="160" w:line="259" w:lineRule="auto"/>
              <w:ind w:left="0" w:right="0" w:firstLine="0"/>
              <w:jc w:val="left"/>
            </w:pPr>
          </w:p>
        </w:tc>
        <w:tc>
          <w:tcPr>
            <w:tcW w:w="1697" w:type="dxa"/>
            <w:tcBorders>
              <w:top w:val="single" w:sz="2" w:space="0" w:color="000000"/>
              <w:left w:val="nil"/>
              <w:bottom w:val="single" w:sz="3" w:space="0" w:color="000000"/>
              <w:right w:val="nil"/>
            </w:tcBorders>
          </w:tcPr>
          <w:p w14:paraId="57576112" w14:textId="77777777" w:rsidR="001C671E" w:rsidRDefault="00000000">
            <w:pPr>
              <w:spacing w:after="0" w:line="259" w:lineRule="auto"/>
              <w:ind w:left="413" w:right="336" w:hanging="413"/>
              <w:jc w:val="left"/>
            </w:pPr>
            <w:r>
              <w:rPr>
                <w:sz w:val="20"/>
              </w:rPr>
              <w:t xml:space="preserve">Pr(Unmarried in </w:t>
            </w:r>
            <w:r>
              <w:rPr>
                <w:i/>
                <w:sz w:val="20"/>
              </w:rPr>
              <w:t>t</w:t>
            </w:r>
            <w:r>
              <w:rPr>
                <w:sz w:val="20"/>
              </w:rPr>
              <w:t>)</w:t>
            </w:r>
          </w:p>
        </w:tc>
        <w:tc>
          <w:tcPr>
            <w:tcW w:w="1645" w:type="dxa"/>
            <w:tcBorders>
              <w:top w:val="single" w:sz="2" w:space="0" w:color="000000"/>
              <w:left w:val="nil"/>
              <w:bottom w:val="single" w:sz="3" w:space="0" w:color="000000"/>
              <w:right w:val="nil"/>
            </w:tcBorders>
          </w:tcPr>
          <w:p w14:paraId="4E33C6AE" w14:textId="77777777" w:rsidR="001C671E" w:rsidRDefault="00000000">
            <w:pPr>
              <w:spacing w:after="11" w:line="259" w:lineRule="auto"/>
              <w:ind w:left="0" w:right="0" w:firstLine="0"/>
              <w:jc w:val="left"/>
            </w:pPr>
            <w:r>
              <w:rPr>
                <w:sz w:val="20"/>
              </w:rPr>
              <w:t>Pr(Unmarried</w:t>
            </w:r>
          </w:p>
          <w:p w14:paraId="3359E491" w14:textId="77777777" w:rsidR="001C671E" w:rsidRDefault="00000000">
            <w:pPr>
              <w:spacing w:after="0" w:line="259" w:lineRule="auto"/>
              <w:ind w:left="50" w:right="0" w:firstLine="0"/>
              <w:jc w:val="left"/>
            </w:pPr>
            <w:r>
              <w:rPr>
                <w:noProof/>
              </w:rPr>
              <w:drawing>
                <wp:anchor distT="0" distB="0" distL="114300" distR="114300" simplePos="0" relativeHeight="251666432" behindDoc="0" locked="0" layoutInCell="1" allowOverlap="0" wp14:anchorId="29A4B8DF" wp14:editId="2F550686">
                  <wp:simplePos x="0" y="0"/>
                  <wp:positionH relativeFrom="column">
                    <wp:posOffset>-2894712</wp:posOffset>
                  </wp:positionH>
                  <wp:positionV relativeFrom="paragraph">
                    <wp:posOffset>283797</wp:posOffset>
                  </wp:positionV>
                  <wp:extent cx="5949697" cy="493776"/>
                  <wp:effectExtent l="0" t="0" r="0" b="0"/>
                  <wp:wrapSquare wrapText="bothSides"/>
                  <wp:docPr id="52114" name="Picture 52114"/>
                  <wp:cNvGraphicFramePr/>
                  <a:graphic xmlns:a="http://schemas.openxmlformats.org/drawingml/2006/main">
                    <a:graphicData uri="http://schemas.openxmlformats.org/drawingml/2006/picture">
                      <pic:pic xmlns:pic="http://schemas.openxmlformats.org/drawingml/2006/picture">
                        <pic:nvPicPr>
                          <pic:cNvPr id="52114" name="Picture 52114"/>
                          <pic:cNvPicPr/>
                        </pic:nvPicPr>
                        <pic:blipFill>
                          <a:blip r:embed="rId20"/>
                          <a:stretch>
                            <a:fillRect/>
                          </a:stretch>
                        </pic:blipFill>
                        <pic:spPr>
                          <a:xfrm>
                            <a:off x="0" y="0"/>
                            <a:ext cx="5949697" cy="493776"/>
                          </a:xfrm>
                          <a:prstGeom prst="rect">
                            <a:avLst/>
                          </a:prstGeom>
                        </pic:spPr>
                      </pic:pic>
                    </a:graphicData>
                  </a:graphic>
                </wp:anchor>
              </w:drawing>
            </w:r>
            <w:r>
              <w:rPr>
                <w:noProof/>
              </w:rPr>
              <w:drawing>
                <wp:anchor distT="0" distB="0" distL="114300" distR="114300" simplePos="0" relativeHeight="251667456" behindDoc="0" locked="0" layoutInCell="1" allowOverlap="0" wp14:anchorId="6BE80F67" wp14:editId="40A3E29F">
                  <wp:simplePos x="0" y="0"/>
                  <wp:positionH relativeFrom="column">
                    <wp:posOffset>-2462912</wp:posOffset>
                  </wp:positionH>
                  <wp:positionV relativeFrom="paragraph">
                    <wp:posOffset>452250</wp:posOffset>
                  </wp:positionV>
                  <wp:extent cx="5126737" cy="140209"/>
                  <wp:effectExtent l="0" t="0" r="0" b="0"/>
                  <wp:wrapSquare wrapText="bothSides"/>
                  <wp:docPr id="52115" name="Picture 52115"/>
                  <wp:cNvGraphicFramePr/>
                  <a:graphic xmlns:a="http://schemas.openxmlformats.org/drawingml/2006/main">
                    <a:graphicData uri="http://schemas.openxmlformats.org/drawingml/2006/picture">
                      <pic:pic xmlns:pic="http://schemas.openxmlformats.org/drawingml/2006/picture">
                        <pic:nvPicPr>
                          <pic:cNvPr id="52115" name="Picture 52115"/>
                          <pic:cNvPicPr/>
                        </pic:nvPicPr>
                        <pic:blipFill>
                          <a:blip r:embed="rId21"/>
                          <a:stretch>
                            <a:fillRect/>
                          </a:stretch>
                        </pic:blipFill>
                        <pic:spPr>
                          <a:xfrm>
                            <a:off x="0" y="0"/>
                            <a:ext cx="5126737" cy="140209"/>
                          </a:xfrm>
                          <a:prstGeom prst="rect">
                            <a:avLst/>
                          </a:prstGeom>
                        </pic:spPr>
                      </pic:pic>
                    </a:graphicData>
                  </a:graphic>
                </wp:anchor>
              </w:drawing>
            </w:r>
            <w:r>
              <w:rPr>
                <w:sz w:val="20"/>
              </w:rPr>
              <w:t xml:space="preserve">Teacher in </w:t>
            </w:r>
            <w:r>
              <w:rPr>
                <w:i/>
                <w:sz w:val="20"/>
              </w:rPr>
              <w:t>t</w:t>
            </w:r>
            <w:r>
              <w:rPr>
                <w:sz w:val="20"/>
              </w:rPr>
              <w:t>)</w:t>
            </w:r>
          </w:p>
        </w:tc>
        <w:tc>
          <w:tcPr>
            <w:tcW w:w="1700" w:type="dxa"/>
            <w:tcBorders>
              <w:top w:val="single" w:sz="2" w:space="0" w:color="000000"/>
              <w:left w:val="nil"/>
              <w:bottom w:val="single" w:sz="3" w:space="0" w:color="000000"/>
              <w:right w:val="nil"/>
            </w:tcBorders>
          </w:tcPr>
          <w:p w14:paraId="1AA262F9" w14:textId="77777777" w:rsidR="001C671E" w:rsidRDefault="00000000">
            <w:pPr>
              <w:spacing w:after="0" w:line="259" w:lineRule="auto"/>
              <w:ind w:left="53" w:right="0" w:firstLine="0"/>
              <w:jc w:val="left"/>
            </w:pPr>
            <w:r>
              <w:rPr>
                <w:sz w:val="20"/>
              </w:rPr>
              <w:t>Pr(Unmarried</w:t>
            </w:r>
          </w:p>
          <w:p w14:paraId="62BBAB31" w14:textId="77777777" w:rsidR="001C671E" w:rsidRDefault="00000000">
            <w:pPr>
              <w:spacing w:after="11" w:line="259" w:lineRule="auto"/>
              <w:ind w:left="0" w:right="0" w:firstLine="0"/>
              <w:jc w:val="left"/>
            </w:pPr>
            <w:r>
              <w:rPr>
                <w:sz w:val="20"/>
              </w:rPr>
              <w:t>Non-Teacher in</w:t>
            </w:r>
          </w:p>
          <w:p w14:paraId="54A3749B" w14:textId="77777777" w:rsidR="001C671E" w:rsidRDefault="00000000">
            <w:pPr>
              <w:spacing w:after="0" w:line="259" w:lineRule="auto"/>
              <w:ind w:left="309" w:right="0" w:firstLine="0"/>
              <w:jc w:val="left"/>
            </w:pPr>
            <w:r>
              <w:rPr>
                <w:sz w:val="20"/>
              </w:rPr>
              <w:t xml:space="preserve">LF in </w:t>
            </w:r>
            <w:r>
              <w:rPr>
                <w:i/>
                <w:sz w:val="20"/>
              </w:rPr>
              <w:t>t</w:t>
            </w:r>
            <w:r>
              <w:rPr>
                <w:sz w:val="20"/>
              </w:rPr>
              <w:t>)</w:t>
            </w:r>
          </w:p>
        </w:tc>
        <w:tc>
          <w:tcPr>
            <w:tcW w:w="1457" w:type="dxa"/>
            <w:tcBorders>
              <w:top w:val="single" w:sz="2" w:space="0" w:color="000000"/>
              <w:left w:val="nil"/>
              <w:bottom w:val="single" w:sz="3" w:space="0" w:color="000000"/>
              <w:right w:val="nil"/>
            </w:tcBorders>
          </w:tcPr>
          <w:p w14:paraId="1DBD372D" w14:textId="77777777" w:rsidR="001C671E" w:rsidRDefault="00000000">
            <w:pPr>
              <w:spacing w:after="0" w:line="259" w:lineRule="auto"/>
              <w:ind w:left="0" w:right="0" w:firstLine="50"/>
              <w:jc w:val="left"/>
            </w:pPr>
            <w:r>
              <w:rPr>
                <w:sz w:val="20"/>
              </w:rPr>
              <w:t xml:space="preserve">Pr(Unmarried Not in LF in </w:t>
            </w:r>
            <w:r>
              <w:rPr>
                <w:i/>
                <w:sz w:val="20"/>
              </w:rPr>
              <w:t>t</w:t>
            </w:r>
            <w:r>
              <w:rPr>
                <w:sz w:val="20"/>
              </w:rPr>
              <w:t>)</w:t>
            </w:r>
          </w:p>
        </w:tc>
      </w:tr>
      <w:tr w:rsidR="001C671E" w14:paraId="07FDBA87" w14:textId="77777777">
        <w:trPr>
          <w:trHeight w:val="328"/>
        </w:trPr>
        <w:tc>
          <w:tcPr>
            <w:tcW w:w="2861" w:type="dxa"/>
            <w:tcBorders>
              <w:top w:val="single" w:sz="3" w:space="0" w:color="000000"/>
              <w:left w:val="nil"/>
              <w:bottom w:val="nil"/>
              <w:right w:val="nil"/>
            </w:tcBorders>
          </w:tcPr>
          <w:p w14:paraId="6AA05021" w14:textId="77777777" w:rsidR="001C671E" w:rsidRDefault="00000000">
            <w:pPr>
              <w:spacing w:after="0" w:line="259" w:lineRule="auto"/>
              <w:ind w:left="0" w:right="0" w:firstLine="0"/>
              <w:jc w:val="left"/>
            </w:pPr>
            <w:r>
              <w:rPr>
                <w:sz w:val="20"/>
              </w:rPr>
              <w:t>Dep. var. 1930 treated mean</w:t>
            </w:r>
          </w:p>
        </w:tc>
        <w:tc>
          <w:tcPr>
            <w:tcW w:w="1697" w:type="dxa"/>
            <w:tcBorders>
              <w:top w:val="single" w:sz="3" w:space="0" w:color="000000"/>
              <w:left w:val="nil"/>
              <w:bottom w:val="nil"/>
              <w:right w:val="nil"/>
            </w:tcBorders>
          </w:tcPr>
          <w:p w14:paraId="232EF1B5" w14:textId="77777777" w:rsidR="001C671E" w:rsidRDefault="00000000">
            <w:pPr>
              <w:spacing w:after="0" w:line="259" w:lineRule="auto"/>
              <w:ind w:left="329" w:right="0" w:firstLine="0"/>
              <w:jc w:val="left"/>
            </w:pPr>
            <w:r>
              <w:rPr>
                <w:sz w:val="20"/>
              </w:rPr>
              <w:t>0.4244</w:t>
            </w:r>
          </w:p>
        </w:tc>
        <w:tc>
          <w:tcPr>
            <w:tcW w:w="1645" w:type="dxa"/>
            <w:tcBorders>
              <w:top w:val="single" w:sz="3" w:space="0" w:color="000000"/>
              <w:left w:val="nil"/>
              <w:bottom w:val="nil"/>
              <w:right w:val="nil"/>
            </w:tcBorders>
          </w:tcPr>
          <w:p w14:paraId="5AFB7FEC" w14:textId="77777777" w:rsidR="001C671E" w:rsidRDefault="00000000">
            <w:pPr>
              <w:spacing w:after="0" w:line="259" w:lineRule="auto"/>
              <w:ind w:left="329" w:right="0" w:firstLine="0"/>
              <w:jc w:val="left"/>
            </w:pPr>
            <w:r>
              <w:rPr>
                <w:sz w:val="20"/>
              </w:rPr>
              <w:t>0.2520</w:t>
            </w:r>
          </w:p>
        </w:tc>
        <w:tc>
          <w:tcPr>
            <w:tcW w:w="1700" w:type="dxa"/>
            <w:tcBorders>
              <w:top w:val="single" w:sz="3" w:space="0" w:color="000000"/>
              <w:left w:val="nil"/>
              <w:bottom w:val="nil"/>
              <w:right w:val="nil"/>
            </w:tcBorders>
          </w:tcPr>
          <w:p w14:paraId="7D677266" w14:textId="77777777" w:rsidR="001C671E" w:rsidRDefault="00000000">
            <w:pPr>
              <w:spacing w:after="0" w:line="259" w:lineRule="auto"/>
              <w:ind w:left="382" w:right="0" w:firstLine="0"/>
              <w:jc w:val="left"/>
            </w:pPr>
            <w:r>
              <w:rPr>
                <w:sz w:val="20"/>
              </w:rPr>
              <w:t>0.0907</w:t>
            </w:r>
          </w:p>
        </w:tc>
        <w:tc>
          <w:tcPr>
            <w:tcW w:w="1457" w:type="dxa"/>
            <w:tcBorders>
              <w:top w:val="single" w:sz="3" w:space="0" w:color="000000"/>
              <w:left w:val="nil"/>
              <w:bottom w:val="nil"/>
              <w:right w:val="nil"/>
            </w:tcBorders>
          </w:tcPr>
          <w:p w14:paraId="049CA1F4" w14:textId="77777777" w:rsidR="001C671E" w:rsidRDefault="00000000">
            <w:pPr>
              <w:spacing w:after="0" w:line="259" w:lineRule="auto"/>
              <w:ind w:left="379" w:right="0" w:firstLine="0"/>
              <w:jc w:val="left"/>
            </w:pPr>
            <w:r>
              <w:rPr>
                <w:sz w:val="20"/>
              </w:rPr>
              <w:t>0.0817</w:t>
            </w:r>
          </w:p>
        </w:tc>
      </w:tr>
      <w:tr w:rsidR="001C671E" w14:paraId="0DF736BC" w14:textId="77777777">
        <w:trPr>
          <w:trHeight w:val="227"/>
        </w:trPr>
        <w:tc>
          <w:tcPr>
            <w:tcW w:w="2861" w:type="dxa"/>
            <w:tcBorders>
              <w:top w:val="nil"/>
              <w:left w:val="nil"/>
              <w:bottom w:val="nil"/>
              <w:right w:val="nil"/>
            </w:tcBorders>
          </w:tcPr>
          <w:p w14:paraId="2BE978F4" w14:textId="77777777" w:rsidR="001C671E" w:rsidRDefault="00000000">
            <w:pPr>
              <w:spacing w:after="0" w:line="259" w:lineRule="auto"/>
              <w:ind w:left="0" w:right="0" w:firstLine="0"/>
              <w:jc w:val="left"/>
            </w:pPr>
            <w:r>
              <w:rPr>
                <w:i/>
                <w:sz w:val="20"/>
              </w:rPr>
              <w:t>Observations</w:t>
            </w:r>
          </w:p>
        </w:tc>
        <w:tc>
          <w:tcPr>
            <w:tcW w:w="1697" w:type="dxa"/>
            <w:tcBorders>
              <w:top w:val="nil"/>
              <w:left w:val="nil"/>
              <w:bottom w:val="nil"/>
              <w:right w:val="nil"/>
            </w:tcBorders>
          </w:tcPr>
          <w:p w14:paraId="36D1ED0D" w14:textId="77777777" w:rsidR="001C671E" w:rsidRDefault="00000000">
            <w:pPr>
              <w:spacing w:after="0" w:line="259" w:lineRule="auto"/>
              <w:ind w:left="329" w:right="0" w:firstLine="0"/>
              <w:jc w:val="left"/>
            </w:pPr>
            <w:r>
              <w:rPr>
                <w:sz w:val="20"/>
              </w:rPr>
              <w:t>59,542</w:t>
            </w:r>
          </w:p>
        </w:tc>
        <w:tc>
          <w:tcPr>
            <w:tcW w:w="1645" w:type="dxa"/>
            <w:tcBorders>
              <w:top w:val="nil"/>
              <w:left w:val="nil"/>
              <w:bottom w:val="nil"/>
              <w:right w:val="nil"/>
            </w:tcBorders>
          </w:tcPr>
          <w:p w14:paraId="2E7FDF58" w14:textId="77777777" w:rsidR="001C671E" w:rsidRDefault="00000000">
            <w:pPr>
              <w:spacing w:after="0" w:line="259" w:lineRule="auto"/>
              <w:ind w:left="329" w:right="0" w:firstLine="0"/>
              <w:jc w:val="left"/>
            </w:pPr>
            <w:r>
              <w:rPr>
                <w:sz w:val="20"/>
              </w:rPr>
              <w:t>59,542</w:t>
            </w:r>
          </w:p>
        </w:tc>
        <w:tc>
          <w:tcPr>
            <w:tcW w:w="1700" w:type="dxa"/>
            <w:tcBorders>
              <w:top w:val="nil"/>
              <w:left w:val="nil"/>
              <w:bottom w:val="nil"/>
              <w:right w:val="nil"/>
            </w:tcBorders>
          </w:tcPr>
          <w:p w14:paraId="7AA801B7" w14:textId="77777777" w:rsidR="001C671E" w:rsidRDefault="00000000">
            <w:pPr>
              <w:spacing w:after="0" w:line="259" w:lineRule="auto"/>
              <w:ind w:left="382" w:right="0" w:firstLine="0"/>
              <w:jc w:val="left"/>
            </w:pPr>
            <w:r>
              <w:rPr>
                <w:sz w:val="20"/>
              </w:rPr>
              <w:t>59,542</w:t>
            </w:r>
          </w:p>
        </w:tc>
        <w:tc>
          <w:tcPr>
            <w:tcW w:w="1457" w:type="dxa"/>
            <w:tcBorders>
              <w:top w:val="nil"/>
              <w:left w:val="nil"/>
              <w:bottom w:val="nil"/>
              <w:right w:val="nil"/>
            </w:tcBorders>
          </w:tcPr>
          <w:p w14:paraId="1A56C604" w14:textId="77777777" w:rsidR="001C671E" w:rsidRDefault="00000000">
            <w:pPr>
              <w:spacing w:after="0" w:line="259" w:lineRule="auto"/>
              <w:ind w:left="379" w:right="0" w:firstLine="0"/>
              <w:jc w:val="left"/>
            </w:pPr>
            <w:r>
              <w:rPr>
                <w:sz w:val="20"/>
              </w:rPr>
              <w:t>59,542</w:t>
            </w:r>
          </w:p>
        </w:tc>
      </w:tr>
      <w:tr w:rsidR="001C671E" w14:paraId="41F520D7" w14:textId="77777777">
        <w:trPr>
          <w:trHeight w:val="278"/>
        </w:trPr>
        <w:tc>
          <w:tcPr>
            <w:tcW w:w="2861" w:type="dxa"/>
            <w:tcBorders>
              <w:top w:val="nil"/>
              <w:left w:val="nil"/>
              <w:bottom w:val="double" w:sz="3" w:space="0" w:color="000000"/>
              <w:right w:val="nil"/>
            </w:tcBorders>
          </w:tcPr>
          <w:p w14:paraId="5FFB9560" w14:textId="77777777" w:rsidR="001C671E" w:rsidRDefault="00000000">
            <w:pPr>
              <w:spacing w:after="0" w:line="259" w:lineRule="auto"/>
              <w:ind w:left="0" w:right="0" w:firstLine="0"/>
              <w:jc w:val="left"/>
            </w:pPr>
            <w:r>
              <w:rPr>
                <w:i/>
                <w:sz w:val="20"/>
              </w:rPr>
              <w:t>Adjusted R</w:t>
            </w:r>
            <w:r>
              <w:rPr>
                <w:sz w:val="20"/>
                <w:vertAlign w:val="superscript"/>
              </w:rPr>
              <w:t>2</w:t>
            </w:r>
          </w:p>
        </w:tc>
        <w:tc>
          <w:tcPr>
            <w:tcW w:w="1697" w:type="dxa"/>
            <w:tcBorders>
              <w:top w:val="nil"/>
              <w:left w:val="nil"/>
              <w:bottom w:val="double" w:sz="3" w:space="0" w:color="000000"/>
              <w:right w:val="nil"/>
            </w:tcBorders>
          </w:tcPr>
          <w:p w14:paraId="519E5DDD" w14:textId="77777777" w:rsidR="001C671E" w:rsidRDefault="00000000">
            <w:pPr>
              <w:spacing w:after="0" w:line="259" w:lineRule="auto"/>
              <w:ind w:left="280" w:right="0" w:firstLine="0"/>
              <w:jc w:val="left"/>
            </w:pPr>
            <w:r>
              <w:rPr>
                <w:sz w:val="20"/>
              </w:rPr>
              <w:t>0.15787</w:t>
            </w:r>
          </w:p>
        </w:tc>
        <w:tc>
          <w:tcPr>
            <w:tcW w:w="1645" w:type="dxa"/>
            <w:tcBorders>
              <w:top w:val="nil"/>
              <w:left w:val="nil"/>
              <w:bottom w:val="double" w:sz="3" w:space="0" w:color="000000"/>
              <w:right w:val="nil"/>
            </w:tcBorders>
          </w:tcPr>
          <w:p w14:paraId="4383C6E5" w14:textId="77777777" w:rsidR="001C671E" w:rsidRDefault="00000000">
            <w:pPr>
              <w:spacing w:after="0" w:line="259" w:lineRule="auto"/>
              <w:ind w:left="280" w:right="0" w:firstLine="0"/>
              <w:jc w:val="left"/>
            </w:pPr>
            <w:r>
              <w:rPr>
                <w:sz w:val="20"/>
              </w:rPr>
              <w:t>0.12784</w:t>
            </w:r>
          </w:p>
        </w:tc>
        <w:tc>
          <w:tcPr>
            <w:tcW w:w="1700" w:type="dxa"/>
            <w:tcBorders>
              <w:top w:val="nil"/>
              <w:left w:val="nil"/>
              <w:bottom w:val="double" w:sz="3" w:space="0" w:color="000000"/>
              <w:right w:val="nil"/>
            </w:tcBorders>
          </w:tcPr>
          <w:p w14:paraId="31721057" w14:textId="77777777" w:rsidR="001C671E" w:rsidRDefault="00000000">
            <w:pPr>
              <w:spacing w:after="0" w:line="259" w:lineRule="auto"/>
              <w:ind w:left="333" w:right="0" w:firstLine="0"/>
              <w:jc w:val="left"/>
            </w:pPr>
            <w:r>
              <w:rPr>
                <w:sz w:val="20"/>
              </w:rPr>
              <w:t>0.01006</w:t>
            </w:r>
          </w:p>
        </w:tc>
        <w:tc>
          <w:tcPr>
            <w:tcW w:w="1457" w:type="dxa"/>
            <w:tcBorders>
              <w:top w:val="nil"/>
              <w:left w:val="nil"/>
              <w:bottom w:val="double" w:sz="3" w:space="0" w:color="000000"/>
              <w:right w:val="nil"/>
            </w:tcBorders>
          </w:tcPr>
          <w:p w14:paraId="7FE9A894" w14:textId="77777777" w:rsidR="001C671E" w:rsidRDefault="00000000">
            <w:pPr>
              <w:spacing w:after="0" w:line="259" w:lineRule="auto"/>
              <w:ind w:left="330" w:right="0" w:firstLine="0"/>
              <w:jc w:val="left"/>
            </w:pPr>
            <w:r>
              <w:rPr>
                <w:sz w:val="20"/>
              </w:rPr>
              <w:t>0.02396</w:t>
            </w:r>
          </w:p>
        </w:tc>
      </w:tr>
    </w:tbl>
    <w:p w14:paraId="73F9A14F" w14:textId="77777777" w:rsidR="001C671E" w:rsidRDefault="00000000">
      <w:pPr>
        <w:spacing w:after="10" w:line="253" w:lineRule="auto"/>
        <w:ind w:left="-15" w:right="-15" w:firstLine="31"/>
      </w:pPr>
      <w:r>
        <w:rPr>
          <w:i/>
          <w:sz w:val="17"/>
        </w:rPr>
        <w:t xml:space="preserve">Notes: </w:t>
      </w:r>
      <w:r>
        <w:rPr>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p>
    <w:p w14:paraId="4AAE3F4C" w14:textId="77777777" w:rsidR="001C671E" w:rsidRDefault="00000000">
      <w:pPr>
        <w:spacing w:after="37" w:line="259" w:lineRule="auto"/>
        <w:ind w:left="36" w:right="0" w:firstLine="0"/>
        <w:jc w:val="left"/>
      </w:pPr>
      <w:r>
        <w:rPr>
          <w:sz w:val="17"/>
          <w:vertAlign w:val="superscript"/>
        </w:rPr>
        <w:t>∗</w:t>
      </w:r>
      <w:r>
        <w:rPr>
          <w:i/>
          <w:sz w:val="17"/>
        </w:rPr>
        <w:t xml:space="preserve">p &lt; </w:t>
      </w:r>
      <w:r>
        <w:rPr>
          <w:sz w:val="17"/>
        </w:rPr>
        <w:t>0</w:t>
      </w:r>
      <w:r>
        <w:rPr>
          <w:i/>
          <w:sz w:val="17"/>
        </w:rPr>
        <w:t>.</w:t>
      </w:r>
      <w:r>
        <w:rPr>
          <w:sz w:val="17"/>
        </w:rPr>
        <w:t>10</w:t>
      </w:r>
      <w:r>
        <w:rPr>
          <w:i/>
          <w:sz w:val="17"/>
        </w:rPr>
        <w:t xml:space="preserve">, </w:t>
      </w:r>
      <w:r>
        <w:rPr>
          <w:sz w:val="17"/>
          <w:vertAlign w:val="superscript"/>
        </w:rPr>
        <w:t>∗∗</w:t>
      </w:r>
      <w:r>
        <w:rPr>
          <w:i/>
          <w:sz w:val="17"/>
        </w:rPr>
        <w:t xml:space="preserve">p &lt; </w:t>
      </w:r>
      <w:r>
        <w:rPr>
          <w:sz w:val="17"/>
        </w:rPr>
        <w:t>0</w:t>
      </w:r>
      <w:r>
        <w:rPr>
          <w:i/>
          <w:sz w:val="17"/>
        </w:rPr>
        <w:t>.</w:t>
      </w:r>
      <w:r>
        <w:rPr>
          <w:sz w:val="17"/>
        </w:rPr>
        <w:t>05</w:t>
      </w:r>
      <w:r>
        <w:rPr>
          <w:i/>
          <w:sz w:val="17"/>
        </w:rPr>
        <w:t xml:space="preserve">, </w:t>
      </w:r>
      <w:r>
        <w:rPr>
          <w:sz w:val="17"/>
          <w:vertAlign w:val="superscript"/>
        </w:rPr>
        <w:t>∗∗∗</w:t>
      </w:r>
      <w:r>
        <w:rPr>
          <w:i/>
          <w:sz w:val="17"/>
        </w:rPr>
        <w:t xml:space="preserve">p &lt; </w:t>
      </w:r>
      <w:r>
        <w:rPr>
          <w:sz w:val="17"/>
        </w:rPr>
        <w:t>0</w:t>
      </w:r>
      <w:r>
        <w:rPr>
          <w:i/>
          <w:sz w:val="17"/>
        </w:rPr>
        <w:t>.</w:t>
      </w:r>
      <w:r>
        <w:rPr>
          <w:sz w:val="17"/>
        </w:rPr>
        <w:t>01</w:t>
      </w:r>
    </w:p>
    <w:p w14:paraId="19BF1A28" w14:textId="77777777" w:rsidR="001C671E" w:rsidRDefault="00000000">
      <w:pPr>
        <w:spacing w:after="10" w:line="253" w:lineRule="auto"/>
        <w:ind w:left="-15" w:right="-15" w:firstLine="31"/>
      </w:pPr>
      <w:r>
        <w:rPr>
          <w:i/>
          <w:sz w:val="17"/>
        </w:rPr>
        <w:t xml:space="preserve">Source: </w:t>
      </w:r>
      <w:r>
        <w:rPr>
          <w:sz w:val="17"/>
        </w:rPr>
        <w:t>All regressions use the 1910-1920, 1920-1930, and 1930-1940 linked full-count Census samples from IPUMS and Census Tree.</w:t>
      </w:r>
    </w:p>
    <w:p w14:paraId="535B3850" w14:textId="77777777" w:rsidR="001C671E" w:rsidRDefault="00000000">
      <w:pPr>
        <w:pStyle w:val="Heading1"/>
        <w:ind w:left="-5" w:right="0"/>
      </w:pPr>
      <w:r>
        <w:t>Figures</w:t>
      </w:r>
    </w:p>
    <w:p w14:paraId="6D8C2F59" w14:textId="77777777" w:rsidR="001C671E" w:rsidRDefault="00000000">
      <w:pPr>
        <w:spacing w:after="236" w:line="259" w:lineRule="auto"/>
        <w:ind w:left="0" w:right="0" w:firstLine="0"/>
        <w:jc w:val="left"/>
      </w:pPr>
      <w:r>
        <w:rPr>
          <w:noProof/>
        </w:rPr>
        <w:drawing>
          <wp:inline distT="0" distB="0" distL="0" distR="0" wp14:anchorId="6A39BF82" wp14:editId="4474BE96">
            <wp:extent cx="5943600" cy="3714750"/>
            <wp:effectExtent l="0" t="0" r="0" b="0"/>
            <wp:docPr id="2846" name="Picture 2846"/>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22"/>
                    <a:stretch>
                      <a:fillRect/>
                    </a:stretch>
                  </pic:blipFill>
                  <pic:spPr>
                    <a:xfrm>
                      <a:off x="0" y="0"/>
                      <a:ext cx="5943600" cy="3714750"/>
                    </a:xfrm>
                    <a:prstGeom prst="rect">
                      <a:avLst/>
                    </a:prstGeom>
                  </pic:spPr>
                </pic:pic>
              </a:graphicData>
            </a:graphic>
          </wp:inline>
        </w:drawing>
      </w:r>
    </w:p>
    <w:p w14:paraId="360164D1" w14:textId="77777777" w:rsidR="001C671E" w:rsidRDefault="00000000">
      <w:pPr>
        <w:spacing w:after="263" w:line="246" w:lineRule="auto"/>
        <w:ind w:left="-5" w:right="0"/>
      </w:pPr>
      <w:r>
        <w:t>Figure 1: Density plots of the county-level fraction of white teachers who are married women, 1910-1950.</w:t>
      </w:r>
    </w:p>
    <w:p w14:paraId="6E856696" w14:textId="77777777" w:rsidR="001C671E" w:rsidRDefault="00000000">
      <w:pPr>
        <w:spacing w:line="256" w:lineRule="auto"/>
        <w:ind w:left="-5" w:right="0"/>
      </w:pPr>
      <w:r>
        <w:rPr>
          <w:i/>
        </w:rPr>
        <w:t xml:space="preserve">Notes: </w:t>
      </w:r>
      <w:r>
        <w:t>Separate distributions are shown for (1) counties in states where marriage bars were prohibited in teaching in the 1930s (KY, NC), and (2) all other counties in the country.</w:t>
      </w:r>
    </w:p>
    <w:p w14:paraId="0EBD7F55" w14:textId="77777777" w:rsidR="001C671E" w:rsidRDefault="00000000">
      <w:pPr>
        <w:spacing w:line="259" w:lineRule="auto"/>
        <w:ind w:left="-5" w:right="102"/>
      </w:pPr>
      <w:r>
        <w:t>Vertical dashed lines represent group means.</w:t>
      </w:r>
    </w:p>
    <w:p w14:paraId="16CA96A8" w14:textId="77777777" w:rsidR="001C671E" w:rsidRDefault="00000000">
      <w:pPr>
        <w:spacing w:after="171" w:line="259" w:lineRule="auto"/>
        <w:ind w:left="-5" w:right="102"/>
      </w:pPr>
      <w:r>
        <w:rPr>
          <w:i/>
        </w:rPr>
        <w:t>Sources: 1910-1950 decennial censuses.</w:t>
      </w:r>
    </w:p>
    <w:p w14:paraId="7502560A" w14:textId="77777777" w:rsidR="001C671E" w:rsidRDefault="00000000">
      <w:pPr>
        <w:spacing w:after="236" w:line="259" w:lineRule="auto"/>
        <w:ind w:left="0" w:right="0" w:firstLine="0"/>
        <w:jc w:val="left"/>
      </w:pPr>
      <w:r>
        <w:rPr>
          <w:noProof/>
        </w:rPr>
        <w:drawing>
          <wp:inline distT="0" distB="0" distL="0" distR="0" wp14:anchorId="4DC04A99" wp14:editId="64FA9BB5">
            <wp:extent cx="5943600" cy="3714750"/>
            <wp:effectExtent l="0" t="0" r="0" b="0"/>
            <wp:docPr id="2858" name="Picture 2858"/>
            <wp:cNvGraphicFramePr/>
            <a:graphic xmlns:a="http://schemas.openxmlformats.org/drawingml/2006/main">
              <a:graphicData uri="http://schemas.openxmlformats.org/drawingml/2006/picture">
                <pic:pic xmlns:pic="http://schemas.openxmlformats.org/drawingml/2006/picture">
                  <pic:nvPicPr>
                    <pic:cNvPr id="2858" name="Picture 2858"/>
                    <pic:cNvPicPr/>
                  </pic:nvPicPr>
                  <pic:blipFill>
                    <a:blip r:embed="rId23"/>
                    <a:stretch>
                      <a:fillRect/>
                    </a:stretch>
                  </pic:blipFill>
                  <pic:spPr>
                    <a:xfrm>
                      <a:off x="0" y="0"/>
                      <a:ext cx="5943600" cy="3714750"/>
                    </a:xfrm>
                    <a:prstGeom prst="rect">
                      <a:avLst/>
                    </a:prstGeom>
                  </pic:spPr>
                </pic:pic>
              </a:graphicData>
            </a:graphic>
          </wp:inline>
        </w:drawing>
      </w:r>
    </w:p>
    <w:p w14:paraId="75ABA182" w14:textId="77777777" w:rsidR="001C671E" w:rsidRDefault="00000000">
      <w:pPr>
        <w:spacing w:after="263" w:line="246" w:lineRule="auto"/>
        <w:ind w:left="-5" w:right="0"/>
      </w:pPr>
      <w:r>
        <w:t>Figure 2: Effects of prohibiting marriage bars in teaching on the gender composition of teachers.</w:t>
      </w:r>
    </w:p>
    <w:p w14:paraId="545FFD60" w14:textId="77777777" w:rsidR="001C671E" w:rsidRDefault="00000000">
      <w:pPr>
        <w:spacing w:line="256" w:lineRule="auto"/>
        <w:ind w:left="-5" w:right="0"/>
      </w:pPr>
      <w:r>
        <w:rPr>
          <w:i/>
        </w:rPr>
        <w:t xml:space="preserve">Notes: </w:t>
      </w:r>
      <w:r>
        <w:t>Sample includes KY, NC, and neighboring Southern states. The gender composition of teachers is measured at the county level.</w:t>
      </w:r>
    </w:p>
    <w:p w14:paraId="01881D2D" w14:textId="77777777" w:rsidR="001C671E" w:rsidRDefault="00000000">
      <w:pPr>
        <w:spacing w:after="171" w:line="259" w:lineRule="auto"/>
        <w:ind w:left="-5" w:right="102"/>
      </w:pPr>
      <w:r>
        <w:rPr>
          <w:i/>
        </w:rPr>
        <w:t>Sources: 1910-1950 decennial censuses.</w:t>
      </w:r>
    </w:p>
    <w:p w14:paraId="5DD3FDE5" w14:textId="77777777" w:rsidR="001C671E" w:rsidRDefault="001C671E">
      <w:pPr>
        <w:sectPr w:rsidR="001C671E">
          <w:footerReference w:type="even" r:id="rId24"/>
          <w:footerReference w:type="default" r:id="rId25"/>
          <w:footerReference w:type="first" r:id="rId26"/>
          <w:pgSz w:w="12240" w:h="15840"/>
          <w:pgMar w:top="1440" w:right="1440" w:bottom="1791" w:left="1440" w:header="720" w:footer="796" w:gutter="0"/>
          <w:cols w:space="720"/>
        </w:sectPr>
      </w:pPr>
    </w:p>
    <w:p w14:paraId="28C01D06" w14:textId="77777777" w:rsidR="001C671E" w:rsidRDefault="00000000">
      <w:pPr>
        <w:spacing w:after="158" w:line="259" w:lineRule="auto"/>
        <w:ind w:left="0" w:right="0" w:firstLine="0"/>
        <w:jc w:val="left"/>
      </w:pPr>
      <w:r>
        <w:rPr>
          <w:noProof/>
        </w:rPr>
        <w:drawing>
          <wp:inline distT="0" distB="0" distL="0" distR="0" wp14:anchorId="7D345D92" wp14:editId="5CF69CAE">
            <wp:extent cx="5943600" cy="3714750"/>
            <wp:effectExtent l="0" t="0" r="0" b="0"/>
            <wp:docPr id="2869" name="Picture 2869"/>
            <wp:cNvGraphicFramePr/>
            <a:graphic xmlns:a="http://schemas.openxmlformats.org/drawingml/2006/main">
              <a:graphicData uri="http://schemas.openxmlformats.org/drawingml/2006/picture">
                <pic:pic xmlns:pic="http://schemas.openxmlformats.org/drawingml/2006/picture">
                  <pic:nvPicPr>
                    <pic:cNvPr id="2869" name="Picture 2869"/>
                    <pic:cNvPicPr/>
                  </pic:nvPicPr>
                  <pic:blipFill>
                    <a:blip r:embed="rId27"/>
                    <a:stretch>
                      <a:fillRect/>
                    </a:stretch>
                  </pic:blipFill>
                  <pic:spPr>
                    <a:xfrm>
                      <a:off x="0" y="0"/>
                      <a:ext cx="5943600" cy="3714750"/>
                    </a:xfrm>
                    <a:prstGeom prst="rect">
                      <a:avLst/>
                    </a:prstGeom>
                  </pic:spPr>
                </pic:pic>
              </a:graphicData>
            </a:graphic>
          </wp:inline>
        </w:drawing>
      </w:r>
    </w:p>
    <w:p w14:paraId="6D264485" w14:textId="77777777" w:rsidR="001C671E" w:rsidRDefault="00000000">
      <w:pPr>
        <w:numPr>
          <w:ilvl w:val="0"/>
          <w:numId w:val="1"/>
        </w:numPr>
        <w:spacing w:after="0" w:line="259" w:lineRule="auto"/>
        <w:ind w:right="0" w:hanging="364"/>
        <w:jc w:val="center"/>
      </w:pPr>
      <w:r>
        <w:rPr>
          <w:sz w:val="22"/>
        </w:rPr>
        <w:t>Effects on composition of white teachers.</w:t>
      </w:r>
    </w:p>
    <w:p w14:paraId="701F9E3F" w14:textId="77777777" w:rsidR="001C671E" w:rsidRDefault="00000000">
      <w:pPr>
        <w:spacing w:after="158" w:line="259" w:lineRule="auto"/>
        <w:ind w:left="0" w:right="0" w:firstLine="0"/>
        <w:jc w:val="left"/>
      </w:pPr>
      <w:r>
        <w:rPr>
          <w:noProof/>
        </w:rPr>
        <w:drawing>
          <wp:inline distT="0" distB="0" distL="0" distR="0" wp14:anchorId="7BE595C0" wp14:editId="31AEDF16">
            <wp:extent cx="5943600" cy="3714750"/>
            <wp:effectExtent l="0" t="0" r="0" b="0"/>
            <wp:docPr id="2872" name="Picture 2872"/>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28"/>
                    <a:stretch>
                      <a:fillRect/>
                    </a:stretch>
                  </pic:blipFill>
                  <pic:spPr>
                    <a:xfrm>
                      <a:off x="0" y="0"/>
                      <a:ext cx="5943600" cy="3714750"/>
                    </a:xfrm>
                    <a:prstGeom prst="rect">
                      <a:avLst/>
                    </a:prstGeom>
                  </pic:spPr>
                </pic:pic>
              </a:graphicData>
            </a:graphic>
          </wp:inline>
        </w:drawing>
      </w:r>
    </w:p>
    <w:p w14:paraId="0806C183" w14:textId="77777777" w:rsidR="001C671E" w:rsidRDefault="00000000">
      <w:pPr>
        <w:numPr>
          <w:ilvl w:val="0"/>
          <w:numId w:val="1"/>
        </w:numPr>
        <w:spacing w:after="205" w:line="259" w:lineRule="auto"/>
        <w:ind w:right="0" w:hanging="364"/>
        <w:jc w:val="center"/>
      </w:pPr>
      <w:r>
        <w:rPr>
          <w:sz w:val="22"/>
        </w:rPr>
        <w:t>Effects on composition of Black teachers.</w:t>
      </w:r>
    </w:p>
    <w:p w14:paraId="063A845A" w14:textId="77777777" w:rsidR="001C671E" w:rsidRDefault="00000000">
      <w:pPr>
        <w:spacing w:after="77" w:line="246" w:lineRule="auto"/>
        <w:ind w:left="-5" w:right="0"/>
      </w:pPr>
      <w:r>
        <w:t>Figure 3: Effects of prohibiting marriage bars in teaching on the gender composition of teachers, by race.</w:t>
      </w:r>
    </w:p>
    <w:p w14:paraId="0DF4284C" w14:textId="77777777" w:rsidR="001C671E" w:rsidRDefault="00000000">
      <w:pPr>
        <w:spacing w:after="3" w:line="265" w:lineRule="auto"/>
        <w:ind w:right="0"/>
        <w:jc w:val="center"/>
      </w:pPr>
      <w:r>
        <w:t>47</w:t>
      </w:r>
    </w:p>
    <w:p w14:paraId="6ABA968A" w14:textId="77777777" w:rsidR="001C671E" w:rsidRDefault="00000000">
      <w:pPr>
        <w:spacing w:line="256" w:lineRule="auto"/>
        <w:ind w:left="-5" w:right="0"/>
      </w:pPr>
      <w:r>
        <w:rPr>
          <w:i/>
        </w:rPr>
        <w:t xml:space="preserve">Notes: </w:t>
      </w:r>
      <w:r>
        <w:t>Sample includes KY, NC, and neighboring Southern states. The gender composition of teachers is measured at the county level.</w:t>
      </w:r>
    </w:p>
    <w:p w14:paraId="132E2F69" w14:textId="77777777" w:rsidR="001C671E" w:rsidRDefault="00000000">
      <w:pPr>
        <w:tabs>
          <w:tab w:val="center" w:pos="2576"/>
        </w:tabs>
        <w:spacing w:line="259" w:lineRule="auto"/>
        <w:ind w:left="-15" w:right="0" w:firstLine="0"/>
        <w:jc w:val="left"/>
      </w:pPr>
      <w:r>
        <w:rPr>
          <w:i/>
        </w:rPr>
        <w:t>Sources:</w:t>
      </w:r>
      <w:r>
        <w:rPr>
          <w:i/>
        </w:rPr>
        <w:tab/>
      </w:r>
      <w:r>
        <w:t>1910-1950 decennial censuses.</w:t>
      </w:r>
    </w:p>
    <w:sectPr w:rsidR="001C671E">
      <w:footerReference w:type="even" r:id="rId29"/>
      <w:footerReference w:type="default" r:id="rId30"/>
      <w:footerReference w:type="first" r:id="rId31"/>
      <w:pgSz w:w="12240" w:h="15840"/>
      <w:pgMar w:top="1440" w:right="1440" w:bottom="1440" w:left="1440" w:header="720" w:footer="3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1FB0" w14:textId="77777777" w:rsidR="00B30BDE" w:rsidRDefault="00B30BDE">
      <w:pPr>
        <w:spacing w:after="0" w:line="240" w:lineRule="auto"/>
      </w:pPr>
      <w:r>
        <w:separator/>
      </w:r>
    </w:p>
  </w:endnote>
  <w:endnote w:type="continuationSeparator" w:id="0">
    <w:p w14:paraId="777D3387" w14:textId="77777777" w:rsidR="00B30BDE" w:rsidRDefault="00B30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B83A" w14:textId="77777777" w:rsidR="001C671E" w:rsidRDefault="00000000">
    <w:pPr>
      <w:spacing w:after="0" w:line="259" w:lineRule="auto"/>
      <w:ind w:left="0" w:right="11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7B74" w14:textId="77777777" w:rsidR="001C671E" w:rsidRDefault="00000000">
    <w:pPr>
      <w:spacing w:after="0" w:line="259" w:lineRule="auto"/>
      <w:ind w:left="0" w:right="11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ABE3" w14:textId="77777777" w:rsidR="001C671E" w:rsidRDefault="00000000">
    <w:pPr>
      <w:spacing w:after="0" w:line="259" w:lineRule="auto"/>
      <w:ind w:left="0" w:right="117"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701F" w14:textId="77777777" w:rsidR="001C671E" w:rsidRDefault="001C671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414" w14:textId="77777777" w:rsidR="001C671E" w:rsidRDefault="001C671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8FDA" w14:textId="77777777" w:rsidR="001C671E" w:rsidRDefault="001C671E">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D89D" w14:textId="77777777" w:rsidR="001C671E"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97A1" w14:textId="77777777" w:rsidR="001C671E"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3B2A" w14:textId="77777777" w:rsidR="001C671E"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7A0F" w14:textId="77777777" w:rsidR="001C671E" w:rsidRDefault="001C671E">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CFC7" w14:textId="77777777" w:rsidR="001C671E" w:rsidRDefault="001C671E">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B4FC" w14:textId="77777777" w:rsidR="001C671E" w:rsidRDefault="001C671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9648" w14:textId="77777777" w:rsidR="00B30BDE" w:rsidRDefault="00B30BDE">
      <w:pPr>
        <w:spacing w:after="21" w:line="253" w:lineRule="auto"/>
        <w:ind w:left="0" w:right="116" w:firstLine="332"/>
      </w:pPr>
      <w:r>
        <w:separator/>
      </w:r>
    </w:p>
  </w:footnote>
  <w:footnote w:type="continuationSeparator" w:id="0">
    <w:p w14:paraId="669DD4E3" w14:textId="77777777" w:rsidR="00B30BDE" w:rsidRDefault="00B30BDE">
      <w:pPr>
        <w:spacing w:after="21" w:line="253" w:lineRule="auto"/>
        <w:ind w:left="0" w:right="116" w:firstLine="332"/>
      </w:pPr>
      <w:r>
        <w:continuationSeparator/>
      </w:r>
    </w:p>
  </w:footnote>
  <w:footnote w:id="1">
    <w:p w14:paraId="34863270" w14:textId="77777777" w:rsidR="001C671E" w:rsidRDefault="00000000">
      <w:pPr>
        <w:pStyle w:val="footnotedescription"/>
        <w:spacing w:after="21" w:line="253" w:lineRule="auto"/>
        <w:ind w:firstLine="332"/>
      </w:pPr>
      <w:r>
        <w:rPr>
          <w:rStyle w:val="footnotemark"/>
        </w:rPr>
        <w:footnoteRef/>
      </w:r>
      <w: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1B49BD65" w14:textId="77777777" w:rsidR="001C671E" w:rsidRDefault="00000000">
      <w:pPr>
        <w:pStyle w:val="footnotedescription"/>
        <w:spacing w:line="306" w:lineRule="auto"/>
        <w:ind w:right="0" w:firstLine="341"/>
      </w:pPr>
      <w:r>
        <w:rPr>
          <w:rStyle w:val="footnotemark"/>
        </w:rPr>
        <w:footnoteRef/>
      </w:r>
      <w:r>
        <w:t xml:space="preserve"> Department of Economics, Princeton University, Julis Romo Rabinowitz Building, Princeton, NJ, 08542. Email: </w:t>
      </w:r>
      <w:r>
        <w:rPr>
          <w:color w:val="0000FF"/>
        </w:rPr>
        <w:t>kimamy@princeton.edu</w:t>
      </w:r>
    </w:p>
  </w:footnote>
  <w:footnote w:id="3">
    <w:p w14:paraId="76F382D6" w14:textId="77777777" w:rsidR="001C671E" w:rsidRDefault="00000000">
      <w:pPr>
        <w:pStyle w:val="footnotedescription"/>
        <w:spacing w:after="13" w:line="259" w:lineRule="auto"/>
        <w:ind w:right="117" w:firstLine="0"/>
        <w:jc w:val="right"/>
      </w:pPr>
      <w:r>
        <w:rPr>
          <w:rStyle w:val="footnotemark"/>
        </w:rPr>
        <w:footnoteRef/>
      </w:r>
      <w:r>
        <w:t xml:space="preserve"> Microsoft Research, Economics and Computation, 300 Lafayette St, New York, New York, 10012. Email:</w:t>
      </w:r>
    </w:p>
    <w:p w14:paraId="76EF3FF4" w14:textId="77777777" w:rsidR="001C671E" w:rsidRDefault="00000000">
      <w:pPr>
        <w:pStyle w:val="footnotedescription"/>
        <w:spacing w:line="259" w:lineRule="auto"/>
        <w:ind w:right="0" w:firstLine="0"/>
        <w:jc w:val="left"/>
      </w:pPr>
      <w:r>
        <w:rPr>
          <w:color w:val="0000FF"/>
        </w:rPr>
        <w:t>carolyntsao@microsoft.com</w:t>
      </w:r>
    </w:p>
  </w:footnote>
  <w:footnote w:id="4">
    <w:p w14:paraId="5375695A" w14:textId="77777777" w:rsidR="001C671E" w:rsidRDefault="00000000">
      <w:pPr>
        <w:pStyle w:val="footnotedescription"/>
        <w:spacing w:line="261" w:lineRule="auto"/>
        <w:ind w:firstLine="237"/>
      </w:pPr>
      <w:r>
        <w:rPr>
          <w:rStyle w:val="footnotemark"/>
        </w:rPr>
        <w:footnoteRef/>
      </w:r>
      <w:r>
        <w:t xml:space="preserve"> . This was generally not true for Black women, who faced different social norms and different forms of discrimination relative to white women (Costa, </w:t>
      </w:r>
      <w:r>
        <w:rPr>
          <w:color w:val="0000FF"/>
        </w:rPr>
        <w:t>“From Mill Town to Board Room: The Rise of Women’s Paid Labor</w:t>
      </w:r>
      <w:r>
        <w:t>”)</w:t>
      </w:r>
    </w:p>
  </w:footnote>
  <w:footnote w:id="5">
    <w:p w14:paraId="5A578952" w14:textId="77777777" w:rsidR="001C671E" w:rsidRDefault="00000000">
      <w:pPr>
        <w:pStyle w:val="footnotedescription"/>
        <w:spacing w:line="244" w:lineRule="auto"/>
        <w:ind w:firstLine="237"/>
      </w:pPr>
      <w:r>
        <w:rPr>
          <w:rStyle w:val="footnotemark"/>
        </w:rPr>
        <w:footnoteRef/>
      </w:r>
      <w:r>
        <w:t xml:space="preserve"> .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6B3BF0A5" w14:textId="77777777" w:rsidR="001C671E" w:rsidRDefault="00000000">
      <w:pPr>
        <w:pStyle w:val="footnotedescription"/>
        <w:spacing w:line="244" w:lineRule="auto"/>
        <w:ind w:right="0" w:firstLine="237"/>
        <w:jc w:val="left"/>
      </w:pPr>
      <w:r>
        <w:rPr>
          <w:rStyle w:val="footnotemark"/>
        </w:rPr>
        <w:footnoteRef/>
      </w:r>
      <w:r>
        <w:t xml:space="preserve"> . That said, we detect no effect of the prohibitions on all women’s LFP. This is unsurprising, given that that the prohibitions targeted teaching specifically and only a small share of women were teachers.</w:t>
      </w:r>
    </w:p>
  </w:footnote>
  <w:footnote w:id="7">
    <w:p w14:paraId="758BCC52" w14:textId="77777777" w:rsidR="001C671E" w:rsidRDefault="00000000">
      <w:pPr>
        <w:pStyle w:val="footnotedescription"/>
        <w:spacing w:after="19" w:line="259" w:lineRule="auto"/>
        <w:ind w:right="117" w:firstLine="0"/>
        <w:jc w:val="right"/>
      </w:pPr>
      <w:r>
        <w:rPr>
          <w:rStyle w:val="footnotemark"/>
        </w:rPr>
        <w:footnoteRef/>
      </w:r>
      <w:r>
        <w:t xml:space="preserve"> . Goldin, </w:t>
      </w:r>
      <w:r>
        <w:rPr>
          <w:color w:val="0000FF"/>
        </w:rPr>
        <w:t>“Marriage Bars: Discrimination Against Married Women Workers from the 1920s to the 1950s.</w:t>
      </w:r>
      <w:r>
        <w:t>”</w:t>
      </w:r>
    </w:p>
  </w:footnote>
  <w:footnote w:id="8">
    <w:p w14:paraId="0F2A52AA" w14:textId="77777777" w:rsidR="001C671E" w:rsidRDefault="00000000">
      <w:pPr>
        <w:pStyle w:val="footnotedescription"/>
        <w:spacing w:after="21" w:line="247" w:lineRule="auto"/>
        <w:ind w:right="117" w:firstLine="237"/>
      </w:pPr>
      <w:r>
        <w:rPr>
          <w:rStyle w:val="footnotemark"/>
        </w:rPr>
        <w:footnoteRef/>
      </w:r>
      <w:r>
        <w:t xml:space="preserve"> . A few papers study marriage bars in other countries, including Mosca and Wright (</w:t>
      </w:r>
      <w:r>
        <w:rPr>
          <w:color w:val="0000FF"/>
        </w:rPr>
        <w:t>“The Long-Term Consequences of the Irish Marriage Bar</w:t>
      </w:r>
      <w:r>
        <w:t>”) and Mosca, O’Sullivan, and Wright (</w:t>
      </w:r>
      <w:r>
        <w:rPr>
          <w:color w:val="0000FF"/>
        </w:rPr>
        <w:t>“The Educational Attainment of the Children of Stay-at-Home Mothers: Evidence From the Irish Marriage Bar</w:t>
      </w:r>
      <w:r>
        <w:t>”), which study the longterm effects of the marriage bar on teachers in Ireland.</w:t>
      </w:r>
    </w:p>
  </w:footnote>
  <w:footnote w:id="9">
    <w:p w14:paraId="65B1F462" w14:textId="77777777" w:rsidR="001C671E" w:rsidRDefault="00000000">
      <w:pPr>
        <w:pStyle w:val="footnotedescription"/>
        <w:spacing w:line="259" w:lineRule="auto"/>
        <w:ind w:right="117" w:firstLine="0"/>
        <w:jc w:val="right"/>
      </w:pPr>
      <w:r>
        <w:rPr>
          <w:rStyle w:val="footnotemark"/>
        </w:rPr>
        <w:footnoteRef/>
      </w:r>
      <w:r>
        <w:t xml:space="preserve"> . Bailey, </w:t>
      </w:r>
      <w:r>
        <w:rPr>
          <w:color w:val="0000FF"/>
        </w:rPr>
        <w:t>“More Power to the Pill: The Impact of Contraceptive Freedom on Women’s Life Cycle Labor</w:t>
      </w:r>
    </w:p>
    <w:p w14:paraId="76F94F61" w14:textId="77777777" w:rsidR="001C671E" w:rsidRDefault="00000000">
      <w:pPr>
        <w:pStyle w:val="footnotedescription"/>
        <w:spacing w:after="9" w:line="259" w:lineRule="auto"/>
        <w:ind w:right="0" w:firstLine="0"/>
        <w:jc w:val="left"/>
      </w:pPr>
      <w:r>
        <w:rPr>
          <w:color w:val="0000FF"/>
        </w:rPr>
        <w:t>Supply</w:t>
      </w:r>
      <w:r>
        <w:t>.”</w:t>
      </w:r>
    </w:p>
  </w:footnote>
  <w:footnote w:id="10">
    <w:p w14:paraId="55673F23" w14:textId="77777777" w:rsidR="001C671E" w:rsidRDefault="00000000">
      <w:pPr>
        <w:pStyle w:val="footnotedescription"/>
        <w:spacing w:line="259" w:lineRule="auto"/>
        <w:ind w:left="237" w:right="0" w:firstLine="0"/>
        <w:jc w:val="left"/>
      </w:pPr>
      <w:r>
        <w:rPr>
          <w:rStyle w:val="footnotemark"/>
        </w:rPr>
        <w:footnoteRef/>
      </w:r>
      <w:r>
        <w:t xml:space="preserve"> . Greenwood, Seshadri, and Yorukoglu, </w:t>
      </w:r>
      <w:r>
        <w:rPr>
          <w:color w:val="0000FF"/>
        </w:rPr>
        <w:t>“Engines of Liberation</w:t>
      </w:r>
      <w:r>
        <w:t>.”</w:t>
      </w:r>
    </w:p>
  </w:footnote>
  <w:footnote w:id="11">
    <w:p w14:paraId="74EE0824" w14:textId="77777777" w:rsidR="001C671E" w:rsidRDefault="00000000">
      <w:pPr>
        <w:pStyle w:val="footnotedescription"/>
        <w:spacing w:line="259" w:lineRule="auto"/>
        <w:ind w:right="117" w:firstLine="0"/>
        <w:jc w:val="right"/>
      </w:pPr>
      <w:r>
        <w:rPr>
          <w:rStyle w:val="footnotemark"/>
        </w:rPr>
        <w:footnoteRef/>
      </w:r>
      <w:r>
        <w:t xml:space="preserve"> . Goldin, </w:t>
      </w:r>
      <w:r>
        <w:rPr>
          <w:color w:val="0000FF"/>
        </w:rPr>
        <w:t>“Marriage Bars: Discrimination Against Married Women Workers from the 1920s to the 1950s.</w:t>
      </w:r>
      <w:r>
        <w:t>”</w:t>
      </w:r>
    </w:p>
  </w:footnote>
  <w:footnote w:id="12">
    <w:p w14:paraId="6ABB3287" w14:textId="77777777" w:rsidR="001C671E" w:rsidRDefault="00000000">
      <w:pPr>
        <w:pStyle w:val="footnotedescription"/>
        <w:spacing w:line="244" w:lineRule="auto"/>
        <w:ind w:firstLine="237"/>
      </w:pPr>
      <w:r>
        <w:rPr>
          <w:rStyle w:val="footnotemark"/>
        </w:rPr>
        <w:footnoteRef/>
      </w:r>
      <w:r>
        <w:t xml:space="preserve"> . For instance, in the case of the ADA, which imposed that employers must provide accommodations for workers with disabilities, Acemoglu and Angrist (</w:t>
      </w:r>
      <w:r>
        <w:rPr>
          <w:color w:val="0000FF"/>
        </w:rPr>
        <w:t>“Consequences of Employment Protection? The Case of the Americans with Disabilities Act</w:t>
      </w:r>
      <w:r>
        <w:t>”) rationalize their findings by arguing that employers that found introducing such accommodations too costly and simply chose not to employ as many workers with disabilities.</w:t>
      </w:r>
    </w:p>
  </w:footnote>
  <w:footnote w:id="13">
    <w:p w14:paraId="2A8E6326" w14:textId="77777777" w:rsidR="001C671E" w:rsidRDefault="00000000">
      <w:pPr>
        <w:pStyle w:val="footnotedescription"/>
        <w:spacing w:line="259" w:lineRule="auto"/>
        <w:ind w:left="137" w:right="0" w:firstLine="0"/>
        <w:jc w:val="left"/>
      </w:pPr>
      <w:r>
        <w:rPr>
          <w:rStyle w:val="footnotemark"/>
        </w:rPr>
        <w:footnoteRef/>
      </w:r>
      <w:r>
        <w:t xml:space="preserve"> . Goldin, </w:t>
      </w:r>
      <w:r>
        <w:rPr>
          <w:color w:val="0000FF"/>
        </w:rPr>
        <w:t>“Marriage Bars: Discrimination Against Married Women Workers from the 1920s to the 1950s.</w:t>
      </w:r>
      <w:r>
        <w:t>”</w:t>
      </w:r>
    </w:p>
  </w:footnote>
  <w:footnote w:id="14">
    <w:p w14:paraId="337E772E" w14:textId="77777777" w:rsidR="001C671E" w:rsidRDefault="00000000">
      <w:pPr>
        <w:pStyle w:val="footnotedescription"/>
        <w:spacing w:line="256" w:lineRule="auto"/>
      </w:pPr>
      <w:r>
        <w:rPr>
          <w:rStyle w:val="footnotemark"/>
        </w:rPr>
        <w:footnoteRef/>
      </w:r>
      <w:r>
        <w:t xml:space="preserve"> . There was even federal legislation, such as Federal Order 213 in the Federal Economy Act of 1932, that mandated that “executive branch officials... fire workers whose spouses were employed by the federal government,” and was largely used to fire married women (Goldin, </w:t>
      </w:r>
      <w:r>
        <w:rPr>
          <w:color w:val="0000FF"/>
        </w:rPr>
        <w:t>“Marriage Bars: Discrimination Against Married Women Workers from the 1920s to the 1950s.</w:t>
      </w:r>
      <w:r>
        <w:t>”).</w:t>
      </w:r>
    </w:p>
  </w:footnote>
  <w:footnote w:id="15">
    <w:p w14:paraId="15AEF967" w14:textId="77777777" w:rsidR="001C671E" w:rsidRDefault="00000000">
      <w:pPr>
        <w:pStyle w:val="footnotedescription"/>
        <w:spacing w:line="244" w:lineRule="auto"/>
      </w:pPr>
      <w:r>
        <w:rPr>
          <w:rStyle w:val="footnotemark"/>
        </w:rPr>
        <w:footnoteRef/>
      </w:r>
      <w:r>
        <w:t xml:space="preserve"> . Note that for some occupations, such as airline stewardess, marriage bars persisted until decades later (see Romasanta v. United Air Lines, Inc., 537 F .2d 915 (1976) and United Air Lines, Inc. v. McDonald, 432 US 385 (1977)).</w:t>
      </w:r>
    </w:p>
  </w:footnote>
  <w:footnote w:id="16">
    <w:p w14:paraId="74A2A826" w14:textId="77777777" w:rsidR="001C671E" w:rsidRDefault="00000000">
      <w:pPr>
        <w:pStyle w:val="footnotedescription"/>
        <w:spacing w:line="269" w:lineRule="auto"/>
        <w:ind w:right="0"/>
      </w:pPr>
      <w:r>
        <w:rPr>
          <w:rStyle w:val="footnotemark"/>
        </w:rPr>
        <w:footnoteRef/>
      </w:r>
      <w:r>
        <w:t xml:space="preserve"> . We found no newspaper articles referencing the legislation in NC and only one article mentioning the legislation passed in KY (</w:t>
      </w:r>
      <w:r>
        <w:rPr>
          <w:i/>
          <w:color w:val="0000FF"/>
        </w:rPr>
        <w:t xml:space="preserve">Courier Journal, </w:t>
      </w:r>
      <w:r>
        <w:t>12 March 1938. Louisville, KY 1938).</w:t>
      </w:r>
    </w:p>
  </w:footnote>
  <w:footnote w:id="17">
    <w:p w14:paraId="1F19C1CD" w14:textId="77777777" w:rsidR="001C671E" w:rsidRDefault="00000000">
      <w:pPr>
        <w:pStyle w:val="footnotedescription"/>
        <w:spacing w:line="256" w:lineRule="auto"/>
        <w:ind w:right="0"/>
        <w:jc w:val="left"/>
      </w:pPr>
      <w:r>
        <w:rPr>
          <w:rStyle w:val="footnotemark"/>
        </w:rPr>
        <w:footnoteRef/>
      </w:r>
      <w:r>
        <w:t xml:space="preserve"> . 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(Charles Athiel Harper, </w:t>
      </w:r>
      <w:r>
        <w:rPr>
          <w:i/>
        </w:rPr>
        <w:t xml:space="preserve">A Century of Public Teacher Education: The Story of the State Teachers Colleges as They Evolved From the Normal Schools </w:t>
      </w:r>
      <w:r>
        <w:t>[Washington DC: Greenwood Press, 1939]).</w:t>
      </w:r>
    </w:p>
  </w:footnote>
  <w:footnote w:id="18">
    <w:p w14:paraId="3A2CA306" w14:textId="77777777" w:rsidR="001C671E" w:rsidRDefault="00000000">
      <w:pPr>
        <w:pStyle w:val="footnotedescription"/>
        <w:spacing w:line="244" w:lineRule="auto"/>
        <w:ind w:right="0"/>
      </w:pPr>
      <w:r>
        <w:rPr>
          <w:rStyle w:val="footnotemark"/>
        </w:rPr>
        <w:footnoteRef/>
      </w:r>
      <w:r>
        <w:t xml:space="preserve"> . The increase in other states was likely due to socioeconomic factors rather than legislation, as we found no evidence of similar state-wide marriage bar prohibitions in other states in later years.</w:t>
      </w:r>
    </w:p>
  </w:footnote>
  <w:footnote w:id="19">
    <w:p w14:paraId="5D76F6F1" w14:textId="77777777" w:rsidR="001C671E" w:rsidRDefault="00000000">
      <w:pPr>
        <w:pStyle w:val="footnotedescription"/>
        <w:spacing w:line="249" w:lineRule="auto"/>
        <w:ind w:right="117"/>
      </w:pPr>
      <w:r>
        <w:rPr>
          <w:rStyle w:val="footnotemark"/>
        </w:rPr>
        <w:footnoteRef/>
      </w:r>
      <w:r>
        <w:t xml:space="preserve"> . These statistics also highlight that our findings are most relevant for the U.S. South. The higher student-teacher ratios in particular in Southern states are consistent with anecdotal evidence of teacher shortages in the South, as in Goldin (</w:t>
      </w:r>
      <w:r>
        <w:rPr>
          <w:i/>
          <w:color w:val="0000FF"/>
        </w:rPr>
        <w:t>Career and Family: Women’s Century-Long Journey toward Equity</w:t>
      </w:r>
      <w:r>
        <w:t>).</w:t>
      </w:r>
    </w:p>
  </w:footnote>
  <w:footnote w:id="20">
    <w:p w14:paraId="37EC6C9E" w14:textId="77777777" w:rsidR="001C671E" w:rsidRDefault="00000000">
      <w:pPr>
        <w:pStyle w:val="footnotedescription"/>
        <w:spacing w:line="244" w:lineRule="auto"/>
      </w:pPr>
      <w:r>
        <w:rPr>
          <w:rStyle w:val="footnotemark"/>
        </w:rPr>
        <w:footnoteRef/>
      </w:r>
      <w:r>
        <w:t xml:space="preserve"> . We exclude 13 counties that are either created or consolidated between 1910 and 1950 and are thus missing from the Census in at least one year. See Panel (a) of Online Appendix Figure C1 for a map of our sample of treated and control counties.</w:t>
      </w:r>
    </w:p>
  </w:footnote>
  <w:footnote w:id="21">
    <w:p w14:paraId="040FC6EA" w14:textId="77777777" w:rsidR="001C671E" w:rsidRDefault="00000000">
      <w:pPr>
        <w:pStyle w:val="footnotedescription"/>
        <w:spacing w:line="261" w:lineRule="auto"/>
      </w:pPr>
      <w:r>
        <w:rPr>
          <w:rStyle w:val="footnotemark"/>
        </w:rPr>
        <w:footnoteRef/>
      </w:r>
      <w:r>
        <w:t xml:space="preserve"> . Although treatment timing is staggered in our setting (1933 for NC and 1938 for KY), implementing the estimators recommended in the recent literature on difference-in-differences for such environments (Liyang Sun and Sarah Abraham, “Estimating Dynamic Treatment Effects in Event Studies With Heterogeneous Treatment Effects,” </w:t>
      </w:r>
      <w:r>
        <w:rPr>
          <w:i/>
        </w:rPr>
        <w:t xml:space="preserve">Journal of Econometrics </w:t>
      </w:r>
      <w:r>
        <w:t xml:space="preserve">225, no. 2 [2021]: 175–199; Jonathan Roth et al., “What’s Trending in Difference-in-Differences? A Synthesis of the Recent Econometrics Literature,” </w:t>
      </w:r>
      <w:r>
        <w:rPr>
          <w:i/>
        </w:rPr>
        <w:t xml:space="preserve">Journal of Econometrics </w:t>
      </w:r>
      <w:r>
        <w:t>235, no. 2 [2023]: 2218–2244) requires more frequent observations (for example, yearly) before and after treatment than our data contain.</w:t>
      </w:r>
    </w:p>
  </w:footnote>
  <w:footnote w:id="22">
    <w:p w14:paraId="6C4EA67E" w14:textId="77777777" w:rsidR="001C671E" w:rsidRDefault="00000000">
      <w:pPr>
        <w:pStyle w:val="footnotedescription"/>
        <w:spacing w:line="244" w:lineRule="auto"/>
        <w:ind w:right="117"/>
      </w:pPr>
      <w:r>
        <w:rPr>
          <w:rStyle w:val="footnotemark"/>
        </w:rPr>
        <w:footnoteRef/>
      </w:r>
      <w:r>
        <w:t xml:space="preserve"> . In our state-level analysis in Online Appendix D we also show results for NC and KY separately. Our findings are not being disproportionately driven by one state; in fact, point estimates are remarkably similar for both states.</w:t>
      </w:r>
    </w:p>
  </w:footnote>
  <w:footnote w:id="23">
    <w:p w14:paraId="2056256A" w14:textId="77777777" w:rsidR="001C671E" w:rsidRDefault="00000000">
      <w:pPr>
        <w:pStyle w:val="footnotedescription"/>
        <w:spacing w:line="244" w:lineRule="auto"/>
      </w:pPr>
      <w:r>
        <w:rPr>
          <w:rStyle w:val="footnotemark"/>
        </w:rPr>
        <w:footnoteRef/>
      </w:r>
      <w:r>
        <w:t xml:space="preserve"> .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24">
    <w:p w14:paraId="23E60DE1" w14:textId="77777777" w:rsidR="001C671E" w:rsidRDefault="00000000">
      <w:pPr>
        <w:pStyle w:val="footnotedescription"/>
        <w:spacing w:line="247" w:lineRule="auto"/>
      </w:pPr>
      <w:r>
        <w:rPr>
          <w:rStyle w:val="footnotemark"/>
        </w:rPr>
        <w:footnoteRef/>
      </w:r>
      <w:r>
        <w:t xml:space="preserve"> .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(Ivan A Canay, Andres Santos, and Azeem M Shaikh, “The Wild Bootstrap With a “Small” Number of “Large” Clusters,” </w:t>
      </w:r>
      <w:r>
        <w:rPr>
          <w:i/>
        </w:rPr>
        <w:t xml:space="preserve">Review of Economics and Statistics </w:t>
      </w:r>
      <w:r>
        <w:t xml:space="preserve">103, no. 2 [2021]: 346–363; Roth et al., </w:t>
      </w:r>
      <w:r>
        <w:rPr>
          <w:color w:val="0000FF"/>
        </w:rPr>
        <w:t>“What’s Trending in Differencein-Differences? A Synthesis of the Recent Econometrics Literature</w:t>
      </w:r>
      <w: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25">
    <w:p w14:paraId="4BAF3752" w14:textId="77777777" w:rsidR="001C671E" w:rsidRDefault="00000000">
      <w:pPr>
        <w:pStyle w:val="footnotedescription"/>
        <w:spacing w:line="244" w:lineRule="auto"/>
        <w:ind w:right="117"/>
      </w:pPr>
      <w:r>
        <w:rPr>
          <w:rStyle w:val="footnotemark"/>
        </w:rPr>
        <w:footnoteRef/>
      </w:r>
      <w:r>
        <w:t xml:space="preserve"> .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6">
    <w:p w14:paraId="1BEA22AD" w14:textId="77777777" w:rsidR="001C671E" w:rsidRDefault="00000000">
      <w:pPr>
        <w:pStyle w:val="footnotedescription"/>
        <w:spacing w:line="244" w:lineRule="auto"/>
      </w:pPr>
      <w:r>
        <w:rPr>
          <w:rStyle w:val="footnotemark"/>
        </w:rPr>
        <w:footnoteRef/>
      </w:r>
      <w:r>
        <w:t xml:space="preserve"> .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7">
    <w:p w14:paraId="0041112E" w14:textId="77777777" w:rsidR="001C671E" w:rsidRDefault="00000000">
      <w:pPr>
        <w:pStyle w:val="footnotedescription"/>
        <w:spacing w:line="244" w:lineRule="auto"/>
      </w:pPr>
      <w:r>
        <w:rPr>
          <w:rStyle w:val="footnotemark"/>
        </w:rPr>
        <w:footnoteRef/>
      </w:r>
      <w:r>
        <w:t xml:space="preserve"> . The only change that occurred was that Virginia, one of our control states, required one more year of compulsory schooling in the 1920s, which would have led to increased demand for teachers and bias our estimates downwards.</w:t>
      </w:r>
    </w:p>
  </w:footnote>
  <w:footnote w:id="28">
    <w:p w14:paraId="5B3CCC61" w14:textId="77777777" w:rsidR="001C671E" w:rsidRDefault="00000000">
      <w:pPr>
        <w:pStyle w:val="footnotedescription"/>
        <w:spacing w:line="244" w:lineRule="auto"/>
      </w:pPr>
      <w:r>
        <w:rPr>
          <w:rStyle w:val="footnotemark"/>
        </w:rPr>
        <w:footnoteRef/>
      </w:r>
      <w:r>
        <w:t xml:space="preserve"> .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9">
    <w:p w14:paraId="467987B2" w14:textId="77777777" w:rsidR="001C671E" w:rsidRDefault="00000000">
      <w:pPr>
        <w:pStyle w:val="footnotedescription"/>
        <w:spacing w:line="269" w:lineRule="auto"/>
        <w:ind w:right="0"/>
      </w:pPr>
      <w:r>
        <w:rPr>
          <w:rStyle w:val="footnotemark"/>
        </w:rPr>
        <w:footnoteRef/>
      </w:r>
      <w:r>
        <w:t xml:space="preserve"> . Andriana Bellou and Emanuela Cardia, “The Great Depression and the Rise of Female Employment: A New Hypothesis,” </w:t>
      </w:r>
      <w:r>
        <w:rPr>
          <w:i/>
        </w:rPr>
        <w:t xml:space="preserve">Explorations in Economic History </w:t>
      </w:r>
      <w:r>
        <w:t>80 (2021): 101383.</w:t>
      </w:r>
    </w:p>
  </w:footnote>
  <w:footnote w:id="30">
    <w:p w14:paraId="3F579374" w14:textId="77777777" w:rsidR="001C671E" w:rsidRDefault="00000000">
      <w:pPr>
        <w:pStyle w:val="footnotedescription"/>
        <w:spacing w:line="263" w:lineRule="auto"/>
        <w:ind w:right="117"/>
      </w:pPr>
      <w:r>
        <w:rPr>
          <w:rStyle w:val="footnotemark"/>
        </w:rPr>
        <w:footnoteRef/>
      </w:r>
      <w:r>
        <w:t xml:space="preserve"> . Similarly, while prior work finds that birthrates decreased during the Great Depression (Jessamyn Schaller, Price V Fishback, and Kelli Marquardt, “Local Economic Conditions and Fertility from the Great Depression through the Great Recession,” </w:t>
      </w:r>
      <w:r>
        <w:rPr>
          <w:i/>
        </w:rPr>
        <w:t xml:space="preserve">AEA Papers and Proceedings </w:t>
      </w:r>
      <w:r>
        <w:t xml:space="preserve">110 [2020]: 236–240), the New Deal countered these effects by decreasing infant mortality and increasing birthrates (Price V Fishback, Michael R Haines, and Shawn Kantor, “Births, Deaths, and New Deal Relief during the Great Depression,” </w:t>
      </w:r>
      <w:r>
        <w:rPr>
          <w:i/>
        </w:rPr>
        <w:t xml:space="preserve">The Review of Economics and Statistics </w:t>
      </w:r>
      <w:r>
        <w:t>89, no. 1 [2007]: 1–14).</w:t>
      </w:r>
    </w:p>
  </w:footnote>
  <w:footnote w:id="31">
    <w:p w14:paraId="1DC0902D" w14:textId="77777777" w:rsidR="001C671E" w:rsidRDefault="00000000">
      <w:pPr>
        <w:pStyle w:val="footnotedescription"/>
        <w:spacing w:after="21" w:line="247" w:lineRule="auto"/>
        <w:ind w:right="0"/>
        <w:jc w:val="left"/>
      </w:pPr>
      <w:r>
        <w:rPr>
          <w:rStyle w:val="footnotemark"/>
        </w:rPr>
        <w:footnoteRef/>
      </w:r>
      <w:r>
        <w:t xml:space="preserve"> . Note that sample sizes differ across columns of Table </w:t>
      </w:r>
      <w:r>
        <w:rPr>
          <w:color w:val="0000FF"/>
        </w:rPr>
        <w:t xml:space="preserve">2 </w:t>
      </w:r>
      <w: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32">
    <w:p w14:paraId="7F67C950" w14:textId="77777777" w:rsidR="001C671E" w:rsidRDefault="00000000">
      <w:pPr>
        <w:pStyle w:val="footnotedescription"/>
        <w:spacing w:line="259" w:lineRule="auto"/>
        <w:ind w:left="137" w:right="0" w:firstLine="0"/>
        <w:jc w:val="left"/>
      </w:pPr>
      <w:r>
        <w:rPr>
          <w:rStyle w:val="footnotemark"/>
        </w:rPr>
        <w:footnoteRef/>
      </w:r>
      <w:r>
        <w:t xml:space="preserve"> . Goldin, </w:t>
      </w:r>
      <w:r>
        <w:rPr>
          <w:color w:val="0000FF"/>
        </w:rPr>
        <w:t>“Marriage Bars: Discrimination Against Married Women Workers from the 1920s to the 1950s.</w:t>
      </w:r>
      <w:r>
        <w:t>”</w:t>
      </w:r>
    </w:p>
  </w:footnote>
  <w:footnote w:id="33">
    <w:p w14:paraId="4BA30064" w14:textId="77777777" w:rsidR="001C671E" w:rsidRDefault="00000000">
      <w:pPr>
        <w:pStyle w:val="footnotedescription"/>
        <w:spacing w:line="261" w:lineRule="auto"/>
        <w:ind w:right="117"/>
      </w:pPr>
      <w:r>
        <w:rPr>
          <w:rStyle w:val="footnotemark"/>
        </w:rPr>
        <w:footnoteRef/>
      </w:r>
      <w:r>
        <w:t xml:space="preserve"> . In addition, in Online Appendix Table B4, we examine outcomes for other working women. We restrict our linked samples of unmarried women to be between the ages of 8 and 40 (16-40 for teachers) in </w:t>
      </w:r>
      <w:r>
        <w:rPr>
          <w:i/>
        </w:rPr>
        <w:t>t</w:t>
      </w:r>
      <w:r>
        <w:t xml:space="preserve">−10, and we restrict our linked samples of married women to be between the ages of 18 and 50 in </w:t>
      </w:r>
      <w:r>
        <w:rPr>
          <w:i/>
        </w:rPr>
        <w:t xml:space="preserve">t </w:t>
      </w:r>
      <w:r>
        <w:t>− 10, to focus on the populations for whom the decisions to marry and work were the most relevant. Our results are robust to alternate cutoffs.</w:t>
      </w:r>
    </w:p>
  </w:footnote>
  <w:footnote w:id="34">
    <w:p w14:paraId="4752DFC2" w14:textId="77777777" w:rsidR="001C671E" w:rsidRDefault="00000000">
      <w:pPr>
        <w:pStyle w:val="footnotedescription"/>
        <w:spacing w:line="250" w:lineRule="auto"/>
        <w:ind w:right="117"/>
      </w:pPr>
      <w:r>
        <w:rPr>
          <w:rStyle w:val="footnotemark"/>
        </w:rPr>
        <w:footnoteRef/>
      </w:r>
      <w:r>
        <w:t xml:space="preserve"> .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Pr>
          <w:i/>
        </w:rPr>
        <w:t xml:space="preserve">t </w:t>
      </w:r>
      <w:r>
        <w:t xml:space="preserve">− 10 had children by </w:t>
      </w:r>
      <w:r>
        <w:rPr>
          <w:i/>
        </w:rPr>
        <w:t>t</w:t>
      </w:r>
      <w:r>
        <w:t>.</w:t>
      </w:r>
    </w:p>
  </w:footnote>
  <w:footnote w:id="35">
    <w:p w14:paraId="515EF0BD" w14:textId="77777777" w:rsidR="001C671E" w:rsidRDefault="00000000">
      <w:pPr>
        <w:pStyle w:val="footnotedescription"/>
        <w:spacing w:line="255" w:lineRule="auto"/>
        <w:ind w:right="117"/>
      </w:pPr>
      <w:r>
        <w:rPr>
          <w:rStyle w:val="footnotemark"/>
        </w:rPr>
        <w:footnoteRef/>
      </w:r>
      <w:r>
        <w:t xml:space="preserve"> . While women who were unmarried and outside the labor force in </w:t>
      </w:r>
      <w:r>
        <w:rPr>
          <w:i/>
        </w:rPr>
        <w:t>t</w:t>
      </w:r>
      <w: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Pr>
          <w:i/>
        </w:rPr>
        <w:t xml:space="preserve">t </w:t>
      </w:r>
      <w:r>
        <w:t xml:space="preserve">− 10, a much larger number will get married by </w:t>
      </w:r>
      <w:r>
        <w:rPr>
          <w:i/>
        </w:rPr>
        <w:t xml:space="preserve">t </w:t>
      </w:r>
      <w:r>
        <w:t xml:space="preserve">than become teachers by </w:t>
      </w:r>
      <w:r>
        <w:rPr>
          <w:i/>
        </w:rPr>
        <w:t>t</w:t>
      </w:r>
      <w:r>
        <w:t>; hence, if the percentage point effect sizes are similar in magnitude, then the effect of the prohibitions on unmarried</w:t>
      </w:r>
    </w:p>
  </w:footnote>
  <w:footnote w:id="36">
    <w:p w14:paraId="424665A4" w14:textId="77777777" w:rsidR="001C671E" w:rsidRDefault="00000000">
      <w:pPr>
        <w:pStyle w:val="footnotedescription"/>
        <w:spacing w:line="259" w:lineRule="auto"/>
        <w:ind w:left="137" w:right="0" w:firstLine="0"/>
        <w:jc w:val="left"/>
      </w:pPr>
      <w:r>
        <w:rPr>
          <w:rStyle w:val="footnotemark"/>
        </w:rPr>
        <w:footnoteRef/>
      </w:r>
      <w:r>
        <w:t xml:space="preserve"> . We also consider the possibility that the prohibitions reduced the number of unmarried teachers by</w:t>
      </w:r>
    </w:p>
  </w:footnote>
  <w:footnote w:id="37">
    <w:p w14:paraId="21B61C65" w14:textId="77777777" w:rsidR="001C671E" w:rsidRDefault="00000000">
      <w:pPr>
        <w:pStyle w:val="footnotedescription"/>
        <w:spacing w:after="10" w:line="269" w:lineRule="auto"/>
        <w:ind w:right="0"/>
      </w:pPr>
      <w:r>
        <w:rPr>
          <w:rStyle w:val="footnotemark"/>
        </w:rPr>
        <w:footnoteRef/>
      </w:r>
      <w:r>
        <w:t xml:space="preserve"> . A Colin Cameron, Jonah B Gelbach, and Douglas L Miller, “Bootstrap-Based Improvements for Inference With Clustered Errors,” </w:t>
      </w:r>
      <w:r>
        <w:rPr>
          <w:i/>
        </w:rPr>
        <w:t xml:space="preserve">The Review of Economics and Statistics </w:t>
      </w:r>
      <w:r>
        <w:t>90, no. 3 (2008): 414–427.</w:t>
      </w:r>
    </w:p>
  </w:footnote>
  <w:footnote w:id="38">
    <w:p w14:paraId="626C2408" w14:textId="77777777" w:rsidR="001C671E" w:rsidRDefault="00000000">
      <w:pPr>
        <w:pStyle w:val="footnotedescription"/>
        <w:spacing w:line="259" w:lineRule="auto"/>
        <w:ind w:left="137" w:right="0" w:firstLine="0"/>
        <w:jc w:val="left"/>
      </w:pPr>
      <w:r>
        <w:rPr>
          <w:rStyle w:val="footnotemark"/>
        </w:rPr>
        <w:footnoteRef/>
      </w:r>
      <w:r>
        <w:t xml:space="preserve"> . Canay, Santos, and Shaikh, </w:t>
      </w:r>
      <w:r>
        <w:rPr>
          <w:color w:val="0000FF"/>
        </w:rPr>
        <w:t>“The Wild Bootstrap With a “Small” Number of “Large” Clusters</w:t>
      </w:r>
      <w:r>
        <w:t>.”</w:t>
      </w:r>
    </w:p>
  </w:footnote>
  <w:footnote w:id="39">
    <w:p w14:paraId="69AF42D6" w14:textId="77777777" w:rsidR="001C671E" w:rsidRDefault="00000000">
      <w:pPr>
        <w:pStyle w:val="footnotedescription"/>
        <w:spacing w:line="259" w:lineRule="auto"/>
        <w:ind w:left="137" w:right="0" w:firstLine="0"/>
        <w:jc w:val="left"/>
      </w:pPr>
      <w:r>
        <w:rPr>
          <w:rStyle w:val="footnotemark"/>
        </w:rPr>
        <w:footnoteRef/>
      </w:r>
      <w:r>
        <w:t xml:space="preserve"> . Rose, </w:t>
      </w:r>
      <w:r>
        <w:rPr>
          <w:color w:val="0000FF"/>
        </w:rPr>
        <w:t>“The Rise and Fall of Female Labor Force Participation During World War II in the United</w:t>
      </w:r>
    </w:p>
    <w:p w14:paraId="03A3F638" w14:textId="77777777" w:rsidR="001C671E" w:rsidRDefault="00000000">
      <w:pPr>
        <w:pStyle w:val="footnotedescription"/>
        <w:spacing w:line="259" w:lineRule="auto"/>
        <w:ind w:right="0" w:firstLine="0"/>
        <w:jc w:val="left"/>
      </w:pPr>
      <w:r>
        <w:rPr>
          <w:color w:val="0000FF"/>
        </w:rPr>
        <w:t>States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06E30"/>
    <w:multiLevelType w:val="hybridMultilevel"/>
    <w:tmpl w:val="02C6CA3C"/>
    <w:lvl w:ilvl="0" w:tplc="FD3EB678">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6544D82">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18BD66">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4285B84">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4FE2516">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96BD84">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35A0264">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A507D40">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25414BA">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21460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1E"/>
    <w:rsid w:val="001C671E"/>
    <w:rsid w:val="003A3CCC"/>
    <w:rsid w:val="00476C91"/>
    <w:rsid w:val="00B30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52615"/>
  <w15:docId w15:val="{9E5803A8-1A7A-479B-8597-D43B3541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78" w:lineRule="auto"/>
      <w:ind w:left="10" w:right="2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36"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after="0" w:line="258" w:lineRule="auto"/>
      <w:ind w:right="116" w:firstLine="137"/>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1.png"/><Relationship Id="rId28"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footer" Target="footer1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14328</Words>
  <Characters>76803</Characters>
  <Application>Microsoft Office Word</Application>
  <DocSecurity>0</DocSecurity>
  <Lines>1567</Lines>
  <Paragraphs>734</Paragraphs>
  <ScaleCrop>false</ScaleCrop>
  <Company/>
  <LinksUpToDate>false</LinksUpToDate>
  <CharactersWithSpaces>90397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Tsao</dc:creator>
  <cp:keywords/>
  <cp:lastModifiedBy>Carolyn Tsao</cp:lastModifiedBy>
  <cp:revision>2</cp:revision>
  <dcterms:created xsi:type="dcterms:W3CDTF">2025-11-18T22:44:00Z</dcterms:created>
  <dcterms:modified xsi:type="dcterms:W3CDTF">2025-11-18T22:44:00Z</dcterms:modified>
</cp:coreProperties>
</file>