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77777777"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20th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married women teachers by 3.5 p.p. (20%), partly by leading unmarried women to </w:t>
      </w:r>
      <w:r w:rsidR="00977880" w:rsidRPr="004C2F06">
        <w:rPr>
          <w:rFonts w:ascii="Times New Roman" w:hAnsi="Times New Roman" w:cs="Times New Roman"/>
          <w:sz w:val="22"/>
        </w:rPr>
        <w:t xml:space="preserve">switch from teaching to </w:t>
      </w:r>
      <w:r w:rsidRPr="004C2F06">
        <w:rPr>
          <w:rFonts w:ascii="Times New Roman" w:hAnsi="Times New Roman" w:cs="Times New Roman"/>
          <w:sz w:val="22"/>
        </w:rPr>
        <w:t>other occupations.</w:t>
      </w:r>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w:t>
      </w:r>
      <w:proofErr w:type="gramStart"/>
      <w:r w:rsidRPr="004C2F06">
        <w:rPr>
          <w:rFonts w:ascii="Times New Roman" w:hAnsi="Times New Roman" w:cs="Times New Roman"/>
        </w:rPr>
        <w:t>bars—a</w:t>
      </w:r>
      <w:proofErr w:type="gramEnd"/>
      <w:r w:rsidRPr="004C2F06">
        <w:rPr>
          <w:rFonts w:ascii="Times New Roman" w:hAnsi="Times New Roman" w:cs="Times New Roman"/>
        </w:rPr>
        <w:t xml:space="preserve">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w:t>
      </w:r>
      <w:proofErr w:type="gramStart"/>
      <w:r w:rsidRPr="004C2F06">
        <w:rPr>
          <w:rFonts w:ascii="Times New Roman" w:hAnsi="Times New Roman" w:cs="Times New Roman"/>
        </w:rPr>
        <w:t>time period</w:t>
      </w:r>
      <w:proofErr w:type="gramEnd"/>
      <w:r w:rsidRPr="004C2F06">
        <w:rPr>
          <w:rFonts w:ascii="Times New Roman" w:hAnsi="Times New Roman" w:cs="Times New Roman"/>
        </w:rPr>
        <w:t xml:space="preserve"> however, debates over tenure protection laws in one </w:t>
      </w:r>
      <w:proofErr w:type="gramStart"/>
      <w:r w:rsidRPr="004C2F06">
        <w:rPr>
          <w:rFonts w:ascii="Times New Roman" w:hAnsi="Times New Roman" w:cs="Times New Roman"/>
        </w:rPr>
        <w:t>particular occupation</w:t>
      </w:r>
      <w:proofErr w:type="gramEnd"/>
      <w:r w:rsidRPr="004C2F06">
        <w:rPr>
          <w:rFonts w:ascii="Times New Roman" w:hAnsi="Times New Roman" w:cs="Times New Roman"/>
        </w:rPr>
        <w:t xml:space="preserve">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 xml:space="preserve">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w:t>
      </w:r>
      <w:proofErr w:type="gramStart"/>
      <w:r w:rsidRPr="004C2F06">
        <w:rPr>
          <w:rFonts w:ascii="Times New Roman" w:hAnsi="Times New Roman" w:cs="Times New Roman"/>
        </w:rPr>
        <w:t>as a result of</w:t>
      </w:r>
      <w:proofErr w:type="gramEnd"/>
      <w:r w:rsidRPr="004C2F06">
        <w:rPr>
          <w:rFonts w:ascii="Times New Roman" w:hAnsi="Times New Roman" w:cs="Times New Roman"/>
        </w:rPr>
        <w:t xml:space="preserve">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xml:space="preserve">), the Census Linking Project (Abramitzky,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we 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w:t>
      </w:r>
      <w:proofErr w:type="gramStart"/>
      <w:r w:rsidRPr="004C2F06">
        <w:rPr>
          <w:rFonts w:ascii="Times New Roman" w:hAnsi="Times New Roman" w:cs="Times New Roman"/>
        </w:rPr>
        <w:t>general public</w:t>
      </w:r>
      <w:proofErr w:type="gramEnd"/>
      <w:r w:rsidRPr="004C2F06">
        <w:rPr>
          <w:rFonts w:ascii="Times New Roman" w:hAnsi="Times New Roman" w:cs="Times New Roman"/>
        </w:rPr>
        <w:t xml:space="preserve">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62FA69B0"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4.0 percentage point (p.p.) increase between 1930 and 1940 (a 26% increase) in the share of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 xml:space="preserve">The likelihood that a married woman worked as a teacher also increased by 17% between 1930 and 1940 in treated counties relative to control ones. Our estimates thus squarely reject the null hypothesis that policy changes aimed at prohibiting employer discrimination against married women had no effect on married women’s labor market </w:t>
      </w:r>
      <w:proofErr w:type="gramStart"/>
      <w:r w:rsidRPr="004C2F06">
        <w:rPr>
          <w:rFonts w:ascii="Times New Roman" w:hAnsi="Times New Roman" w:cs="Times New Roman"/>
        </w:rPr>
        <w:t>outcomes, and</w:t>
      </w:r>
      <w:proofErr w:type="gramEnd"/>
      <w:r w:rsidRPr="004C2F06">
        <w:rPr>
          <w:rFonts w:ascii="Times New Roman" w:hAnsi="Times New Roman" w:cs="Times New Roman"/>
        </w:rPr>
        <w:t xml:space="preserve">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w:t>
      </w:r>
      <w:r w:rsidRPr="004C2F06">
        <w:rPr>
          <w:rFonts w:ascii="Times New Roman" w:hAnsi="Times New Roman" w:cs="Times New Roman"/>
        </w:rPr>
        <w:lastRenderedPageBreak/>
        <w:t xml:space="preserve">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w:t>
      </w:r>
      <w:proofErr w:type="spellStart"/>
      <w:r w:rsidRPr="004C2F06">
        <w:rPr>
          <w:rFonts w:ascii="Times New Roman" w:hAnsi="Times New Roman" w:cs="Times New Roman"/>
        </w:rPr>
        <w:t>towomen</w:t>
      </w:r>
      <w:proofErr w:type="spellEnd"/>
      <w:r w:rsidRPr="004C2F06">
        <w:rPr>
          <w:rFonts w:ascii="Times New Roman" w:hAnsi="Times New Roman" w:cs="Times New Roman"/>
        </w:rPr>
        <w:t xml:space="preserve">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unmarried women from later becoming teachers. Instead, we find evidence that the laws led to unmarried women who were already teachers to switch into other occupations, without affecting their earnings as proxied by occupational scores. In addition, we show that the laws increased overall LFP among unmarried women who were already teachers, where the increase was entirely </w:t>
      </w:r>
      <w:r w:rsidRPr="004C2F06">
        <w:rPr>
          <w:rFonts w:ascii="Times New Roman" w:hAnsi="Times New Roman" w:cs="Times New Roman"/>
        </w:rPr>
        <w:lastRenderedPageBreak/>
        <w:t>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r w:rsidRPr="004C2F06">
        <w:rPr>
          <w:rFonts w:ascii="Times New Roman" w:hAnsi="Times New Roman" w:cs="Times New Roman"/>
          <w:color w:val="0000FF"/>
          <w:vertAlign w:val="superscript"/>
        </w:rPr>
        <w:footnoteReference w:id="6"/>
      </w:r>
    </w:p>
    <w:p w14:paraId="4BEDB19C" w14:textId="77777777"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 Our findings also serve as a cautionary tale: in the presence of gendered social attitudes, the costs of such policies may be borne by other women who are reshuffled to other occupations. However, in our setting, we find an overall positive effect of prohibiting marriage bars on white women’s LFP and earnings.</w:t>
      </w:r>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xml:space="preserve">). However, few papers study the factors that contributed to the initial rise pre-1950, which happened </w:t>
      </w:r>
      <w:proofErr w:type="gramStart"/>
      <w:r w:rsidRPr="004C2F06">
        <w:rPr>
          <w:rFonts w:ascii="Times New Roman" w:hAnsi="Times New Roman" w:cs="Times New Roman"/>
        </w:rPr>
        <w:t>in spite of</w:t>
      </w:r>
      <w:proofErr w:type="gramEnd"/>
      <w:r w:rsidRPr="004C2F06">
        <w:rPr>
          <w:rFonts w:ascii="Times New Roman" w:hAnsi="Times New Roman" w:cs="Times New Roman"/>
        </w:rPr>
        <w:t xml:space="preserve">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who documents the use of marriage bars in the early 1900s U.S. and explores employers’ economic justifications for using these discriminatory practices.</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Motivated by these findings, we study how the prohibition of marriage bars impacted married women’s LFP in the first half of the century. Our findings suggest that the prohibition of marriage bars had sizeable effects on married women’s LFP in the short run, </w:t>
      </w:r>
      <w:r w:rsidRPr="004C2F06">
        <w:rPr>
          <w:rFonts w:ascii="Times New Roman" w:hAnsi="Times New Roman" w:cs="Times New Roman"/>
        </w:rPr>
        <w:lastRenderedPageBreak/>
        <w:t>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17311268"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Our paper provides new evidence of another example of an anti-discrimination policy with unintended consequences: while prohibiting marriage bars led married women’s employment 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lastRenderedPageBreak/>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In practice, marriage bars were implemented in two ways: married women were either not hired due to their marital status (“hire bars”), or single working women who got married were fired or expected to quit upon marriage (“retain bars”). Employers practiced one or both forms of 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w:t>
      </w:r>
      <w:r w:rsidRPr="004C2F06">
        <w:rPr>
          <w:rFonts w:ascii="Times New Roman" w:hAnsi="Times New Roman" w:cs="Times New Roman"/>
        </w:rPr>
        <w:lastRenderedPageBreak/>
        <w:t xml:space="preserve">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it was believed that due to their household responsibilities, married women were less efficient workers than unmarried women and men (“the married women </w:t>
      </w:r>
      <w:proofErr w:type="gramStart"/>
      <w:r w:rsidRPr="004C2F06">
        <w:rPr>
          <w:rFonts w:ascii="Times New Roman" w:hAnsi="Times New Roman" w:cs="Times New Roman"/>
        </w:rPr>
        <w:t>lacks</w:t>
      </w:r>
      <w:proofErr w:type="gramEnd"/>
      <w:r w:rsidRPr="004C2F06">
        <w:rPr>
          <w:rFonts w:ascii="Times New Roman" w:hAnsi="Times New Roman" w:cs="Times New Roman"/>
        </w:rPr>
        <w:t xml:space="preserve">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xml:space="preserve">). Incidentally, teaching was a key example of an occupation that featured fixed salary schedules in </w:t>
      </w:r>
      <w:proofErr w:type="gramStart"/>
      <w:r w:rsidRPr="004C2F06">
        <w:rPr>
          <w:rFonts w:ascii="Times New Roman" w:hAnsi="Times New Roman" w:cs="Times New Roman"/>
        </w:rPr>
        <w:t>the majority of</w:t>
      </w:r>
      <w:proofErr w:type="gramEnd"/>
      <w:r w:rsidRPr="004C2F06">
        <w:rPr>
          <w:rFonts w:ascii="Times New Roman" w:hAnsi="Times New Roman" w:cs="Times New Roman"/>
        </w:rPr>
        <w:t xml:space="preserve">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w:t>
      </w:r>
      <w:proofErr w:type="gramStart"/>
      <w:r w:rsidRPr="004C2F06">
        <w:rPr>
          <w:rFonts w:ascii="Times New Roman" w:hAnsi="Times New Roman" w:cs="Times New Roman"/>
        </w:rPr>
        <w:t>offices in a survey</w:t>
      </w:r>
      <w:proofErr w:type="gramEnd"/>
      <w:r w:rsidRPr="004C2F06">
        <w:rPr>
          <w:rFonts w:ascii="Times New Roman" w:hAnsi="Times New Roman" w:cs="Times New Roman"/>
        </w:rPr>
        <w:t xml:space="preserve">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w:t>
      </w:r>
      <w:proofErr w:type="gramStart"/>
      <w:r w:rsidRPr="004C2F06">
        <w:rPr>
          <w:rFonts w:ascii="Times New Roman" w:hAnsi="Times New Roman" w:cs="Times New Roman"/>
        </w:rPr>
        <w:t>common, but</w:t>
      </w:r>
      <w:proofErr w:type="gramEnd"/>
      <w:r w:rsidRPr="004C2F06">
        <w:rPr>
          <w:rFonts w:ascii="Times New Roman" w:hAnsi="Times New Roman" w:cs="Times New Roman"/>
        </w:rPr>
        <w:t xml:space="preserve">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1951 (Goldin </w:t>
      </w:r>
      <w:r w:rsidRPr="004C2F06">
        <w:rPr>
          <w:rFonts w:ascii="Times New Roman" w:hAnsi="Times New Roman" w:cs="Times New Roman"/>
          <w:color w:val="0000FF"/>
        </w:rPr>
        <w:t>2021</w:t>
      </w:r>
      <w:r w:rsidRPr="004C2F06">
        <w:rPr>
          <w:rFonts w:ascii="Times New Roman" w:hAnsi="Times New Roman" w:cs="Times New Roman"/>
        </w:rPr>
        <w:t xml:space="preserve">). The surveys show that marriage bar use in schools increased over the course of the Great Depression, a trend that has been attributed to rising unemployment and scarcity of </w:t>
      </w:r>
      <w:r w:rsidRPr="004C2F06">
        <w:rPr>
          <w:rFonts w:ascii="Times New Roman" w:hAnsi="Times New Roman" w:cs="Times New Roman"/>
        </w:rPr>
        <w:lastRenderedPageBreak/>
        <w:t>jobs for men, then dropped significantly throughout the 1940s.</w:t>
      </w:r>
      <w:r w:rsidRPr="004C2F06">
        <w:rPr>
          <w:rFonts w:ascii="Times New Roman" w:hAnsi="Times New Roman" w:cs="Times New Roman"/>
          <w:color w:val="0000FF"/>
          <w:vertAlign w:val="superscript"/>
        </w:rPr>
        <w:footnoteReference w:id="9"/>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As such, marriage bar use in the US quickly declined and largely ended by the 1950s and 1960s.</w:t>
      </w:r>
      <w:r w:rsidRPr="004C2F06">
        <w:rPr>
          <w:rFonts w:ascii="Times New Roman" w:hAnsi="Times New Roman" w:cs="Times New Roman"/>
          <w:color w:val="0000FF"/>
          <w:vertAlign w:val="superscript"/>
        </w:rPr>
        <w:footnoteReference w:id="10"/>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 xml:space="preserve">Incidentally, rhetoric around the efficiency of married women workers also flipped during this </w:t>
      </w:r>
      <w:proofErr w:type="gramStart"/>
      <w:r w:rsidRPr="004C2F06">
        <w:rPr>
          <w:rFonts w:ascii="Times New Roman" w:hAnsi="Times New Roman" w:cs="Times New Roman"/>
        </w:rPr>
        <w:t>time period</w:t>
      </w:r>
      <w:proofErr w:type="gramEnd"/>
      <w:r w:rsidRPr="004C2F06">
        <w:rPr>
          <w:rFonts w:ascii="Times New Roman" w:hAnsi="Times New Roman" w:cs="Times New Roman"/>
        </w:rPr>
        <w:t>,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7A34499A"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women</w:t>
      </w:r>
      <w:r w:rsidR="00305FBB">
        <w:rPr>
          <w:rFonts w:ascii="Times New Roman" w:hAnsi="Times New Roman" w:cs="Times New Roman"/>
        </w:rPr>
        <w:t>-</w:t>
      </w:r>
      <w:r w:rsidRPr="004C2F06">
        <w:rPr>
          <w:rFonts w:ascii="Times New Roman" w:hAnsi="Times New Roman" w:cs="Times New Roman"/>
        </w:rPr>
        <w:t xml:space="preserve">dominated occupation and one of the few </w:t>
      </w:r>
      <w:proofErr w:type="gramStart"/>
      <w:r w:rsidRPr="004C2F06">
        <w:rPr>
          <w:rFonts w:ascii="Times New Roman" w:hAnsi="Times New Roman" w:cs="Times New Roman"/>
        </w:rPr>
        <w:t>socially-accepted</w:t>
      </w:r>
      <w:proofErr w:type="gramEnd"/>
      <w:r w:rsidRPr="004C2F06">
        <w:rPr>
          <w:rFonts w:ascii="Times New Roman" w:hAnsi="Times New Roman" w:cs="Times New Roman"/>
        </w:rPr>
        <w:t xml:space="preserve"> occupations for educated women at the time: in 1940, 31% of married women in the workforce with any college were teachers. </w:t>
      </w:r>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 xml:space="preserve">of marriage bars. However, unlike in other occupations, discriminatory hiring policies in teaching were contested nationwide in debates over tenure protection for teachers from the 1910s onward. </w:t>
      </w:r>
      <w:r w:rsidRPr="004C2F06">
        <w:rPr>
          <w:rFonts w:ascii="Times New Roman" w:hAnsi="Times New Roman" w:cs="Times New Roman"/>
        </w:rPr>
        <w:lastRenderedPageBreak/>
        <w:t xml:space="preserve">By 1922, districts in eleven states offered tenure to teachers with various legislative </w:t>
      </w:r>
      <w:proofErr w:type="gramStart"/>
      <w:r w:rsidRPr="004C2F06">
        <w:rPr>
          <w:rFonts w:ascii="Times New Roman" w:hAnsi="Times New Roman" w:cs="Times New Roman"/>
        </w:rPr>
        <w:t>limitations, but</w:t>
      </w:r>
      <w:proofErr w:type="gramEnd"/>
      <w:r w:rsidRPr="004C2F06">
        <w:rPr>
          <w:rFonts w:ascii="Times New Roman" w:hAnsi="Times New Roman" w:cs="Times New Roman"/>
        </w:rPr>
        <w:t xml:space="preserve">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although the tenure laws that protected teachers from being dismissed upon marriage became more common from 1920 to 1940, </w:t>
      </w:r>
      <w:proofErr w:type="gramStart"/>
      <w:r w:rsidRPr="004C2F06">
        <w:rPr>
          <w:rFonts w:ascii="Times New Roman" w:hAnsi="Times New Roman" w:cs="Times New Roman"/>
        </w:rPr>
        <w:t>the majority of</w:t>
      </w:r>
      <w:proofErr w:type="gramEnd"/>
      <w:r w:rsidRPr="004C2F06">
        <w:rPr>
          <w:rFonts w:ascii="Times New Roman" w:hAnsi="Times New Roman" w:cs="Times New Roman"/>
        </w:rPr>
        <w:t xml:space="preserve"> such laws were not statewide in their application. Repeated cross-sectional data shows that some districts hired substantially higher rates of married women than others, confirming that marriage bars were implemented locally.</w:t>
      </w:r>
    </w:p>
    <w:p w14:paraId="07EE299C" w14:textId="61F8AA7A"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xml:space="preserve">). The legislation in KY in 1938 was more specific to experienced teachers: House Bill No. 51 in the KY General Assembly included an act “to prohibit boards of education or school superintendents from adopting rules preventing marriage of any </w:t>
      </w:r>
      <w:proofErr w:type="gramStart"/>
      <w:r w:rsidRPr="004C2F06">
        <w:rPr>
          <w:rFonts w:ascii="Times New Roman" w:hAnsi="Times New Roman" w:cs="Times New Roman"/>
        </w:rPr>
        <w:t>school teacher</w:t>
      </w:r>
      <w:proofErr w:type="gramEnd"/>
      <w:r w:rsidRPr="004C2F06">
        <w:rPr>
          <w:rFonts w:ascii="Times New Roman" w:hAnsi="Times New Roman" w:cs="Times New Roman"/>
        </w:rPr>
        <w:t xml:space="preserve">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suggests that the laws may have been more salient to school districts that were wary of being sued </w:t>
      </w:r>
      <w:r w:rsidRPr="004C2F06">
        <w:rPr>
          <w:rFonts w:ascii="Times New Roman" w:hAnsi="Times New Roman" w:cs="Times New Roman"/>
        </w:rPr>
        <w:lastRenderedPageBreak/>
        <w:t>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proofErr w:type="gramStart"/>
      <w:r w:rsidRPr="004C2F06">
        <w:rPr>
          <w:rFonts w:ascii="Times New Roman" w:hAnsi="Times New Roman" w:cs="Times New Roman"/>
        </w:rPr>
        <w:t>.</w:t>
      </w:r>
      <w:r w:rsidRPr="004C2F06">
        <w:rPr>
          <w:rFonts w:ascii="Times New Roman" w:hAnsi="Times New Roman" w:cs="Times New Roman"/>
          <w:color w:val="0000FF"/>
          <w:vertAlign w:val="superscript"/>
        </w:rPr>
        <w:t>10</w:t>
      </w:r>
      <w:proofErr w:type="gramEnd"/>
      <w:r w:rsidRPr="004C2F06">
        <w:rPr>
          <w:rFonts w:ascii="Times New Roman" w:hAnsi="Times New Roman" w:cs="Times New Roman"/>
          <w:color w:val="0000FF"/>
          <w:vertAlign w:val="superscript"/>
        </w:rPr>
        <w:t xml:space="preserve">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7552FF19" w14:textId="635303C7"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years of U.S. Censuses from 1910 to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xml:space="preserve">), the Census Linking Project (Abramitzky,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To retain as many observations as possible, we only link between adjacent Censuses. We also drop the few linkages for which the sex or race is different between Censuses, or for which the implied year of birth varies by more than five years. Linkage rates are provided in Online Appendix E.</w:t>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11F370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76755670" w:rsidR="008E5084" w:rsidRPr="008E5084" w:rsidRDefault="00000000" w:rsidP="004E2DB5">
      <w:pPr>
        <w:pStyle w:val="Heading1"/>
        <w:spacing w:after="358" w:line="420" w:lineRule="auto"/>
        <w:ind w:left="0" w:right="14" w:firstLine="453"/>
        <w:rPr>
          <w:rFonts w:ascii="Times New Roman" w:hAnsi="Times New Roman" w:cs="Times New Roman"/>
          <w:b w:val="0"/>
          <w:bCs/>
          <w:sz w:val="24"/>
        </w:rPr>
      </w:pPr>
      <w:r w:rsidRPr="008E5084">
        <w:rPr>
          <w:rFonts w:ascii="Times New Roman" w:hAnsi="Times New Roman" w:cs="Times New Roman"/>
          <w:b w:val="0"/>
          <w:bCs/>
          <w:sz w:val="24"/>
        </w:rPr>
        <w:lastRenderedPageBreak/>
        <w:t>Our main analysis sample includes all 220 counties in treated states and all 320 counties in the neighboring Southern states. In parts of our analysis where we examine county</w:t>
      </w:r>
      <w:r w:rsidR="00600F31">
        <w:rPr>
          <w:rFonts w:ascii="Times New Roman" w:hAnsi="Times New Roman" w:cs="Times New Roman"/>
          <w:b w:val="0"/>
          <w:bCs/>
          <w:sz w:val="24"/>
        </w:rPr>
        <w:t>-</w:t>
      </w:r>
      <w:r w:rsidRPr="008E5084">
        <w:rPr>
          <w:rFonts w:ascii="Times New Roman" w:hAnsi="Times New Roman" w:cs="Times New Roman"/>
          <w:b w:val="0"/>
          <w:bCs/>
          <w:sz w:val="24"/>
        </w:rPr>
        <w:t>level outcomes (rather than individual-level outcomes), we restrict to a balanced sample consisting of 217 treated counties and 310 neighboring Southern control counties.</w:t>
      </w:r>
      <w:r w:rsidRPr="008E5084">
        <w:rPr>
          <w:rFonts w:ascii="Times New Roman" w:hAnsi="Times New Roman" w:cs="Times New Roman"/>
          <w:b w:val="0"/>
          <w:bCs/>
          <w:color w:val="0000FF"/>
          <w:sz w:val="24"/>
          <w:vertAlign w:val="superscript"/>
        </w:rPr>
        <w:footnoteReference w:id="13"/>
      </w:r>
      <w:r w:rsidRPr="008E5084">
        <w:rPr>
          <w:rFonts w:ascii="Times New Roman" w:hAnsi="Times New Roman" w:cs="Times New Roman"/>
          <w:b w:val="0"/>
          <w:bCs/>
          <w:color w:val="0000FF"/>
          <w:sz w:val="24"/>
          <w:vertAlign w:val="superscript"/>
        </w:rPr>
        <w:t xml:space="preserve"> </w:t>
      </w:r>
      <w:r w:rsidRPr="008E5084">
        <w:rPr>
          <w:rFonts w:ascii="Times New Roman" w:hAnsi="Times New Roman" w:cs="Times New Roman"/>
          <w:b w:val="0"/>
          <w:bCs/>
          <w:sz w:val="24"/>
        </w:rPr>
        <w:t>We make two further restrictions for analyses by race: when we examine county-level outcomes for white teachers, we exclude one control county with fewer than ten white teachers in 1930 or 1940; similarly, when we examine county-level outcomes for Black teachers, we exclude 109 treated and 129 control counties with fewer than ten Black teachers in 1930 or 1940.</w:t>
      </w:r>
      <w:r w:rsidR="0057478F" w:rsidRPr="008E5084">
        <w:rPr>
          <w:rFonts w:ascii="Times New Roman" w:hAnsi="Times New Roman" w:cs="Times New Roman"/>
          <w:b w:val="0"/>
          <w:bCs/>
          <w:sz w:val="24"/>
        </w:rPr>
        <w:t xml:space="preserve"> </w:t>
      </w:r>
      <w:r w:rsidR="0057478F" w:rsidRPr="008E5084">
        <w:rPr>
          <w:rFonts w:ascii="Times New Roman" w:hAnsi="Times New Roman" w:cs="Times New Roman"/>
          <w:b w:val="0"/>
          <w:bCs/>
          <w:sz w:val="24"/>
        </w:rPr>
        <w:t>Our results are robust to alternate sample specifications</w:t>
      </w:r>
      <w:r w:rsidR="0057478F" w:rsidRPr="008E5084">
        <w:rPr>
          <w:rFonts w:ascii="Times New Roman" w:hAnsi="Times New Roman" w:cs="Times New Roman"/>
          <w:b w:val="0"/>
          <w:bCs/>
          <w:sz w:val="24"/>
        </w:rPr>
        <w:t>.</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w:t>
      </w:r>
      <w:proofErr w:type="gramStart"/>
      <w:r w:rsidRPr="004C2F06">
        <w:rPr>
          <w:rFonts w:ascii="Times New Roman" w:hAnsi="Times New Roman" w:cs="Times New Roman"/>
        </w:rPr>
        <w:t xml:space="preserve">unclear </w:t>
      </w:r>
      <w:r w:rsidRPr="004C2F06">
        <w:rPr>
          <w:rFonts w:ascii="Times New Roman" w:hAnsi="Times New Roman" w:cs="Times New Roman"/>
          <w:i/>
        </w:rPr>
        <w:t>a priori</w:t>
      </w:r>
      <w:proofErr w:type="gramEnd"/>
      <w:r w:rsidRPr="004C2F06">
        <w:rPr>
          <w:rFonts w:ascii="Times New Roman" w:hAnsi="Times New Roman" w:cs="Times New Roman"/>
          <w:i/>
        </w:rPr>
        <w:t xml:space="preserve">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t>
      </w:r>
      <w:r w:rsidRPr="004C2F06">
        <w:rPr>
          <w:rFonts w:ascii="Times New Roman" w:hAnsi="Times New Roman" w:cs="Times New Roman"/>
        </w:rPr>
        <w:lastRenderedPageBreak/>
        <w:t>wide policy changes on the composition of the teacher workforce and on men’s and women’s employment.</w:t>
      </w:r>
      <w:r w:rsidRPr="004C2F06">
        <w:rPr>
          <w:rFonts w:ascii="Times New Roman" w:hAnsi="Times New Roman" w:cs="Times New Roman"/>
          <w:color w:val="0000FF"/>
          <w:vertAlign w:val="superscript"/>
        </w:rPr>
        <w:footnoteReference w:id="14"/>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5"/>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level outcomes (such as the likelihood that an unmarried woman in 1930 becomes a married woman 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3252F187"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w:proofErr w:type="spellStart"/>
      <w:r w:rsidRPr="004C2F06">
        <w:rPr>
          <w:rFonts w:ascii="Times New Roman" w:hAnsi="Times New Roman" w:cs="Times New Roman"/>
          <w:i/>
        </w:rPr>
        <w:t>y</w:t>
      </w:r>
      <w:r w:rsidRPr="004C2F06">
        <w:rPr>
          <w:rFonts w:ascii="Times New Roman" w:hAnsi="Times New Roman" w:cs="Times New Roman"/>
          <w:i/>
          <w:vertAlign w:val="subscript"/>
        </w:rPr>
        <w:t>ct</w:t>
      </w:r>
      <w:proofErr w:type="spellEnd"/>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 of interest is</w:t>
      </w:r>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oMath>
      <w:r w:rsidRPr="004C2F06">
        <w:rPr>
          <w:rFonts w:ascii="Times New Roman" w:hAnsi="Times New Roman" w:cs="Times New Roman"/>
        </w:rPr>
        <w:t xml:space="preserve">which, under certain assumptions, captures the effect of being in a treated state in year </w:t>
      </w:r>
      <w:r w:rsidRPr="004C2F06">
        <w:rPr>
          <w:rFonts w:ascii="Times New Roman" w:hAnsi="Times New Roman" w:cs="Times New Roman"/>
          <w:i/>
        </w:rPr>
        <w:t xml:space="preserve">k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7"/>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lastRenderedPageBreak/>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indexes individual and the notation follow from the county-level specification above. As above, we include county and year fixed effects and cluster standard errors at the county level. We 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follow prior work (Abramitzky,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in using occupational scores, which 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 xml:space="preserve">In this section, we present three pieces of evidence that suggest the parallel trends assumption reasonably holds in our setting. We then discuss how the assumption is affected by the Great </w:t>
      </w:r>
      <w:r w:rsidRPr="004C2F06">
        <w:rPr>
          <w:rFonts w:ascii="Times New Roman" w:hAnsi="Times New Roman" w:cs="Times New Roman"/>
        </w:rPr>
        <w:lastRenderedPageBreak/>
        <w:t>Depression and New Deal, and how we approach the biases these economic and policy changes may introduce in our analysis.</w:t>
      </w:r>
    </w:p>
    <w:p w14:paraId="0C86FE2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 xml:space="preserve">First, we find that there are no differential pre-trends in our outcomes of interest between the treated and control counties until 1930. While a lack of </w:t>
      </w:r>
      <w:proofErr w:type="spellStart"/>
      <w:r w:rsidRPr="004C2F06">
        <w:rPr>
          <w:rFonts w:ascii="Times New Roman" w:hAnsi="Times New Roman" w:cs="Times New Roman"/>
        </w:rPr>
        <w:t>pretrends</w:t>
      </w:r>
      <w:proofErr w:type="spellEnd"/>
      <w:r w:rsidRPr="004C2F06">
        <w:rPr>
          <w:rFonts w:ascii="Times New Roman" w:hAnsi="Times New Roman" w:cs="Times New Roman"/>
        </w:rPr>
        <w:t xml:space="preserve"> is neither necessary nor sufficient evidence that the parallel trends assumption holds, it is re-assuring for our 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4C2F06">
        <w:rPr>
          <w:rFonts w:ascii="Times New Roman" w:hAnsi="Times New Roman" w:cs="Times New Roman"/>
        </w:rPr>
        <w:t>s.e.</w:t>
      </w:r>
      <w:proofErr w:type="spellEnd"/>
      <w:r w:rsidRPr="004C2F06">
        <w:rPr>
          <w:rFonts w:ascii="Times New Roman" w:hAnsi="Times New Roman" w:cs="Times New Roman"/>
        </w:rPr>
        <w:t xml:space="preserve"> 4.9%) compared to respondents in TN and WV (27.9%, </w:t>
      </w:r>
      <w:proofErr w:type="spellStart"/>
      <w:r w:rsidRPr="004C2F06">
        <w:rPr>
          <w:rFonts w:ascii="Times New Roman" w:hAnsi="Times New Roman" w:cs="Times New Roman"/>
        </w:rPr>
        <w:t>s.e.</w:t>
      </w:r>
      <w:proofErr w:type="spellEnd"/>
      <w:r w:rsidRPr="004C2F06">
        <w:rPr>
          <w:rFonts w:ascii="Times New Roman" w:hAnsi="Times New Roman" w:cs="Times New Roman"/>
        </w:rPr>
        <w:t xml:space="preserve"> 5.9%), but that the gap is statistically indistinguishable from zero at the 90% confidence level (t-statistic: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 xml:space="preserve">Third, we find suggestive qualitative evidence that the prohibitions were not driven by state-specific trends in sentiments towards married </w:t>
      </w:r>
      <w:proofErr w:type="gramStart"/>
      <w:r w:rsidRPr="004C2F06">
        <w:rPr>
          <w:rFonts w:ascii="Times New Roman" w:hAnsi="Times New Roman" w:cs="Times New Roman"/>
        </w:rPr>
        <w:t>women teachers, but</w:t>
      </w:r>
      <w:proofErr w:type="gramEnd"/>
      <w:r w:rsidRPr="004C2F06">
        <w:rPr>
          <w:rFonts w:ascii="Times New Roman" w:hAnsi="Times New Roman" w:cs="Times New Roman"/>
        </w:rPr>
        <w:t xml:space="preserve">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w:t>
      </w:r>
      <w:r w:rsidRPr="004C2F06">
        <w:rPr>
          <w:rFonts w:ascii="Times New Roman" w:hAnsi="Times New Roman" w:cs="Times New Roman"/>
        </w:rPr>
        <w:lastRenderedPageBreak/>
        <w:t>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w:t>
      </w:r>
      <w:proofErr w:type="gramStart"/>
      <w:r w:rsidRPr="004C2F06">
        <w:rPr>
          <w:rFonts w:ascii="Times New Roman" w:hAnsi="Times New Roman" w:cs="Times New Roman"/>
        </w:rPr>
        <w:t>a Mrs</w:t>
      </w:r>
      <w:proofErr w:type="gramEnd"/>
      <w:r w:rsidRPr="004C2F06">
        <w:rPr>
          <w:rFonts w:ascii="Times New Roman" w:hAnsi="Times New Roman" w:cs="Times New Roman"/>
        </w:rPr>
        <w:t>. Emma Lee White introduced a similar bill to the 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Despite the many economic and policy changes that took place between 1910 and 1950 that could have affected women’s marriage and employment outcomes, many of these changes did not differentially </w:t>
      </w:r>
      <w:proofErr w:type="gramStart"/>
      <w:r w:rsidRPr="004C2F06">
        <w:rPr>
          <w:rFonts w:ascii="Times New Roman" w:hAnsi="Times New Roman" w:cs="Times New Roman"/>
        </w:rPr>
        <w:t>impact</w:t>
      </w:r>
      <w:proofErr w:type="gramEnd"/>
      <w:r w:rsidRPr="004C2F06">
        <w:rPr>
          <w:rFonts w:ascii="Times New Roman" w:hAnsi="Times New Roman" w:cs="Times New Roman"/>
        </w:rPr>
        <w:t xml:space="preserve">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However, we do find two notable differences in how our treated and control states were affected by the Great Depression and New Deal. Here, we reference prior work on the effects of the Great Depression to assess the potential biases these differences may cause in our </w:t>
      </w:r>
      <w:proofErr w:type="gramStart"/>
      <w:r w:rsidRPr="004C2F06">
        <w:rPr>
          <w:rFonts w:ascii="Times New Roman" w:hAnsi="Times New Roman" w:cs="Times New Roman"/>
        </w:rPr>
        <w:t>design, and</w:t>
      </w:r>
      <w:proofErr w:type="gramEnd"/>
      <w:r w:rsidRPr="004C2F06">
        <w:rPr>
          <w:rFonts w:ascii="Times New Roman" w:hAnsi="Times New Roman" w:cs="Times New Roman"/>
        </w:rPr>
        <w:t xml:space="preserve">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first difference is that the average treated county experienced a more severe economic downturn and a more muted recovery than the average control county during the Great </w:t>
      </w:r>
      <w:r w:rsidRPr="004C2F06">
        <w:rPr>
          <w:rFonts w:ascii="Times New Roman" w:hAnsi="Times New Roman" w:cs="Times New Roman"/>
        </w:rPr>
        <w:lastRenderedPageBreak/>
        <w:t>Depression.</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t>
      </w:r>
      <w:proofErr w:type="gramStart"/>
      <w:r w:rsidRPr="004C2F06">
        <w:rPr>
          <w:rFonts w:ascii="Times New Roman" w:hAnsi="Times New Roman" w:cs="Times New Roman"/>
        </w:rPr>
        <w:t>with the exception of</w:t>
      </w:r>
      <w:proofErr w:type="gramEnd"/>
      <w:r w:rsidRPr="004C2F06">
        <w:rPr>
          <w:rFonts w:ascii="Times New Roman" w:hAnsi="Times New Roman" w:cs="Times New Roman"/>
        </w:rPr>
        <w:t xml:space="preserve">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2"/>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 xml:space="preserve">likelihood of treated women getting married or teaching in treated </w:t>
      </w:r>
      <w:proofErr w:type="gramStart"/>
      <w:r w:rsidRPr="004C2F06">
        <w:rPr>
          <w:rFonts w:ascii="Times New Roman" w:hAnsi="Times New Roman" w:cs="Times New Roman"/>
        </w:rPr>
        <w:t>states, or</w:t>
      </w:r>
      <w:proofErr w:type="gramEnd"/>
      <w:r w:rsidRPr="004C2F06">
        <w:rPr>
          <w:rFonts w:ascii="Times New Roman" w:hAnsi="Times New Roman" w:cs="Times New Roman"/>
        </w:rPr>
        <w:t xml:space="preserve">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w:t>
      </w:r>
      <w:proofErr w:type="gramStart"/>
      <w:r w:rsidRPr="004C2F06">
        <w:rPr>
          <w:rFonts w:ascii="Times New Roman" w:hAnsi="Times New Roman" w:cs="Times New Roman"/>
        </w:rPr>
        <w:t>for</w:t>
      </w:r>
      <w:proofErr w:type="gramEnd"/>
      <w:r w:rsidRPr="004C2F06">
        <w:rPr>
          <w:rFonts w:ascii="Times New Roman" w:hAnsi="Times New Roman" w:cs="Times New Roman"/>
        </w:rPr>
        <w:t xml:space="preserve">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w:t>
      </w:r>
      <w:proofErr w:type="gramStart"/>
      <w:r w:rsidRPr="004C2F06">
        <w:rPr>
          <w:rFonts w:ascii="Times New Roman" w:hAnsi="Times New Roman" w:cs="Times New Roman"/>
        </w:rPr>
        <w:t>A large number of</w:t>
      </w:r>
      <w:proofErr w:type="gramEnd"/>
      <w:r w:rsidRPr="004C2F06">
        <w:rPr>
          <w:rFonts w:ascii="Times New Roman" w:hAnsi="Times New Roman" w:cs="Times New Roman"/>
        </w:rPr>
        <w:t xml:space="preserve"> control counties in TN, but only a small number of treated counties, 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xml:space="preserve">). Combined with the </w:t>
      </w:r>
      <w:proofErr w:type="gramStart"/>
      <w:r w:rsidRPr="004C2F06">
        <w:rPr>
          <w:rFonts w:ascii="Times New Roman" w:hAnsi="Times New Roman" w:cs="Times New Roman"/>
        </w:rPr>
        <w:t>aforementioned studies</w:t>
      </w:r>
      <w:proofErr w:type="gramEnd"/>
      <w:r w:rsidRPr="004C2F06">
        <w:rPr>
          <w:rFonts w:ascii="Times New Roman" w:hAnsi="Times New Roman" w:cs="Times New Roman"/>
        </w:rPr>
        <w:t xml:space="preserve">,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w:t>
      </w:r>
      <w:proofErr w:type="gramStart"/>
      <w:r w:rsidRPr="004C2F06">
        <w:rPr>
          <w:rFonts w:ascii="Times New Roman" w:hAnsi="Times New Roman" w:cs="Times New Roman"/>
        </w:rPr>
        <w:t>robustness</w:t>
      </w:r>
      <w:proofErr w:type="gramEnd"/>
      <w:r w:rsidRPr="004C2F06">
        <w:rPr>
          <w:rFonts w:ascii="Times New Roman" w:hAnsi="Times New Roman" w:cs="Times New Roman"/>
        </w:rPr>
        <w:t xml:space="preserve">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 xml:space="preserve">The Effects of Prohibiting Marriage Bars </w:t>
      </w:r>
      <w:proofErr w:type="gramStart"/>
      <w:r w:rsidRPr="004C2F06">
        <w:rPr>
          <w:rFonts w:ascii="Times New Roman" w:hAnsi="Times New Roman" w:cs="Times New Roman"/>
        </w:rPr>
        <w:t>in</w:t>
      </w:r>
      <w:proofErr w:type="gramEnd"/>
      <w:r w:rsidRPr="004C2F06">
        <w:rPr>
          <w:rFonts w:ascii="Times New Roman" w:hAnsi="Times New Roman" w:cs="Times New Roman"/>
        </w:rPr>
        <w:t xml:space="preserve">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w:t>
      </w:r>
      <w:proofErr w:type="gramStart"/>
      <w:r w:rsidRPr="004C2F06">
        <w:rPr>
          <w:rFonts w:ascii="Times New Roman" w:hAnsi="Times New Roman" w:cs="Times New Roman"/>
        </w:rPr>
        <w:t>time period</w:t>
      </w:r>
      <w:proofErr w:type="gramEnd"/>
      <w:r w:rsidRPr="004C2F06">
        <w:rPr>
          <w:rFonts w:ascii="Times New Roman" w:hAnsi="Times New Roman" w:cs="Times New Roman"/>
        </w:rPr>
        <w:t xml:space="preserve">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One might be concerned that schools responded to the prohibitions by changing the margin on which they discriminated against married women: for example, by letting go of women </w:t>
      </w:r>
      <w:proofErr w:type="gramStart"/>
      <w:r w:rsidRPr="004C2F06">
        <w:rPr>
          <w:rFonts w:ascii="Times New Roman" w:hAnsi="Times New Roman" w:cs="Times New Roman"/>
        </w:rPr>
        <w:t>if and when</w:t>
      </w:r>
      <w:proofErr w:type="gramEnd"/>
      <w:r w:rsidRPr="004C2F06">
        <w:rPr>
          <w:rFonts w:ascii="Times New Roman" w:hAnsi="Times New Roman" w:cs="Times New Roman"/>
        </w:rPr>
        <w:t xml:space="preserve">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 xml:space="preserve">Notably, the effect of the prohibitions on married women’s participation in teaching in treated states was relatively short-lived. By 1950, the gap between treated and control counties in the share </w:t>
      </w:r>
      <w:r w:rsidRPr="004C2F06">
        <w:rPr>
          <w:rFonts w:ascii="Times New Roman" w:hAnsi="Times New Roman" w:cs="Times New Roman"/>
        </w:rPr>
        <w:lastRenderedPageBreak/>
        <w:t>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What are the mechanisms driving our main effect? Did the prohibitions pull married women into the labor force (an ‘extensive margin’ effect), or did the prohibitions only affect women who would 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4"/>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w:t>
      </w:r>
      <w:r w:rsidRPr="004C2F06">
        <w:rPr>
          <w:rFonts w:ascii="Times New Roman" w:hAnsi="Times New Roman" w:cs="Times New Roman"/>
        </w:rPr>
        <w:lastRenderedPageBreak/>
        <w:t xml:space="preserve">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5"/>
      </w:r>
    </w:p>
    <w:p w14:paraId="6E0C573C" w14:textId="77777777" w:rsidR="003C25C8" w:rsidRPr="004C2F06" w:rsidRDefault="00000000" w:rsidP="004E2DB5">
      <w:pPr>
        <w:spacing w:line="420" w:lineRule="auto"/>
        <w:ind w:left="-15" w:firstLine="468"/>
        <w:rPr>
          <w:rFonts w:ascii="Times New Roman" w:hAnsi="Times New Roman" w:cs="Times New Roman"/>
        </w:rPr>
      </w:pPr>
      <w:proofErr w:type="gramStart"/>
      <w:r w:rsidRPr="004C2F06">
        <w:rPr>
          <w:rFonts w:ascii="Times New Roman" w:hAnsi="Times New Roman" w:cs="Times New Roman"/>
        </w:rPr>
        <w:t>Next</w:t>
      </w:r>
      <w:proofErr w:type="gramEnd"/>
      <w:r w:rsidRPr="004C2F06">
        <w:rPr>
          <w:rFonts w:ascii="Times New Roman" w:hAnsi="Times New Roman" w:cs="Times New Roman"/>
        </w:rPr>
        <w:t xml:space="preserve"> we examine the effects for married women who were not in the labor force prior to the prohibitions. Results are shown </w:t>
      </w:r>
      <w:proofErr w:type="gramStart"/>
      <w:r w:rsidRPr="004C2F06">
        <w:rPr>
          <w:rFonts w:ascii="Times New Roman" w:hAnsi="Times New Roman" w:cs="Times New Roman"/>
        </w:rPr>
        <w:t>in</w:t>
      </w:r>
      <w:proofErr w:type="gramEnd"/>
      <w:r w:rsidRPr="004C2F06">
        <w:rPr>
          <w:rFonts w:ascii="Times New Roman" w:hAnsi="Times New Roman" w:cs="Times New Roman"/>
        </w:rPr>
        <w:t xml:space="preserve"> Panel 2. </w:t>
      </w:r>
      <w:proofErr w:type="gramStart"/>
      <w:r w:rsidRPr="004C2F06">
        <w:rPr>
          <w:rFonts w:ascii="Times New Roman" w:hAnsi="Times New Roman" w:cs="Times New Roman"/>
        </w:rPr>
        <w:t>The majority of</w:t>
      </w:r>
      <w:proofErr w:type="gramEnd"/>
      <w:r w:rsidRPr="004C2F06">
        <w:rPr>
          <w:rFonts w:ascii="Times New Roman" w:hAnsi="Times New Roman" w:cs="Times New Roman"/>
        </w:rPr>
        <w:t xml:space="preserve">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 xml:space="preserve">Interestingly, Column (3) seems to suggest that the prohibitions weakly increased the likelihood that married women worked in non-teaching jobs as well. The magnitude of the effect </w:t>
      </w:r>
      <w:r w:rsidRPr="004C2F06">
        <w:rPr>
          <w:rFonts w:ascii="Times New Roman" w:hAnsi="Times New Roman" w:cs="Times New Roman"/>
        </w:rPr>
        <w:lastRenderedPageBreak/>
        <w:t>is small relative to the other estimates (a 10 to 12% increase</w:t>
      </w:r>
      <w:proofErr w:type="gramStart"/>
      <w:r w:rsidRPr="004C2F06">
        <w:rPr>
          <w:rFonts w:ascii="Times New Roman" w:hAnsi="Times New Roman" w:cs="Times New Roman"/>
        </w:rPr>
        <w:t>), and</w:t>
      </w:r>
      <w:proofErr w:type="gramEnd"/>
      <w:r w:rsidRPr="004C2F06">
        <w:rPr>
          <w:rFonts w:ascii="Times New Roman" w:hAnsi="Times New Roman" w:cs="Times New Roman"/>
        </w:rPr>
        <w:t xml:space="preserve">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w:t>
      </w:r>
      <w:proofErr w:type="gramStart"/>
      <w:r w:rsidRPr="004C2F06">
        <w:rPr>
          <w:rFonts w:ascii="Times New Roman" w:hAnsi="Times New Roman" w:cs="Times New Roman"/>
        </w:rPr>
        <w:t>controlling</w:t>
      </w:r>
      <w:proofErr w:type="gramEnd"/>
      <w:r w:rsidRPr="004C2F06">
        <w:rPr>
          <w:rFonts w:ascii="Times New Roman" w:hAnsi="Times New Roman" w:cs="Times New Roman"/>
        </w:rPr>
        <w:t xml:space="preserve">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6"/>
      </w: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women teachers. We </w:t>
      </w:r>
      <w:proofErr w:type="gramStart"/>
      <w:r w:rsidRPr="004C2F06">
        <w:rPr>
          <w:rFonts w:ascii="Times New Roman" w:hAnsi="Times New Roman" w:cs="Times New Roman"/>
        </w:rPr>
        <w:t>are able to</w:t>
      </w:r>
      <w:proofErr w:type="gramEnd"/>
      <w:r w:rsidRPr="004C2F06">
        <w:rPr>
          <w:rFonts w:ascii="Times New Roman" w:hAnsi="Times New Roman" w:cs="Times New Roman"/>
        </w:rPr>
        <w:t xml:space="preserve">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lastRenderedPageBreak/>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xml:space="preserve">,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w:t>
      </w:r>
      <w:proofErr w:type="gramStart"/>
      <w:r w:rsidRPr="004C2F06">
        <w:rPr>
          <w:rFonts w:ascii="Times New Roman" w:hAnsi="Times New Roman" w:cs="Times New Roman"/>
        </w:rPr>
        <w:t>occupations, but</w:t>
      </w:r>
      <w:proofErr w:type="gramEnd"/>
      <w:r w:rsidRPr="004C2F06">
        <w:rPr>
          <w:rFonts w:ascii="Times New Roman" w:hAnsi="Times New Roman" w:cs="Times New Roman"/>
        </w:rPr>
        <w:t xml:space="preserve"> did not push them out of the labor force all together.</w:t>
      </w:r>
    </w:p>
    <w:p w14:paraId="6C348094" w14:textId="77777777"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increased occupational scores and labor force participation on average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w:t>
      </w:r>
      <w:proofErr w:type="spellStart"/>
      <w:r w:rsidRPr="004C2F06">
        <w:rPr>
          <w:rFonts w:ascii="Times New Roman" w:hAnsi="Times New Roman" w:cs="Times New Roman"/>
        </w:rPr>
        <w:t>to</w:t>
      </w:r>
      <w:proofErr w:type="spellEnd"/>
      <w:r w:rsidRPr="004C2F06">
        <w:rPr>
          <w:rFonts w:ascii="Times New Roman" w:hAnsi="Times New Roman" w:cs="Times New Roman"/>
        </w:rPr>
        <w:t xml:space="preserve"> occupations that paid similarly to teaching. Similarly, although the prohibitions increased movement out of state on average across all incumbent unmarried women teachers (Column 6), we find that this difference is almost entirely </w:t>
      </w:r>
      <w:r w:rsidRPr="004C2F06">
        <w:rPr>
          <w:rFonts w:ascii="Times New Roman" w:hAnsi="Times New Roman" w:cs="Times New Roman"/>
        </w:rPr>
        <w:lastRenderedPageBreak/>
        <w:t>driven by those who remained unmarried (Column 7). These results are consistent with incumbent teachers (</w:t>
      </w:r>
      <w:proofErr w:type="gramStart"/>
      <w:r w:rsidRPr="004C2F06">
        <w:rPr>
          <w:rFonts w:ascii="Times New Roman" w:hAnsi="Times New Roman" w:cs="Times New Roman"/>
        </w:rPr>
        <w:t>in particular unmarried</w:t>
      </w:r>
      <w:proofErr w:type="gramEnd"/>
      <w:r w:rsidRPr="004C2F06">
        <w:rPr>
          <w:rFonts w:ascii="Times New Roman" w:hAnsi="Times New Roman" w:cs="Times New Roman"/>
        </w:rPr>
        <w:t xml:space="preserve">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7"/>
      </w:r>
    </w:p>
    <w:p w14:paraId="3535950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Finally, we detect no effect of the prohibitions on the overall LFP of women, as shown in Online Appendix Table B8. However, this result is unsurprising, given that the prohibitions only targeted teaching, and—despite teaching being an important occupation for women—teachers comprised only a small share of all women (2.2% of working-age women in 1930).</w:t>
      </w:r>
    </w:p>
    <w:p w14:paraId="63A29FFB"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 xml:space="preserve">Taken together, our results suggest that the prohibitions increased women’s LFP and weakly increased women’s earnings, albeit only in the occupation that the prohibitions targeted. Unmarried women teachers who stayed unmarried maintained the same rate of LFP, either in teaching or in jobs that paid similarly to teaching (Online Appendix Table B5, Columns 2 and 4). However, unmarried women teachers who got married became significantly more likely to stay in the labor </w:t>
      </w:r>
      <w:proofErr w:type="gramStart"/>
      <w:r w:rsidRPr="004C2F06">
        <w:rPr>
          <w:rFonts w:ascii="Times New Roman" w:hAnsi="Times New Roman" w:cs="Times New Roman"/>
        </w:rPr>
        <w:t>force, and</w:t>
      </w:r>
      <w:proofErr w:type="gramEnd"/>
      <w:r w:rsidRPr="004C2F06">
        <w:rPr>
          <w:rFonts w:ascii="Times New Roman" w:hAnsi="Times New Roman" w:cs="Times New Roman"/>
        </w:rPr>
        <w:t xml:space="preserve"> thus earned significantly more than they would have otherwise (Online Appendix Table B5, Columns 3 and 5).</w:t>
      </w: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 xml:space="preserve">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w:t>
      </w:r>
      <w:r w:rsidRPr="004C2F06">
        <w:rPr>
          <w:rFonts w:ascii="Times New Roman" w:hAnsi="Times New Roman" w:cs="Times New Roman"/>
        </w:rPr>
        <w:lastRenderedPageBreak/>
        <w:t>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w:t>
      </w:r>
      <w:proofErr w:type="gramStart"/>
      <w:r w:rsidRPr="004C2F06">
        <w:rPr>
          <w:rFonts w:ascii="Times New Roman" w:hAnsi="Times New Roman" w:cs="Times New Roman"/>
          <w:b/>
        </w:rPr>
        <w:t>placebo</w:t>
      </w:r>
      <w:proofErr w:type="gramEnd"/>
      <w:r w:rsidRPr="004C2F06">
        <w:rPr>
          <w:rFonts w:ascii="Times New Roman" w:hAnsi="Times New Roman" w:cs="Times New Roman"/>
          <w:b/>
        </w:rPr>
        <w:t xml:space="preserve">.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 xml:space="preserve">We address this concern in Online Appendix C by evaluating whether our results are sensitive to using alternate control groups. In our first approach, we restrict our county sample to only include ‘border’ counties, which are plausibly even more </w:t>
      </w:r>
      <w:proofErr w:type="gramStart"/>
      <w:r w:rsidRPr="004C2F06">
        <w:rPr>
          <w:rFonts w:ascii="Times New Roman" w:hAnsi="Times New Roman" w:cs="Times New Roman"/>
        </w:rPr>
        <w:t>similar to</w:t>
      </w:r>
      <w:proofErr w:type="gramEnd"/>
      <w:r w:rsidRPr="004C2F06">
        <w:rPr>
          <w:rFonts w:ascii="Times New Roman" w:hAnsi="Times New Roman" w:cs="Times New Roman"/>
        </w:rPr>
        <w:t xml:space="preserve"> each other than neighboring </w:t>
      </w:r>
      <w:r w:rsidRPr="004C2F06">
        <w:rPr>
          <w:rFonts w:ascii="Times New Roman" w:hAnsi="Times New Roman" w:cs="Times New Roman"/>
        </w:rPr>
        <w:lastRenderedPageBreak/>
        <w:t xml:space="preserve">states are over time. In our second approach, we keep all treated counties in our analysis but choose </w:t>
      </w:r>
      <w:proofErr w:type="gramStart"/>
      <w:r w:rsidRPr="004C2F06">
        <w:rPr>
          <w:rFonts w:ascii="Times New Roman" w:hAnsi="Times New Roman" w:cs="Times New Roman"/>
        </w:rPr>
        <w:t>or</w:t>
      </w:r>
      <w:proofErr w:type="gramEnd"/>
      <w:r w:rsidRPr="004C2F06">
        <w:rPr>
          <w:rFonts w:ascii="Times New Roman" w:hAnsi="Times New Roman" w:cs="Times New Roman"/>
        </w:rPr>
        <w:t xml:space="preserve">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proofErr w:type="gramStart"/>
      <w:r w:rsidRPr="004C2F06">
        <w:rPr>
          <w:rFonts w:ascii="Times New Roman" w:hAnsi="Times New Roman" w:cs="Times New Roman"/>
          <w:color w:val="0000FF"/>
        </w:rPr>
        <w:t>2021</w:t>
      </w:r>
      <w:r w:rsidRPr="004C2F06">
        <w:rPr>
          <w:rFonts w:ascii="Times New Roman" w:hAnsi="Times New Roman" w:cs="Times New Roman"/>
        </w:rPr>
        <w:t>))</w:t>
      </w:r>
      <w:proofErr w:type="gramEnd"/>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w:t>
      </w:r>
      <w:r w:rsidRPr="004C2F06">
        <w:rPr>
          <w:rFonts w:ascii="Times New Roman" w:hAnsi="Times New Roman" w:cs="Times New Roman"/>
        </w:rPr>
        <w:lastRenderedPageBreak/>
        <w:t>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w:t>
      </w:r>
      <w:r w:rsidRPr="004C2F06">
        <w:rPr>
          <w:rFonts w:ascii="Times New Roman" w:hAnsi="Times New Roman" w:cs="Times New Roman"/>
        </w:rPr>
        <w:lastRenderedPageBreak/>
        <w:t>teaching to other similar-paying occupations. Overall, our findings suggest that while the policy did displace some unmarried women, the net effect on white women’s LFP was positive, as the policy pulled white married women into teaching who would have otherwise not been in the labor force.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 xml:space="preserve">Cooke, Dennis H., W. G. Knox, and R. H. Libby. “Chapter VI: </w:t>
      </w:r>
      <w:proofErr w:type="gramStart"/>
      <w:r w:rsidRPr="000B779F">
        <w:rPr>
          <w:rFonts w:ascii="Times New Roman" w:hAnsi="Times New Roman" w:cs="Times New Roman"/>
        </w:rPr>
        <w:t>Local Residents</w:t>
      </w:r>
      <w:proofErr w:type="gramEnd"/>
      <w:r w:rsidRPr="000B779F">
        <w:rPr>
          <w:rFonts w:ascii="Times New Roman" w:hAnsi="Times New Roman" w:cs="Times New Roman"/>
        </w:rPr>
        <w:t xml:space="preserve">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lastRenderedPageBreak/>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475339A"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72216A1"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lastRenderedPageBreak/>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6F5DA35"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lastRenderedPageBreak/>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7A59B2"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22323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lastRenderedPageBreak/>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6456" style="width:590.315pt;height:2.39101pt;mso-position-horizontal-relative:char;mso-position-vertical-relative:line" coordsize="74970,303">
                <v:shape id="Shape 2381" style="position:absolute;width:74970;height:0;left:0;top:0;" coordsize="7497001,0" path="m0,0l7497001,0">
                  <v:stroke weight="0.398pt" endcap="flat" joinstyle="miter" miterlimit="10" on="true" color="#000000"/>
                  <v:fill on="false" color="#000000" opacity="0"/>
                </v:shape>
                <v:shape id="Shape 2382" style="position:absolute;width:74970;height:0;left:0;top:303;" coordsize="7497001,0" path="m0,0l7497001,0">
                  <v:stroke weight="0.398pt" endcap="flat" joinstyle="miter" miterlimit="10" on="true" color="#000000"/>
                  <v:fill on="false" color="#000000" opacity="0"/>
                </v:shape>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">
                <v:rect id="Rectangle 2462" o:spid="_x0000_s1027" style="position:absolute;left:-53700;top:9208;width:197735;height:17931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&#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All teachers</w:t>
      </w:r>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m:t>
              </m:r>
              <m:r>
                <w:rPr>
                  <w:rFonts w:ascii="Cambria Math" w:hAnsi="Cambria Math" w:cs="Times New Roman"/>
                  <w:sz w:val="20"/>
                </w:rPr>
                <m:t>5</m:t>
              </m:r>
              <m:r>
                <w:rPr>
                  <w:rFonts w:ascii="Cambria Math" w:hAnsi="Cambria Math" w:cs="Times New Roman"/>
                  <w:sz w:val="20"/>
                </w:rPr>
                <m:t>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m:t>
                  </m:r>
                  <m:r>
                    <w:rPr>
                      <w:rFonts w:ascii="Cambria Math" w:hAnsi="Cambria Math" w:cs="Times New Roman"/>
                      <w:sz w:val="20"/>
                    </w:rPr>
                    <m:t>5</m:t>
                  </m:r>
                  <m:r>
                    <w:rPr>
                      <w:rFonts w:ascii="Cambria Math" w:hAnsi="Cambria Math" w:cs="Times New Roman"/>
                      <w:sz w:val="20"/>
                    </w:rPr>
                    <m:t>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1"/>
          <w:footerReference w:type="default" r:id="rId12"/>
          <w:footerReference w:type="first" r:id="rId13"/>
          <w:pgSz w:w="15840" w:h="12240" w:orient="landscape"/>
          <w:pgMar w:top="1440" w:right="2017" w:bottom="1440" w:left="2017" w:header="720" w:footer="720" w:gutter="0"/>
          <w:cols w:space="720"/>
        </w:sectPr>
      </w:pPr>
    </w:p>
    <w:p w14:paraId="1E21CF1D" w14:textId="77777777"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r w:rsidRPr="004C2F06">
              <w:rPr>
                <w:rFonts w:ascii="Times New Roman" w:hAnsi="Times New Roman" w:cs="Times New Roman"/>
                <w:sz w:val="17"/>
              </w:rPr>
              <w:t xml:space="preserve">Pr(Married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1C72C5B4"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0.1775</w:t>
            </w:r>
          </w:p>
        </w:tc>
        <w:tc>
          <w:tcPr>
            <w:tcW w:w="1671" w:type="dxa"/>
            <w:tcBorders>
              <w:top w:val="single" w:sz="3" w:space="0" w:color="000000"/>
              <w:left w:val="nil"/>
              <w:bottom w:val="nil"/>
              <w:right w:val="nil"/>
            </w:tcBorders>
          </w:tcPr>
          <w:p w14:paraId="4422F28E" w14:textId="0BBFF939"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0.2185</w:t>
            </w:r>
          </w:p>
        </w:tc>
        <w:tc>
          <w:tcPr>
            <w:tcW w:w="1671" w:type="dxa"/>
            <w:tcBorders>
              <w:top w:val="single" w:sz="3" w:space="0" w:color="000000"/>
              <w:left w:val="nil"/>
              <w:bottom w:val="nil"/>
              <w:right w:val="nil"/>
            </w:tcBorders>
          </w:tcPr>
          <w:p w14:paraId="1C3DD69A" w14:textId="0B5E850D"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0.604</w:t>
            </w:r>
          </w:p>
        </w:tc>
        <w:tc>
          <w:tcPr>
            <w:tcW w:w="1671" w:type="dxa"/>
            <w:gridSpan w:val="2"/>
            <w:tcBorders>
              <w:top w:val="single" w:sz="3" w:space="0" w:color="000000"/>
              <w:left w:val="nil"/>
              <w:bottom w:val="nil"/>
              <w:right w:val="nil"/>
            </w:tcBorders>
          </w:tcPr>
          <w:p w14:paraId="0EBE4CAE" w14:textId="43A140C0"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188.2</w:t>
            </w:r>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77777777"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04EA92CB"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spellStart"/>
            <w:proofErr w:type="gramEnd"/>
            <w:r w:rsidRPr="00E11FF3">
              <w:rPr>
                <w:rFonts w:ascii="Times New Roman" w:hAnsi="Times New Roman" w:cs="Times New Roman"/>
                <w:sz w:val="20"/>
                <w:szCs w:val="20"/>
              </w:rPr>
              <w:t>Unmarried</w:t>
            </w:r>
            <w:proofErr w:type="spellEnd"/>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0.4244</w:t>
            </w:r>
          </w:p>
        </w:tc>
        <w:tc>
          <w:tcPr>
            <w:tcW w:w="1645" w:type="dxa"/>
            <w:tcBorders>
              <w:top w:val="single" w:sz="3" w:space="0" w:color="000000"/>
              <w:left w:val="nil"/>
              <w:bottom w:val="nil"/>
              <w:right w:val="nil"/>
            </w:tcBorders>
          </w:tcPr>
          <w:p w14:paraId="2EB91F3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0.2520</w:t>
            </w:r>
          </w:p>
        </w:tc>
        <w:tc>
          <w:tcPr>
            <w:tcW w:w="1700" w:type="dxa"/>
            <w:tcBorders>
              <w:top w:val="single" w:sz="3" w:space="0" w:color="000000"/>
              <w:left w:val="nil"/>
              <w:bottom w:val="nil"/>
              <w:right w:val="nil"/>
            </w:tcBorders>
          </w:tcPr>
          <w:p w14:paraId="0EF0001D"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0.0907</w:t>
            </w:r>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56C0BFAC"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4FEB9297">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4"/>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56AC726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5"/>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16"/>
          <w:footerReference w:type="default" r:id="rId17"/>
          <w:footerReference w:type="first" r:id="rId18"/>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73C7068F">
            <wp:extent cx="5125576"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19"/>
                    <a:stretch>
                      <a:fillRect/>
                    </a:stretch>
                  </pic:blipFill>
                  <pic:spPr>
                    <a:xfrm>
                      <a:off x="0" y="0"/>
                      <a:ext cx="5125576"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1D9B438">
            <wp:extent cx="5120640" cy="3200400"/>
            <wp:effectExtent l="0" t="0" r="381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0"/>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1"/>
      <w:footerReference w:type="default" r:id="rId22"/>
      <w:footerReference w:type="first" r:id="rId23"/>
      <w:pgSz w:w="12240" w:h="15840"/>
      <w:pgMar w:top="1440" w:right="1440" w:bottom="1440" w:left="1440" w:header="72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1AEE5" w14:textId="77777777" w:rsidR="00947162" w:rsidRDefault="00947162">
      <w:pPr>
        <w:spacing w:after="0" w:line="240" w:lineRule="auto"/>
      </w:pPr>
      <w:r>
        <w:separator/>
      </w:r>
    </w:p>
  </w:endnote>
  <w:endnote w:type="continuationSeparator" w:id="0">
    <w:p w14:paraId="627FE65D" w14:textId="77777777" w:rsidR="00947162" w:rsidRDefault="00947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73575" w14:textId="77777777" w:rsidR="00947162" w:rsidRDefault="00947162">
      <w:pPr>
        <w:spacing w:after="21" w:line="253" w:lineRule="auto"/>
        <w:ind w:left="0" w:firstLine="332"/>
      </w:pPr>
      <w:r>
        <w:separator/>
      </w:r>
    </w:p>
  </w:footnote>
  <w:footnote w:type="continuationSeparator" w:id="0">
    <w:p w14:paraId="02444013" w14:textId="77777777" w:rsidR="00947162" w:rsidRDefault="00947162">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77777777"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w:t>
      </w:r>
      <w:proofErr w:type="gramStart"/>
      <w:r w:rsidRPr="00D4617A">
        <w:rPr>
          <w:rFonts w:ascii="Times New Roman" w:hAnsi="Times New Roman" w:cs="Times New Roman"/>
        </w:rPr>
        <w:t>taking into account</w:t>
      </w:r>
      <w:proofErr w:type="gramEnd"/>
      <w:r w:rsidRPr="00D4617A">
        <w:rPr>
          <w:rFonts w:ascii="Times New Roman" w:hAnsi="Times New Roman" w:cs="Times New Roman"/>
        </w:rPr>
        <w:t xml:space="preserve"> how the protections may have impacted schools’ labor demand as well as married women’s labor supply. Our data preclude us from separating these two channels. That said, the lack of coverage of these specific laws prohibiting marriage bars in teaching in local media suggest that the average married woman would have had limited awareness of the policy, indicating that changes in schools’ labor demand likely played the more central role.</w:t>
      </w:r>
    </w:p>
  </w:footnote>
  <w:footnote w:id="6">
    <w:p w14:paraId="4E0B5B70" w14:textId="77777777" w:rsidR="003C25C8" w:rsidRPr="00D4617A" w:rsidRDefault="00000000" w:rsidP="009E49F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That said, we detect no effect of the prohibitions on all women’s LFP. This is unsurprising, given that that the prohibitions targeted teaching specifically and only a small share of women were teachers.</w:t>
      </w:r>
    </w:p>
  </w:footnote>
  <w:footnote w:id="7">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8">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9">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10">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w:t>
      </w:r>
      <w:r w:rsidR="005773FE" w:rsidRPr="005773FE">
        <w:rPr>
          <w:rFonts w:ascii="Times New Roman" w:hAnsi="Times New Roman" w:cs="Times New Roman"/>
          <w:sz w:val="20"/>
          <w:szCs w:val="20"/>
        </w:rPr>
        <w:t>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2C7A0A6B" w14:textId="7777777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3">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4">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5">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6">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w:t>
      </w:r>
      <w:proofErr w:type="gramStart"/>
      <w:r w:rsidRPr="000B70F8">
        <w:rPr>
          <w:rFonts w:ascii="Times New Roman" w:hAnsi="Times New Roman" w:cs="Times New Roman"/>
        </w:rPr>
        <w:t>in order to</w:t>
      </w:r>
      <w:proofErr w:type="gramEnd"/>
      <w:r w:rsidRPr="000B70F8">
        <w:rPr>
          <w:rFonts w:ascii="Times New Roman" w:hAnsi="Times New Roman" w:cs="Times New Roman"/>
        </w:rPr>
        <w:t xml:space="preserve"> show difference-in-differences estimates for as long a pre-period as possible. The results do not change when we exclude 1910 and focus on the balanced panel of years around the prohibition of the marriage bars.</w:t>
      </w:r>
    </w:p>
  </w:footnote>
  <w:footnote w:id="17">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8">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19">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0">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1">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2">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3">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4">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5">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6">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7">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w:t>
      </w:r>
      <w:r w:rsidR="009B4224" w:rsidRPr="009B4224">
        <w:rPr>
          <w:rFonts w:ascii="Times New Roman" w:hAnsi="Times New Roman" w:cs="Times New Roman"/>
          <w:sz w:val="20"/>
          <w:szCs w:val="20"/>
        </w:rPr>
        <w:t xml:space="preserve">affecting the number of young women who </w:t>
      </w:r>
      <w:r w:rsidR="009B4224" w:rsidRPr="009B4224">
        <w:rPr>
          <w:rFonts w:ascii="Times New Roman" w:hAnsi="Times New Roman" w:cs="Times New Roman"/>
          <w:i/>
          <w:sz w:val="20"/>
          <w:szCs w:val="20"/>
        </w:rPr>
        <w:t xml:space="preserve">became </w:t>
      </w:r>
      <w:proofErr w:type="gramStart"/>
      <w:r w:rsidR="009B4224" w:rsidRPr="009B4224">
        <w:rPr>
          <w:rFonts w:ascii="Times New Roman" w:hAnsi="Times New Roman" w:cs="Times New Roman"/>
          <w:sz w:val="20"/>
          <w:szCs w:val="20"/>
        </w:rPr>
        <w:t>teachers, but</w:t>
      </w:r>
      <w:proofErr w:type="gramEnd"/>
      <w:r w:rsidR="009B4224" w:rsidRPr="009B4224">
        <w:rPr>
          <w:rFonts w:ascii="Times New Roman" w:hAnsi="Times New Roman" w:cs="Times New Roman"/>
          <w:sz w:val="20"/>
          <w:szCs w:val="20"/>
        </w:rPr>
        <w:t xml:space="preserve">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B1637"/>
    <w:rsid w:val="000B70F8"/>
    <w:rsid w:val="000B779F"/>
    <w:rsid w:val="000D4CAB"/>
    <w:rsid w:val="000D593C"/>
    <w:rsid w:val="000F0F9E"/>
    <w:rsid w:val="000F1F48"/>
    <w:rsid w:val="00127928"/>
    <w:rsid w:val="00132357"/>
    <w:rsid w:val="00145ED6"/>
    <w:rsid w:val="00183A9F"/>
    <w:rsid w:val="001920CF"/>
    <w:rsid w:val="001B3489"/>
    <w:rsid w:val="001C0C16"/>
    <w:rsid w:val="001F4E4B"/>
    <w:rsid w:val="00217A45"/>
    <w:rsid w:val="00243EE9"/>
    <w:rsid w:val="002A097D"/>
    <w:rsid w:val="002F096F"/>
    <w:rsid w:val="00304ECC"/>
    <w:rsid w:val="00305FBB"/>
    <w:rsid w:val="00311F1B"/>
    <w:rsid w:val="00330127"/>
    <w:rsid w:val="00331D23"/>
    <w:rsid w:val="003A33D5"/>
    <w:rsid w:val="003A5C66"/>
    <w:rsid w:val="003C25C8"/>
    <w:rsid w:val="00401D74"/>
    <w:rsid w:val="00401E7C"/>
    <w:rsid w:val="00433995"/>
    <w:rsid w:val="00476C91"/>
    <w:rsid w:val="004C2F06"/>
    <w:rsid w:val="004E2DB5"/>
    <w:rsid w:val="004E6068"/>
    <w:rsid w:val="004F2C4B"/>
    <w:rsid w:val="004F3915"/>
    <w:rsid w:val="0052102D"/>
    <w:rsid w:val="0052338B"/>
    <w:rsid w:val="005411B6"/>
    <w:rsid w:val="00546576"/>
    <w:rsid w:val="0057478F"/>
    <w:rsid w:val="005773FE"/>
    <w:rsid w:val="00597D98"/>
    <w:rsid w:val="005A268E"/>
    <w:rsid w:val="005C12BC"/>
    <w:rsid w:val="005D1524"/>
    <w:rsid w:val="00600F31"/>
    <w:rsid w:val="00603F01"/>
    <w:rsid w:val="00636E57"/>
    <w:rsid w:val="00641660"/>
    <w:rsid w:val="006563FC"/>
    <w:rsid w:val="006A0209"/>
    <w:rsid w:val="006A1CF0"/>
    <w:rsid w:val="007116AE"/>
    <w:rsid w:val="007316CE"/>
    <w:rsid w:val="00741663"/>
    <w:rsid w:val="00750FB4"/>
    <w:rsid w:val="00754742"/>
    <w:rsid w:val="0076222D"/>
    <w:rsid w:val="00780FAA"/>
    <w:rsid w:val="007E0625"/>
    <w:rsid w:val="00837D71"/>
    <w:rsid w:val="00871CAE"/>
    <w:rsid w:val="00880328"/>
    <w:rsid w:val="008C3C5B"/>
    <w:rsid w:val="008C4784"/>
    <w:rsid w:val="008D6048"/>
    <w:rsid w:val="008E5084"/>
    <w:rsid w:val="008F1F7A"/>
    <w:rsid w:val="00906B65"/>
    <w:rsid w:val="00947162"/>
    <w:rsid w:val="00953557"/>
    <w:rsid w:val="00954953"/>
    <w:rsid w:val="00977213"/>
    <w:rsid w:val="00977880"/>
    <w:rsid w:val="009A5EA3"/>
    <w:rsid w:val="009B4224"/>
    <w:rsid w:val="009C1D29"/>
    <w:rsid w:val="009E49FD"/>
    <w:rsid w:val="00A46E78"/>
    <w:rsid w:val="00A476D1"/>
    <w:rsid w:val="00A62D41"/>
    <w:rsid w:val="00A769EE"/>
    <w:rsid w:val="00A77DDA"/>
    <w:rsid w:val="00A93550"/>
    <w:rsid w:val="00AC0ED5"/>
    <w:rsid w:val="00AD02DC"/>
    <w:rsid w:val="00B30590"/>
    <w:rsid w:val="00B87157"/>
    <w:rsid w:val="00BA639D"/>
    <w:rsid w:val="00BB23AF"/>
    <w:rsid w:val="00C137EF"/>
    <w:rsid w:val="00C94655"/>
    <w:rsid w:val="00CF4068"/>
    <w:rsid w:val="00D4617A"/>
    <w:rsid w:val="00D73CF8"/>
    <w:rsid w:val="00DD50BC"/>
    <w:rsid w:val="00E04E18"/>
    <w:rsid w:val="00E11FF3"/>
    <w:rsid w:val="00E16703"/>
    <w:rsid w:val="00E22B8D"/>
    <w:rsid w:val="00E44FF8"/>
    <w:rsid w:val="00E855C6"/>
    <w:rsid w:val="00EA79E6"/>
    <w:rsid w:val="00F07FDE"/>
    <w:rsid w:val="00F25925"/>
    <w:rsid w:val="00F4303B"/>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2.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58</TotalTime>
  <Pages>48</Pages>
  <Words>13183</Words>
  <Characters>70798</Characters>
  <Application>Microsoft Office Word</Application>
  <DocSecurity>0</DocSecurity>
  <Lines>1474</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Carolyn Tsao</cp:lastModifiedBy>
  <cp:revision>60</cp:revision>
  <dcterms:created xsi:type="dcterms:W3CDTF">2025-11-18T22:29:00Z</dcterms:created>
  <dcterms:modified xsi:type="dcterms:W3CDTF">2025-11-18T23:27:00Z</dcterms:modified>
</cp:coreProperties>
</file>