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4568" w14:textId="77777777" w:rsidR="003C25C8" w:rsidRPr="004C2F06" w:rsidRDefault="00000000" w:rsidP="004E2DB5">
      <w:pPr>
        <w:spacing w:after="265" w:line="420"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4A862DF0" w:rsidR="003C25C8" w:rsidRPr="004C2F06" w:rsidRDefault="00000000" w:rsidP="004E2DB5">
      <w:pPr>
        <w:spacing w:after="615" w:line="420"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00906B65">
        <w:rPr>
          <w:rStyle w:val="FootnoteReference"/>
          <w:rFonts w:ascii="Times New Roman" w:hAnsi="Times New Roman" w:cs="Times New Roman"/>
        </w:rPr>
        <w:footnoteReference w:customMarkFollows="1" w:id="1"/>
        <w:t>*</w:t>
      </w:r>
    </w:p>
    <w:p w14:paraId="4F5468FC" w14:textId="77777777" w:rsidR="003C25C8" w:rsidRPr="004C2F06" w:rsidRDefault="00000000" w:rsidP="004E2DB5">
      <w:pPr>
        <w:tabs>
          <w:tab w:val="center" w:pos="3267"/>
          <w:tab w:val="center" w:pos="6177"/>
        </w:tabs>
        <w:spacing w:after="243"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1BA5B2B0" w:rsidR="003C25C8" w:rsidRPr="004C2F06" w:rsidRDefault="00000000" w:rsidP="004E2DB5">
      <w:pPr>
        <w:tabs>
          <w:tab w:val="center" w:pos="3312"/>
          <w:tab w:val="center" w:pos="6221"/>
        </w:tabs>
        <w:spacing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00F67189">
        <w:rPr>
          <w:rStyle w:val="FootnoteReference"/>
          <w:rFonts w:ascii="Times New Roman" w:eastAsia="Calibri" w:hAnsi="Times New Roman" w:cs="Times New Roman"/>
          <w:color w:val="0000FF"/>
          <w:sz w:val="31"/>
        </w:rPr>
        <w:footnoteReference w:customMarkFollows="1" w:id="2"/>
        <w:t>†</w:t>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00F67189">
        <w:rPr>
          <w:rStyle w:val="FootnoteReference"/>
          <w:rFonts w:ascii="Times New Roman" w:hAnsi="Times New Roman" w:cs="Times New Roman"/>
        </w:rPr>
        <w:footnoteReference w:customMarkFollows="1" w:id="3"/>
        <w:t>‡</w:t>
      </w:r>
      <w:r w:rsidRPr="004C2F06">
        <w:rPr>
          <w:rFonts w:ascii="Times New Roman" w:hAnsi="Times New Roman" w:cs="Times New Roman"/>
        </w:rPr>
        <w:br w:type="page"/>
      </w:r>
    </w:p>
    <w:p w14:paraId="3141FF7E" w14:textId="77777777" w:rsidR="003C25C8" w:rsidRPr="004C2F06" w:rsidRDefault="00000000" w:rsidP="004E2DB5">
      <w:pPr>
        <w:spacing w:after="0" w:line="420"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rsidP="004E2DB5">
      <w:pPr>
        <w:spacing w:after="671" w:line="420"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rsidP="004E2DB5">
      <w:pPr>
        <w:pStyle w:val="Heading1"/>
        <w:spacing w:after="262" w:line="420" w:lineRule="auto"/>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1C056A90" w:rsidR="003C25C8" w:rsidRPr="004C2F06" w:rsidRDefault="00000000" w:rsidP="004E2DB5">
      <w:pPr>
        <w:spacing w:after="549" w:line="420"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w:t>
      </w:r>
      <w:r w:rsidR="003F62F7">
        <w:rPr>
          <w:rFonts w:ascii="Times New Roman" w:hAnsi="Times New Roman" w:cs="Times New Roman"/>
          <w:sz w:val="22"/>
        </w:rPr>
        <w:t>twentie</w:t>
      </w:r>
      <w:r w:rsidRPr="004C2F06">
        <w:rPr>
          <w:rFonts w:ascii="Times New Roman" w:hAnsi="Times New Roman" w:cs="Times New Roman"/>
          <w:sz w:val="22"/>
        </w:rPr>
        <w:t xml:space="preserve">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w:t>
      </w:r>
      <w:r w:rsidR="00F146DC">
        <w:rPr>
          <w:rFonts w:ascii="Times New Roman" w:hAnsi="Times New Roman" w:cs="Times New Roman"/>
          <w:sz w:val="22"/>
        </w:rPr>
        <w:t xml:space="preserve">white </w:t>
      </w:r>
      <w:r w:rsidRPr="004C2F06">
        <w:rPr>
          <w:rFonts w:ascii="Times New Roman" w:hAnsi="Times New Roman" w:cs="Times New Roman"/>
          <w:sz w:val="22"/>
        </w:rPr>
        <w:t xml:space="preserve">married women teachers by </w:t>
      </w:r>
      <w:r w:rsidR="00F146DC">
        <w:rPr>
          <w:rFonts w:ascii="Times New Roman" w:hAnsi="Times New Roman" w:cs="Times New Roman"/>
          <w:sz w:val="22"/>
        </w:rPr>
        <w:t>4</w:t>
      </w:r>
      <w:r w:rsidRPr="004C2F06">
        <w:rPr>
          <w:rFonts w:ascii="Times New Roman" w:hAnsi="Times New Roman" w:cs="Times New Roman"/>
          <w:sz w:val="22"/>
        </w:rPr>
        <w:t>.</w:t>
      </w:r>
      <w:r w:rsidR="00F146DC">
        <w:rPr>
          <w:rFonts w:ascii="Times New Roman" w:hAnsi="Times New Roman" w:cs="Times New Roman"/>
          <w:sz w:val="22"/>
        </w:rPr>
        <w:t>1</w:t>
      </w:r>
      <w:r w:rsidRPr="004C2F06">
        <w:rPr>
          <w:rFonts w:ascii="Times New Roman" w:hAnsi="Times New Roman" w:cs="Times New Roman"/>
          <w:sz w:val="22"/>
        </w:rPr>
        <w:t xml:space="preserve"> p.p. (2</w:t>
      </w:r>
      <w:r w:rsidR="00F146DC">
        <w:rPr>
          <w:rFonts w:ascii="Times New Roman" w:hAnsi="Times New Roman" w:cs="Times New Roman"/>
          <w:sz w:val="22"/>
        </w:rPr>
        <w:t>6</w:t>
      </w:r>
      <w:r w:rsidRPr="004C2F06">
        <w:rPr>
          <w:rFonts w:ascii="Times New Roman" w:hAnsi="Times New Roman" w:cs="Times New Roman"/>
          <w:sz w:val="22"/>
        </w:rPr>
        <w:t xml:space="preserve">%), </w:t>
      </w:r>
      <w:r w:rsidR="00F146DC">
        <w:rPr>
          <w:rFonts w:ascii="Times New Roman" w:hAnsi="Times New Roman" w:cs="Times New Roman"/>
          <w:sz w:val="22"/>
        </w:rPr>
        <w:t>with no effect on Black teachers.</w:t>
      </w:r>
    </w:p>
    <w:p w14:paraId="34F4FBD2" w14:textId="2421915C"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w:t>
      </w:r>
      <w:r w:rsidR="000D4CAB">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w:t>
      </w:r>
      <w:proofErr w:type="spellStart"/>
      <w:r w:rsidRPr="004C2F06">
        <w:rPr>
          <w:rFonts w:ascii="Times New Roman" w:hAnsi="Times New Roman" w:cs="Times New Roman"/>
        </w:rPr>
        <w:t>Kamenica</w:t>
      </w:r>
      <w:proofErr w:type="spellEnd"/>
      <w:r w:rsidRPr="004C2F06">
        <w:rPr>
          <w:rFonts w:ascii="Times New Roman" w:hAnsi="Times New Roman" w:cs="Times New Roman"/>
        </w:rPr>
        <w:t xml:space="preserve">,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w:t>
      </w:r>
      <w:r w:rsidRPr="004C2F06">
        <w:rPr>
          <w:rFonts w:ascii="Times New Roman" w:hAnsi="Times New Roman" w:cs="Times New Roman"/>
        </w:rPr>
        <w:lastRenderedPageBreak/>
        <w:t xml:space="preserve">collar occupations, did not have the option to work due to employers’ widespread use of marriage bars—a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time period however, debates over tenure protection laws in one particular occupation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5AAB209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Southern states that did not. Using a combination of IPUMS full-count decennial U.S. census data spanning 1910-1950 (Ruggles, Nelson, </w:t>
      </w:r>
      <w:r w:rsidR="009C1D29">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Eriksson, et al. 2022a,b,c), and the IPUMS Multigenerational Longitudinal Panel (</w:t>
      </w:r>
      <w:proofErr w:type="spellStart"/>
      <w:r w:rsidRPr="004C2F06">
        <w:rPr>
          <w:rFonts w:ascii="Times New Roman" w:hAnsi="Times New Roman" w:cs="Times New Roman"/>
        </w:rPr>
        <w:t>Helgertz</w:t>
      </w:r>
      <w:proofErr w:type="spellEnd"/>
      <w:r w:rsidR="007116AE">
        <w:rPr>
          <w:rFonts w:ascii="Times New Roman" w:hAnsi="Times New Roman" w:cs="Times New Roman"/>
        </w:rPr>
        <w:t>, Ruggles, Warren,</w:t>
      </w:r>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Ruggles, Fitch, </w:t>
      </w:r>
      <w:r w:rsidR="007116AE">
        <w:rPr>
          <w:rFonts w:ascii="Times New Roman" w:hAnsi="Times New Roman" w:cs="Times New Roman"/>
        </w:rPr>
        <w:t xml:space="preserve">Goeken, </w:t>
      </w:r>
      <w:r w:rsidRPr="004C2F06">
        <w:rPr>
          <w:rFonts w:ascii="Times New Roman" w:hAnsi="Times New Roman" w:cs="Times New Roman"/>
        </w:rPr>
        <w:t xml:space="preserve">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r w:rsidRPr="004C2F06">
        <w:rPr>
          <w:rFonts w:ascii="Times New Roman" w:hAnsi="Times New Roman" w:cs="Times New Roman"/>
          <w:color w:val="0000FF"/>
          <w:vertAlign w:val="superscript"/>
        </w:rPr>
        <w:footnoteReference w:id="5"/>
      </w:r>
    </w:p>
    <w:p w14:paraId="22ADF5BE"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xml:space="preserve">), we </w:t>
      </w:r>
      <w:r w:rsidRPr="004C2F06">
        <w:rPr>
          <w:rFonts w:ascii="Times New Roman" w:hAnsi="Times New Roman" w:cs="Times New Roman"/>
        </w:rPr>
        <w:lastRenderedPageBreak/>
        <w:t>observe both (1) detailed documentation of employment policies relative to other occupations, and (2) plausibly exogenous prohibitions of marriage bar use in several states.</w:t>
      </w:r>
    </w:p>
    <w:p w14:paraId="06B951E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45BB4D44"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the employment of married women in teaching, specifically by increasing white women’s employment, with no effect on Black women. Treated counties experienced a 4.</w:t>
      </w:r>
      <w:r w:rsidR="00F146DC">
        <w:rPr>
          <w:rFonts w:ascii="Times New Roman" w:hAnsi="Times New Roman" w:cs="Times New Roman"/>
        </w:rPr>
        <w:t>1</w:t>
      </w:r>
      <w:r w:rsidRPr="004C2F06">
        <w:rPr>
          <w:rFonts w:ascii="Times New Roman" w:hAnsi="Times New Roman" w:cs="Times New Roman"/>
        </w:rPr>
        <w:t xml:space="preserve"> percentage point (p.p.) increase between 1930 and 1940 (a 26% increase) in the share of</w:t>
      </w:r>
      <w:r w:rsidR="00F146DC">
        <w:rPr>
          <w:rFonts w:ascii="Times New Roman" w:hAnsi="Times New Roman" w:cs="Times New Roman"/>
        </w:rPr>
        <w:t xml:space="preserve"> white</w:t>
      </w:r>
      <w:r w:rsidRPr="004C2F06">
        <w:rPr>
          <w:rFonts w:ascii="Times New Roman" w:hAnsi="Times New Roman" w:cs="Times New Roman"/>
        </w:rPr>
        <w:t xml:space="preserve"> teachers who were married women.</w:t>
      </w:r>
      <w:r w:rsidR="00A77DDA" w:rsidRPr="004C2F06">
        <w:rPr>
          <w:rFonts w:ascii="Times New Roman" w:hAnsi="Times New Roman" w:cs="Times New Roman"/>
        </w:rPr>
        <w:t xml:space="preserve"> </w:t>
      </w:r>
      <w:r w:rsidRPr="004C2F06">
        <w:rPr>
          <w:rFonts w:ascii="Times New Roman" w:hAnsi="Times New Roman" w:cs="Times New Roman"/>
        </w:rPr>
        <w:t xml:space="preserve">The likelihood that a </w:t>
      </w:r>
      <w:r w:rsidR="00F146DC">
        <w:rPr>
          <w:rFonts w:ascii="Times New Roman" w:hAnsi="Times New Roman" w:cs="Times New Roman"/>
        </w:rPr>
        <w:t xml:space="preserve">white </w:t>
      </w:r>
      <w:r w:rsidRPr="004C2F06">
        <w:rPr>
          <w:rFonts w:ascii="Times New Roman" w:hAnsi="Times New Roman" w:cs="Times New Roman"/>
        </w:rPr>
        <w:t xml:space="preserve">married woman worked as a teacher also increased by </w:t>
      </w:r>
      <w:r w:rsidR="00F146DC">
        <w:rPr>
          <w:rFonts w:ascii="Times New Roman" w:hAnsi="Times New Roman" w:cs="Times New Roman"/>
        </w:rPr>
        <w:t>20</w:t>
      </w:r>
      <w:r w:rsidRPr="004C2F06">
        <w:rPr>
          <w:rFonts w:ascii="Times New Roman" w:hAnsi="Times New Roman" w:cs="Times New Roman"/>
        </w:rPr>
        <w:t xml:space="preserve">% between 1930 and 1940 in treated counties relative to control ones. </w:t>
      </w:r>
      <w:r w:rsidR="00F146DC">
        <w:rPr>
          <w:rFonts w:ascii="Times New Roman" w:hAnsi="Times New Roman" w:cs="Times New Roman"/>
        </w:rPr>
        <w:t xml:space="preserve">Effects on Black teachers and Black women are not significantly different from zero. </w:t>
      </w:r>
      <w:r w:rsidRPr="004C2F06">
        <w:rPr>
          <w:rFonts w:ascii="Times New Roman" w:hAnsi="Times New Roman" w:cs="Times New Roman"/>
        </w:rPr>
        <w:t xml:space="preserve">Our estimates thus squarely reject the null hypothesis that policy changes aimed at prohibiting employer discrimination against married women had no effect on </w:t>
      </w:r>
      <w:r w:rsidRPr="004C2F06">
        <w:rPr>
          <w:rFonts w:ascii="Times New Roman" w:hAnsi="Times New Roman" w:cs="Times New Roman"/>
        </w:rPr>
        <w:lastRenderedPageBreak/>
        <w:t>married women’s labor market outcomes, and further suggest that marriage bars were not binding for Black women in the early twentieth century.</w:t>
      </w:r>
    </w:p>
    <w:p w14:paraId="2429D18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52403CEC"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men-to</w:t>
      </w:r>
      <w:r w:rsidR="00875BCE">
        <w:rPr>
          <w:rFonts w:ascii="Times New Roman" w:hAnsi="Times New Roman" w:cs="Times New Roman"/>
        </w:rPr>
        <w:t>-</w:t>
      </w:r>
      <w:r w:rsidRPr="004C2F06">
        <w:rPr>
          <w:rFonts w:ascii="Times New Roman" w:hAnsi="Times New Roman" w:cs="Times New Roman"/>
        </w:rPr>
        <w:t xml:space="preserve">women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741B7E72"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Finally, we use our linked census sample to investigate what happened to the unmarried women who were, or might have eventually become, teachers. We find that the laws did not deter </w:t>
      </w:r>
      <w:r w:rsidRPr="004C2F06">
        <w:rPr>
          <w:rFonts w:ascii="Times New Roman" w:hAnsi="Times New Roman" w:cs="Times New Roman"/>
        </w:rPr>
        <w:lastRenderedPageBreak/>
        <w:t>unmarried women from later becoming teachers. Instead, we find evidence that the laws led unmarried women who were already teachers to switch into other occupations, without affecting their earnings as proxied by occupational scores. In addition, we show that the laws increased overall LFP among unmarried women who were already teachers, where the increase was entirely 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p>
    <w:p w14:paraId="4BEDB19C" w14:textId="1ABDEA70" w:rsidR="003C25C8" w:rsidRPr="004C2F06" w:rsidRDefault="00000000" w:rsidP="004E2DB5">
      <w:pPr>
        <w:spacing w:after="117" w:line="420" w:lineRule="auto"/>
        <w:ind w:left="-15" w:firstLine="468"/>
        <w:rPr>
          <w:rFonts w:ascii="Times New Roman" w:hAnsi="Times New Roman" w:cs="Times New Roman"/>
        </w:rPr>
      </w:pPr>
      <w:r w:rsidRPr="004C2F06">
        <w:rPr>
          <w:rFonts w:ascii="Times New Roman" w:hAnsi="Times New Roman" w:cs="Times New Roman"/>
        </w:rPr>
        <w:t>Overall, our study shows that removing institutional barriers to employment specific to married women modestly improved white women’s labor market outcomes between 1930 and 1950</w:t>
      </w:r>
      <w:r w:rsidR="001F31E3">
        <w:rPr>
          <w:rFonts w:ascii="Times New Roman" w:hAnsi="Times New Roman" w:cs="Times New Roman"/>
        </w:rPr>
        <w:t xml:space="preserve"> in the context of teaching</w:t>
      </w:r>
      <w:r w:rsidRPr="004C2F06">
        <w:rPr>
          <w:rFonts w:ascii="Times New Roman" w:hAnsi="Times New Roman" w:cs="Times New Roman"/>
        </w:rPr>
        <w:t xml:space="preserve">. Our findings also serve as a cautionary tale: in the presence of gendered social attitudes, the costs of such policies may be borne by other women who are reshuffled to other occupations. </w:t>
      </w:r>
      <w:r w:rsidR="001F31E3">
        <w:rPr>
          <w:rFonts w:ascii="Times New Roman" w:hAnsi="Times New Roman" w:cs="Times New Roman"/>
        </w:rPr>
        <w:t xml:space="preserve">In our setting, while we show that prohibiting marriage bars increased the labor force participation of incumbent teachers </w:t>
      </w:r>
      <w:r w:rsidR="001F31E3">
        <w:rPr>
          <w:rFonts w:ascii="Times New Roman" w:hAnsi="Times New Roman" w:cs="Times New Roman"/>
          <w:i/>
          <w:iCs/>
        </w:rPr>
        <w:t xml:space="preserve">without </w:t>
      </w:r>
      <w:r w:rsidR="001F31E3">
        <w:rPr>
          <w:rFonts w:ascii="Times New Roman" w:hAnsi="Times New Roman" w:cs="Times New Roman"/>
        </w:rPr>
        <w:t xml:space="preserve">decreasing the labor force participation of potential future teachers, because teachers comprised only a small share of the population, we are unable to detect an effect of the prohibitions on all women’s LFP. </w:t>
      </w:r>
    </w:p>
    <w:p w14:paraId="7F9A251D" w14:textId="34F6272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few papers study the factors that contributed to the initial rise pre-1950, which happened in spite of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xml:space="preserve">), who documents the use of marriage bars in the early 1900s U.S. and explores employers’ economic justifications for using </w:t>
      </w:r>
      <w:r w:rsidRPr="004C2F06">
        <w:rPr>
          <w:rFonts w:ascii="Times New Roman" w:hAnsi="Times New Roman" w:cs="Times New Roman"/>
        </w:rPr>
        <w:lastRenderedPageBreak/>
        <w:t>these discriminatory practices.</w:t>
      </w:r>
      <w:r w:rsidRPr="004C2F06">
        <w:rPr>
          <w:rFonts w:ascii="Times New Roman" w:hAnsi="Times New Roman" w:cs="Times New Roman"/>
          <w:color w:val="0000FF"/>
          <w:vertAlign w:val="superscript"/>
        </w:rPr>
        <w:footnoteReference w:id="6"/>
      </w:r>
      <w:r w:rsidRPr="004C2F06">
        <w:rPr>
          <w:rFonts w:ascii="Times New Roman" w:hAnsi="Times New Roman" w:cs="Times New Roman"/>
          <w:color w:val="0000FF"/>
          <w:vertAlign w:val="superscript"/>
        </w:rPr>
        <w:t xml:space="preserve"> </w:t>
      </w:r>
      <w:r w:rsidRPr="004C2F06">
        <w:rPr>
          <w:rFonts w:ascii="Times New Roman" w:hAnsi="Times New Roman" w:cs="Times New Roman"/>
        </w:rPr>
        <w:t>Motivated by these findings, we study how the prohibition of marriage bars impacted married women’s LFP in the first half of the century. Our findings suggest that the prohibition of marriage bars had sizeable effects on married women’s LFP in the short run, 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xml:space="preserve">)) and improved household technologies (which accounted for over half of the later rise in women’s LFP, according to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056E0261"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w:t>
      </w:r>
      <w:proofErr w:type="spellStart"/>
      <w:r w:rsidRPr="004C2F06">
        <w:rPr>
          <w:rFonts w:ascii="Times New Roman" w:hAnsi="Times New Roman" w:cs="Times New Roman"/>
        </w:rPr>
        <w:t>DeLeire</w:t>
      </w:r>
      <w:proofErr w:type="spellEnd"/>
      <w:r w:rsidRPr="004C2F06">
        <w:rPr>
          <w:rFonts w:ascii="Times New Roman" w:hAnsi="Times New Roman" w:cs="Times New Roman"/>
        </w:rPr>
        <w:t xml:space="preserv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The latter group of papers illustrate</w:t>
      </w:r>
      <w:r w:rsidR="00875BCE">
        <w:rPr>
          <w:rFonts w:ascii="Times New Roman" w:hAnsi="Times New Roman" w:cs="Times New Roman"/>
        </w:rPr>
        <w:t>s</w:t>
      </w:r>
      <w:r w:rsidRPr="004C2F06">
        <w:rPr>
          <w:rFonts w:ascii="Times New Roman" w:hAnsi="Times New Roman" w:cs="Times New Roman"/>
        </w:rPr>
        <w:t xml:space="preserve"> that when an 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Our paper provides new evidence of another example of an anti-discrimination policy with unintended consequences: while prohibiting marriage bars led married women’s employment </w:t>
      </w:r>
      <w:r w:rsidRPr="004C2F06">
        <w:rPr>
          <w:rFonts w:ascii="Times New Roman" w:hAnsi="Times New Roman" w:cs="Times New Roman"/>
        </w:rPr>
        <w:lastRenderedPageBreak/>
        <w:t>to rise in teaching, schools also chose to maintain the gender ratio of teaching staff, leading single women to leave the profession with no anti-discrimination policy in place to protect their employment.</w:t>
      </w:r>
    </w:p>
    <w:p w14:paraId="3EF37300" w14:textId="77777777" w:rsidR="0057478F" w:rsidRPr="004C2F06" w:rsidRDefault="0057478F" w:rsidP="00780FAA">
      <w:pPr>
        <w:spacing w:line="420" w:lineRule="auto"/>
        <w:ind w:left="0" w:firstLine="0"/>
        <w:rPr>
          <w:rFonts w:ascii="Times New Roman" w:hAnsi="Times New Roman" w:cs="Times New Roman"/>
        </w:rPr>
      </w:pPr>
    </w:p>
    <w:p w14:paraId="65C70DED" w14:textId="4F82CD39" w:rsidR="0057478F" w:rsidRPr="00780FAA" w:rsidRDefault="00000000" w:rsidP="00780FAA">
      <w:pPr>
        <w:spacing w:after="35" w:line="420" w:lineRule="auto"/>
        <w:ind w:left="29" w:right="19"/>
        <w:jc w:val="center"/>
        <w:rPr>
          <w:rFonts w:ascii="Times New Roman" w:hAnsi="Times New Roman" w:cs="Times New Roman"/>
          <w:b/>
          <w:sz w:val="34"/>
        </w:rPr>
      </w:pPr>
      <w:r w:rsidRPr="004C2F06">
        <w:rPr>
          <w:rFonts w:ascii="Times New Roman" w:hAnsi="Times New Roman" w:cs="Times New Roman"/>
          <w:b/>
          <w:sz w:val="34"/>
        </w:rPr>
        <w:t>Employment Discrimination against Married Women in the Early Twentieth Century U.S.</w:t>
      </w:r>
    </w:p>
    <w:p w14:paraId="62BAF9D2" w14:textId="0E5AE152" w:rsidR="0057478F" w:rsidRPr="004C2F06" w:rsidRDefault="00000000" w:rsidP="00780FAA">
      <w:pPr>
        <w:spacing w:after="93" w:line="420" w:lineRule="auto"/>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2EB61380"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and tended to work in highly segregated occupations in agriculture, manufacturing, or in the case of education, in segregated schools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In practice, marriage bars were implemented in two ways: married women were either not hired due to their marital status (“hire bars”), or single working women who got married were fired or expected to quit upon marriage (“retain bars”). Employers practiced one or both forms of </w:t>
      </w:r>
      <w:r w:rsidRPr="004C2F06">
        <w:rPr>
          <w:rFonts w:ascii="Times New Roman" w:hAnsi="Times New Roman" w:cs="Times New Roman"/>
        </w:rPr>
        <w:lastRenderedPageBreak/>
        <w:t>discrimination, either formally by implementing rules to not employ married women at the organizational level or discretionarily on a case-by-case basis.</w:t>
      </w:r>
    </w:p>
    <w:p w14:paraId="7429D1A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33FF235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Second, it was believed that due to their household responsibilities, married women were less efficient workers than unmarried women and men (“the married wom</w:t>
      </w:r>
      <w:r w:rsidR="0041249B">
        <w:rPr>
          <w:rFonts w:ascii="Times New Roman" w:hAnsi="Times New Roman" w:cs="Times New Roman"/>
        </w:rPr>
        <w:t>a</w:t>
      </w:r>
      <w:r w:rsidRPr="004C2F06">
        <w:rPr>
          <w:rFonts w:ascii="Times New Roman" w:hAnsi="Times New Roman" w:cs="Times New Roman"/>
        </w:rPr>
        <w:t xml:space="preserve">n lacks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Incidentally, teaching was a key example of an occupation that featured fixed salary schedules in the majority of school districts as early as the 1920s.</w:t>
      </w:r>
    </w:p>
    <w:p w14:paraId="14F2434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common, but 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5DFBE453"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w:t>
      </w:r>
      <w:r w:rsidRPr="004C2F06">
        <w:rPr>
          <w:rFonts w:ascii="Times New Roman" w:hAnsi="Times New Roman" w:cs="Times New Roman"/>
        </w:rPr>
        <w:lastRenderedPageBreak/>
        <w:t xml:space="preserve">1951 (Goldin </w:t>
      </w:r>
      <w:r w:rsidRPr="004C2F06">
        <w:rPr>
          <w:rFonts w:ascii="Times New Roman" w:hAnsi="Times New Roman" w:cs="Times New Roman"/>
          <w:color w:val="0000FF"/>
        </w:rPr>
        <w:t>2021</w:t>
      </w:r>
      <w:r w:rsidRPr="004C2F06">
        <w:rPr>
          <w:rFonts w:ascii="Times New Roman" w:hAnsi="Times New Roman" w:cs="Times New Roman"/>
        </w:rPr>
        <w:t>). The surveys show that marriage bar use in schools increased over the course of the Great Depression, a trend that has been attributed to rising unemployment and scarcity of jobs for men, then dropped significantly throughout the 1940s.</w:t>
      </w:r>
      <w:r w:rsidRPr="004C2F06">
        <w:rPr>
          <w:rFonts w:ascii="Times New Roman" w:hAnsi="Times New Roman" w:cs="Times New Roman"/>
          <w:color w:val="0000FF"/>
          <w:vertAlign w:val="superscript"/>
        </w:rPr>
        <w:footnoteReference w:id="8"/>
      </w:r>
      <w:r w:rsidR="0041249B">
        <w:rPr>
          <w:rFonts w:ascii="Times New Roman" w:hAnsi="Times New Roman" w:cs="Times New Roman"/>
        </w:rPr>
        <w:t xml:space="preserve"> </w:t>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xml:space="preserve">). As such, marriage bar </w:t>
      </w:r>
      <w:proofErr w:type="gramStart"/>
      <w:r w:rsidRPr="004C2F06">
        <w:rPr>
          <w:rFonts w:ascii="Times New Roman" w:hAnsi="Times New Roman" w:cs="Times New Roman"/>
        </w:rPr>
        <w:t>use</w:t>
      </w:r>
      <w:proofErr w:type="gramEnd"/>
      <w:r w:rsidRPr="004C2F06">
        <w:rPr>
          <w:rFonts w:ascii="Times New Roman" w:hAnsi="Times New Roman" w:cs="Times New Roman"/>
        </w:rPr>
        <w:t xml:space="preserve"> in the US quickly declined and largely ended by the 1950s and 1960s.</w:t>
      </w:r>
      <w:r w:rsidRPr="004C2F06">
        <w:rPr>
          <w:rFonts w:ascii="Times New Roman" w:hAnsi="Times New Roman" w:cs="Times New Roman"/>
          <w:color w:val="0000FF"/>
          <w:vertAlign w:val="superscript"/>
        </w:rPr>
        <w:footnoteReference w:id="9"/>
      </w:r>
    </w:p>
    <w:p w14:paraId="1484EF22"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4AD6A412"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22449F9E" w:rsidR="00305FBB" w:rsidRDefault="00000000" w:rsidP="004E2DB5">
      <w:pPr>
        <w:spacing w:line="420" w:lineRule="auto"/>
        <w:ind w:left="-5"/>
        <w:rPr>
          <w:rFonts w:ascii="Times New Roman" w:hAnsi="Times New Roman" w:cs="Times New Roman"/>
        </w:rPr>
      </w:pPr>
      <w:r w:rsidRPr="004C2F06">
        <w:rPr>
          <w:rFonts w:ascii="Times New Roman" w:hAnsi="Times New Roman" w:cs="Times New Roman"/>
        </w:rPr>
        <w:t>School districts were the most prominent employers that used marriage bars throughout the early twentieth century. Their use was particularly notable as teaching was a wom</w:t>
      </w:r>
      <w:r w:rsidR="0041249B">
        <w:rPr>
          <w:rFonts w:ascii="Times New Roman" w:hAnsi="Times New Roman" w:cs="Times New Roman"/>
        </w:rPr>
        <w:t>a</w:t>
      </w:r>
      <w:r w:rsidRPr="004C2F06">
        <w:rPr>
          <w:rFonts w:ascii="Times New Roman" w:hAnsi="Times New Roman" w:cs="Times New Roman"/>
        </w:rPr>
        <w:t>n</w:t>
      </w:r>
      <w:r w:rsidR="00305FBB">
        <w:rPr>
          <w:rFonts w:ascii="Times New Roman" w:hAnsi="Times New Roman" w:cs="Times New Roman"/>
        </w:rPr>
        <w:t>-</w:t>
      </w:r>
      <w:r w:rsidRPr="004C2F06">
        <w:rPr>
          <w:rFonts w:ascii="Times New Roman" w:hAnsi="Times New Roman" w:cs="Times New Roman"/>
        </w:rPr>
        <w:t>dominated occupation and one of the few socially-accepted occupations for educated women at the time: in 1940, 31% of married women in the workforce with any college were teachers</w:t>
      </w:r>
      <w:r w:rsidR="00BD613F">
        <w:rPr>
          <w:rFonts w:ascii="Times New Roman" w:hAnsi="Times New Roman" w:cs="Times New Roman"/>
        </w:rPr>
        <w:t>.</w:t>
      </w:r>
      <w:r w:rsidR="00BD613F">
        <w:rPr>
          <w:rStyle w:val="FootnoteReference"/>
          <w:rFonts w:ascii="Times New Roman" w:hAnsi="Times New Roman" w:cs="Times New Roman"/>
        </w:rPr>
        <w:footnoteReference w:id="10"/>
      </w:r>
      <w:r w:rsidR="000027EB">
        <w:rPr>
          <w:rFonts w:ascii="Times New Roman" w:hAnsi="Times New Roman" w:cs="Times New Roman"/>
        </w:rPr>
        <w:t xml:space="preserve"> </w:t>
      </w:r>
    </w:p>
    <w:p w14:paraId="5706B9AC" w14:textId="40856545" w:rsidR="003C25C8" w:rsidRPr="004C2F06" w:rsidRDefault="00000000" w:rsidP="004E2DB5">
      <w:pPr>
        <w:spacing w:line="420" w:lineRule="auto"/>
        <w:ind w:left="-5" w:firstLine="458"/>
        <w:rPr>
          <w:rFonts w:ascii="Times New Roman" w:hAnsi="Times New Roman" w:cs="Times New Roman"/>
        </w:rPr>
      </w:pPr>
      <w:r w:rsidRPr="004C2F06">
        <w:rPr>
          <w:rFonts w:ascii="Times New Roman" w:hAnsi="Times New Roman" w:cs="Times New Roman"/>
        </w:rPr>
        <w:lastRenderedPageBreak/>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of marriage bars. However, unlike in other occupations, discriminatory hiring policies in teaching were contested nationwide in debates over tenure protection for teachers from the 1910s onward. By 1922, districts in eleven states offered tenure to teachers with various legislative limitations, but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Importantly, although the tenure laws that protected teachers from being dismissed upon marriage became more common from 1920 to 1940, the majority of such laws were not statewide in their application. Repeated cross-sectional data shows that some districts hired substantially higher rates of married women than others, confirming that marriage bars were implemented locally.</w:t>
      </w:r>
    </w:p>
    <w:p w14:paraId="07EE299C" w14:textId="29062AC8" w:rsidR="003C25C8" w:rsidRPr="004C2F06" w:rsidRDefault="00000000" w:rsidP="004E2DB5">
      <w:pPr>
        <w:spacing w:after="569" w:line="420" w:lineRule="auto"/>
        <w:ind w:left="-15" w:firstLine="468"/>
        <w:rPr>
          <w:rFonts w:ascii="Times New Roman" w:hAnsi="Times New Roman" w:cs="Times New Roman"/>
        </w:rPr>
      </w:pPr>
      <w:r w:rsidRPr="004C2F06">
        <w:rPr>
          <w:rFonts w:ascii="Times New Roman" w:hAnsi="Times New Roman" w:cs="Times New Roman"/>
        </w:rPr>
        <w:t>By</w:t>
      </w:r>
      <w:r w:rsidR="000F1F48">
        <w:rPr>
          <w:rFonts w:ascii="Times New Roman" w:hAnsi="Times New Roman" w:cs="Times New Roman"/>
        </w:rPr>
        <w:t xml:space="preserve"> </w:t>
      </w:r>
      <w:r w:rsidRPr="004C2F06">
        <w:rPr>
          <w:rFonts w:ascii="Times New Roman" w:hAnsi="Times New Roman" w:cs="Times New Roman"/>
        </w:rPr>
        <w:t xml:space="preserve">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The legislation in KY in 1938 was more specific to experienced teachers: House Bill No. 51 in the KY General Assembly included an act “to prohibit boards of education or school superintendents from adopting rules preventing marriage of any school teacher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xml:space="preserve">). The laws received virtually no coverage in local newspapers at the time, which </w:t>
      </w:r>
      <w:r w:rsidRPr="004C2F06">
        <w:rPr>
          <w:rFonts w:ascii="Times New Roman" w:hAnsi="Times New Roman" w:cs="Times New Roman"/>
        </w:rPr>
        <w:lastRenderedPageBreak/>
        <w:t>suggests that the laws may have been more salient to school districts that were wary of being sued 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w:t>
      </w:r>
      <w:r w:rsidR="0041249B">
        <w:rPr>
          <w:rFonts w:ascii="Times New Roman" w:hAnsi="Times New Roman" w:cs="Times New Roman"/>
        </w:rPr>
        <w:t xml:space="preserve">white </w:t>
      </w:r>
      <w:r w:rsidRPr="004C2F06">
        <w:rPr>
          <w:rFonts w:ascii="Times New Roman" w:hAnsi="Times New Roman" w:cs="Times New Roman"/>
        </w:rPr>
        <w:t xml:space="preserve">married women in 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r w:rsidRPr="004C2F06">
        <w:rPr>
          <w:rFonts w:ascii="Times New Roman" w:hAnsi="Times New Roman" w:cs="Times New Roman"/>
          <w:color w:val="0000FF"/>
          <w:vertAlign w:val="superscript"/>
        </w:rPr>
        <w:t xml:space="preserve">10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lastRenderedPageBreak/>
        <w:t>Data</w:t>
      </w:r>
    </w:p>
    <w:p w14:paraId="77A555C2"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Cross-Sectional Sample</w:t>
      </w:r>
    </w:p>
    <w:p w14:paraId="1B736B37" w14:textId="5C0E283F"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For the first part of our analysis, we use data on teachers in the repeated cross-sectional full-count U.S. Decennial Censuses from 1910 to 1950, which cover all individuals in the U.S.</w:t>
      </w:r>
      <w:r w:rsidR="009A5EA3">
        <w:rPr>
          <w:rFonts w:ascii="Times New Roman" w:hAnsi="Times New Roman" w:cs="Times New Roman"/>
        </w:rPr>
        <w:t xml:space="preserve"> </w:t>
      </w: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w:t>
      </w:r>
      <w:r w:rsidR="005C12BC">
        <w:rPr>
          <w:rFonts w:ascii="Times New Roman" w:hAnsi="Times New Roman" w:cs="Times New Roman"/>
        </w:rPr>
        <w:t xml:space="preserve"> </w:t>
      </w:r>
      <w:r w:rsidRPr="004C2F06">
        <w:rPr>
          <w:rFonts w:ascii="Times New Roman" w:hAnsi="Times New Roman" w:cs="Times New Roman"/>
        </w:rPr>
        <w:t>report teaching as their occupation and who are not self-employed. The data do not separately</w:t>
      </w:r>
      <w:r w:rsidR="00217A45">
        <w:rPr>
          <w:rFonts w:ascii="Times New Roman" w:hAnsi="Times New Roman" w:cs="Times New Roman"/>
        </w:rPr>
        <w:t xml:space="preserve"> </w:t>
      </w:r>
      <w:r w:rsidRPr="004C2F06">
        <w:rPr>
          <w:rFonts w:ascii="Times New Roman" w:hAnsi="Times New Roman" w:cs="Times New Roman"/>
        </w:rPr>
        <w:t>identify public and private school teachers, but because private schools accounted for less than 10% of total enrollment in the early 1900s, public school teachers likely comprise the bulk of the teachers we identify (U.S. Department of Education, National Center for</w:t>
      </w:r>
      <w:r w:rsidR="009A5EA3">
        <w:rPr>
          <w:rFonts w:ascii="Times New Roman" w:hAnsi="Times New Roman" w:cs="Times New Roman"/>
        </w:rPr>
        <w:t xml:space="preserve"> </w:t>
      </w: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0223C1A8" w14:textId="77777777" w:rsidR="000F1F48" w:rsidRPr="00CF4068" w:rsidRDefault="000F1F48" w:rsidP="00401E7C">
      <w:pPr>
        <w:spacing w:after="6" w:line="420" w:lineRule="auto"/>
        <w:rPr>
          <w:rFonts w:ascii="Times New Roman" w:hAnsi="Times New Roman" w:cs="Times New Roman"/>
        </w:rPr>
      </w:pPr>
    </w:p>
    <w:p w14:paraId="5B9FD286"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Linked Samples</w:t>
      </w:r>
    </w:p>
    <w:p w14:paraId="364E409E" w14:textId="77777777" w:rsidR="00121D2B"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w:t>
      </w:r>
      <w:r w:rsidR="0041249B">
        <w:rPr>
          <w:rFonts w:ascii="Times New Roman" w:hAnsi="Times New Roman" w:cs="Times New Roman"/>
        </w:rPr>
        <w:t>decennial</w:t>
      </w:r>
      <w:r w:rsidRPr="004C2F06">
        <w:rPr>
          <w:rFonts w:ascii="Times New Roman" w:hAnsi="Times New Roman" w:cs="Times New Roman"/>
        </w:rPr>
        <w:t xml:space="preserve"> U.S. Censuses </w:t>
      </w:r>
      <w:r w:rsidR="0041249B">
        <w:rPr>
          <w:rFonts w:ascii="Times New Roman" w:hAnsi="Times New Roman" w:cs="Times New Roman"/>
        </w:rPr>
        <w:t>between</w:t>
      </w:r>
      <w:r w:rsidRPr="004C2F06">
        <w:rPr>
          <w:rFonts w:ascii="Times New Roman" w:hAnsi="Times New Roman" w:cs="Times New Roman"/>
        </w:rPr>
        <w:t xml:space="preserve"> 1910 </w:t>
      </w:r>
      <w:r w:rsidR="0041249B">
        <w:rPr>
          <w:rFonts w:ascii="Times New Roman" w:hAnsi="Times New Roman" w:cs="Times New Roman"/>
        </w:rPr>
        <w:t>and</w:t>
      </w:r>
      <w:r w:rsidRPr="004C2F06">
        <w:rPr>
          <w:rFonts w:ascii="Times New Roman" w:hAnsi="Times New Roman" w:cs="Times New Roman"/>
        </w:rPr>
        <w:t xml:space="preserve">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Eriksson, et al. </w:t>
      </w:r>
      <w:r w:rsidRPr="004C2F06">
        <w:rPr>
          <w:rFonts w:ascii="Times New Roman" w:hAnsi="Times New Roman" w:cs="Times New Roman"/>
          <w:color w:val="0000FF"/>
        </w:rPr>
        <w:t>2021</w:t>
      </w:r>
      <w:r w:rsidRPr="004C2F06">
        <w:rPr>
          <w:rFonts w:ascii="Times New Roman" w:hAnsi="Times New Roman" w:cs="Times New Roman"/>
        </w:rPr>
        <w:t>), and the IPUMS Multigenerational Longitudinal Panel (</w:t>
      </w:r>
      <w:proofErr w:type="spellStart"/>
      <w:r w:rsidRPr="004C2F06">
        <w:rPr>
          <w:rFonts w:ascii="Times New Roman" w:hAnsi="Times New Roman" w:cs="Times New Roman"/>
        </w:rPr>
        <w:t>Helgertz</w:t>
      </w:r>
      <w:proofErr w:type="spellEnd"/>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To retain as many observations as possible, we only link between adjacent Censuses. We also drop the few linkages for which the sex or race is different between Censuses, or for which the implied year of birth varies by more than five years. </w:t>
      </w:r>
    </w:p>
    <w:p w14:paraId="511DAFAA" w14:textId="7CBEC3DA" w:rsidR="00121D2B" w:rsidRDefault="00123F44" w:rsidP="00841B65">
      <w:pPr>
        <w:spacing w:line="420" w:lineRule="auto"/>
        <w:ind w:left="0" w:firstLine="720"/>
        <w:rPr>
          <w:rFonts w:ascii="Times New Roman" w:hAnsi="Times New Roman" w:cs="Times New Roman"/>
        </w:rPr>
      </w:pPr>
      <w:r>
        <w:rPr>
          <w:rFonts w:ascii="Times New Roman" w:hAnsi="Times New Roman" w:cs="Times New Roman"/>
        </w:rPr>
        <w:lastRenderedPageBreak/>
        <w:t xml:space="preserve">Reassuringly, we </w:t>
      </w:r>
      <w:r w:rsidR="009F421F">
        <w:rPr>
          <w:rFonts w:ascii="Times New Roman" w:hAnsi="Times New Roman" w:cs="Times New Roman"/>
        </w:rPr>
        <w:t>find similar linkage rates between treated</w:t>
      </w:r>
      <w:r w:rsidR="009F421F" w:rsidRPr="009F421F">
        <w:rPr>
          <w:rFonts w:ascii="Times New Roman" w:hAnsi="Times New Roman" w:cs="Times New Roman"/>
        </w:rPr>
        <w:t xml:space="preserve"> and control states</w:t>
      </w:r>
      <w:r w:rsidR="002F1986">
        <w:rPr>
          <w:rFonts w:ascii="Times New Roman" w:hAnsi="Times New Roman" w:cs="Times New Roman"/>
        </w:rPr>
        <w:t xml:space="preserve"> over time</w:t>
      </w:r>
      <w:r w:rsidR="00841B65">
        <w:rPr>
          <w:rFonts w:ascii="Times New Roman" w:hAnsi="Times New Roman" w:cs="Times New Roman"/>
        </w:rPr>
        <w:t>.</w:t>
      </w:r>
      <w:r w:rsidR="00841B65" w:rsidRPr="00841B65">
        <w:rPr>
          <w:rStyle w:val="FootnoteReference"/>
          <w:rFonts w:ascii="Times New Roman" w:hAnsi="Times New Roman" w:cs="Times New Roman"/>
        </w:rPr>
        <w:t xml:space="preserve"> </w:t>
      </w:r>
      <w:r w:rsidR="00841B65">
        <w:rPr>
          <w:rStyle w:val="FootnoteReference"/>
          <w:rFonts w:ascii="Times New Roman" w:hAnsi="Times New Roman" w:cs="Times New Roman"/>
        </w:rPr>
        <w:footnoteReference w:id="12"/>
      </w:r>
      <w:r w:rsidR="00841B65">
        <w:rPr>
          <w:rFonts w:ascii="Times New Roman" w:hAnsi="Times New Roman" w:cs="Times New Roman"/>
        </w:rPr>
        <w:t xml:space="preserve"> However,</w:t>
      </w:r>
      <w:r w:rsidR="009F421F">
        <w:rPr>
          <w:rFonts w:ascii="Times New Roman" w:hAnsi="Times New Roman" w:cs="Times New Roman"/>
        </w:rPr>
        <w:t xml:space="preserve"> </w:t>
      </w:r>
      <w:r w:rsidR="00841B65">
        <w:rPr>
          <w:rFonts w:ascii="Times New Roman" w:hAnsi="Times New Roman" w:cs="Times New Roman"/>
        </w:rPr>
        <w:t xml:space="preserve">linkage loss </w:t>
      </w:r>
      <w:r w:rsidR="009F421F">
        <w:rPr>
          <w:rFonts w:ascii="Times New Roman" w:hAnsi="Times New Roman" w:cs="Times New Roman"/>
        </w:rPr>
        <w:t xml:space="preserve">could </w:t>
      </w:r>
      <w:r w:rsidR="00AA7D23">
        <w:rPr>
          <w:rFonts w:ascii="Times New Roman" w:hAnsi="Times New Roman" w:cs="Times New Roman"/>
        </w:rPr>
        <w:t xml:space="preserve">still </w:t>
      </w:r>
      <w:r w:rsidR="009F421F">
        <w:rPr>
          <w:rFonts w:ascii="Times New Roman" w:hAnsi="Times New Roman" w:cs="Times New Roman"/>
        </w:rPr>
        <w:t xml:space="preserve">introduce bias to our results. </w:t>
      </w:r>
      <w:r w:rsidR="00841B65">
        <w:rPr>
          <w:rFonts w:ascii="Times New Roman" w:hAnsi="Times New Roman" w:cs="Times New Roman"/>
        </w:rPr>
        <w:t>For instance,</w:t>
      </w:r>
      <w:r w:rsidR="009F421F">
        <w:rPr>
          <w:rFonts w:ascii="Times New Roman" w:hAnsi="Times New Roman" w:cs="Times New Roman"/>
        </w:rPr>
        <w:t xml:space="preserve"> linkage rates</w:t>
      </w:r>
      <w:r w:rsidR="00121D2B" w:rsidRPr="00121D2B">
        <w:rPr>
          <w:rFonts w:ascii="Times New Roman" w:hAnsi="Times New Roman" w:cs="Times New Roman"/>
        </w:rPr>
        <w:t xml:space="preserve"> </w:t>
      </w:r>
      <w:r w:rsidR="009F421F">
        <w:rPr>
          <w:rFonts w:ascii="Times New Roman" w:hAnsi="Times New Roman" w:cs="Times New Roman"/>
        </w:rPr>
        <w:t>differ by women’s</w:t>
      </w:r>
      <w:r w:rsidR="00121D2B" w:rsidRPr="00121D2B">
        <w:rPr>
          <w:rFonts w:ascii="Times New Roman" w:hAnsi="Times New Roman" w:cs="Times New Roman"/>
        </w:rPr>
        <w:t xml:space="preserve"> marital </w:t>
      </w:r>
      <w:r w:rsidR="00841B65">
        <w:rPr>
          <w:rFonts w:ascii="Times New Roman" w:hAnsi="Times New Roman" w:cs="Times New Roman"/>
        </w:rPr>
        <w:t>and</w:t>
      </w:r>
      <w:r w:rsidR="009F421F">
        <w:rPr>
          <w:rFonts w:ascii="Times New Roman" w:hAnsi="Times New Roman" w:cs="Times New Roman"/>
        </w:rPr>
        <w:t xml:space="preserve"> employment status.</w:t>
      </w:r>
      <w:r w:rsidR="00121D2B" w:rsidRPr="00121D2B">
        <w:rPr>
          <w:rFonts w:ascii="Times New Roman" w:hAnsi="Times New Roman" w:cs="Times New Roman"/>
        </w:rPr>
        <w:t xml:space="preserve"> On one hand, because single women who get married between censuses are less likely to be linked, single women who get married are underrepresented in our linked samples. As a result, using the linked data, our estimated effects of the prohibitions on the likelihood that a woman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is married in </w:t>
      </w:r>
      <w:r w:rsidR="00121D2B">
        <w:rPr>
          <w:rFonts w:ascii="Times New Roman" w:hAnsi="Times New Roman" w:cs="Times New Roman"/>
          <w:i/>
          <w:iCs/>
        </w:rPr>
        <w:t xml:space="preserve">t </w:t>
      </w:r>
      <w:r w:rsidR="00121D2B" w:rsidRPr="00121D2B">
        <w:rPr>
          <w:rFonts w:ascii="Times New Roman" w:hAnsi="Times New Roman" w:cs="Times New Roman"/>
        </w:rPr>
        <w:t xml:space="preserve">are attenuated towards zero. On the other hand, single women who stop working because they got married between censuses are also underrepresented in our linked samples. As a result, using the linked data, our estimated effects of the prohibitions on the likelihood that a woman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is working in </w:t>
      </w:r>
      <w:r w:rsidR="00121D2B">
        <w:rPr>
          <w:rFonts w:ascii="Times New Roman" w:hAnsi="Times New Roman" w:cs="Times New Roman"/>
          <w:i/>
          <w:iCs/>
        </w:rPr>
        <w:t xml:space="preserve">t </w:t>
      </w:r>
      <w:r w:rsidR="00121D2B" w:rsidRPr="00121D2B">
        <w:rPr>
          <w:rFonts w:ascii="Times New Roman" w:hAnsi="Times New Roman" w:cs="Times New Roman"/>
        </w:rPr>
        <w:t>are upward biased. It is difficult to bound these biases, as doing so would require estimating the number of single women who get married whom we are unable to link, which is inherently unobserved. However, what we can say is that our main estimate of interest in our linked analyses</w:t>
      </w:r>
      <w:r w:rsidR="00121D2B">
        <w:rPr>
          <w:rFonts w:ascii="Times New Roman" w:hAnsi="Times New Roman" w:cs="Times New Roman"/>
        </w:rPr>
        <w:t xml:space="preserve"> – </w:t>
      </w:r>
      <w:r w:rsidR="00121D2B" w:rsidRPr="00121D2B">
        <w:rPr>
          <w:rFonts w:ascii="Times New Roman" w:hAnsi="Times New Roman" w:cs="Times New Roman"/>
        </w:rPr>
        <w:t xml:space="preserve">that is, the effect of the prohibitions on the likelihood that women in </w:t>
      </w:r>
      <w:r w:rsidR="00121D2B">
        <w:rPr>
          <w:rFonts w:ascii="Times New Roman" w:hAnsi="Times New Roman" w:cs="Times New Roman"/>
          <w:i/>
          <w:iCs/>
        </w:rPr>
        <w:t xml:space="preserve">t-10 </w:t>
      </w:r>
      <w:r w:rsidR="00121D2B" w:rsidRPr="00121D2B">
        <w:rPr>
          <w:rFonts w:ascii="Times New Roman" w:hAnsi="Times New Roman" w:cs="Times New Roman"/>
        </w:rPr>
        <w:t xml:space="preserve">become married women teachers in </w:t>
      </w:r>
      <w:r w:rsidR="00121D2B">
        <w:rPr>
          <w:rFonts w:ascii="Times New Roman" w:hAnsi="Times New Roman" w:cs="Times New Roman"/>
          <w:i/>
          <w:iCs/>
        </w:rPr>
        <w:t>t</w:t>
      </w:r>
      <w:r w:rsidR="00121D2B">
        <w:rPr>
          <w:rFonts w:ascii="Times New Roman" w:hAnsi="Times New Roman" w:cs="Times New Roman"/>
        </w:rPr>
        <w:t xml:space="preserve"> – </w:t>
      </w:r>
      <w:r w:rsidR="00121D2B" w:rsidRPr="00121D2B">
        <w:rPr>
          <w:rFonts w:ascii="Times New Roman" w:hAnsi="Times New Roman" w:cs="Times New Roman"/>
        </w:rPr>
        <w:t>is ambiguously biased due to linkage loss, given it is subject to two sources of bias that go in opposite directions and could even negate each other.</w:t>
      </w:r>
    </w:p>
    <w:p w14:paraId="3FEC09B6" w14:textId="2F443F4D" w:rsidR="00841B65" w:rsidRPr="002322AE" w:rsidRDefault="002F1986" w:rsidP="00B16A1A">
      <w:pPr>
        <w:spacing w:line="420" w:lineRule="auto"/>
        <w:ind w:left="0" w:firstLine="720"/>
        <w:rPr>
          <w:rFonts w:ascii="Times New Roman" w:hAnsi="Times New Roman" w:cs="Times New Roman"/>
        </w:rPr>
      </w:pPr>
      <w:r>
        <w:rPr>
          <w:rFonts w:ascii="Times New Roman" w:hAnsi="Times New Roman" w:cs="Times New Roman"/>
        </w:rPr>
        <w:t xml:space="preserve">Another potential concern is that linkage rates may differ by women’s level of education. </w:t>
      </w:r>
      <w:r w:rsidR="002322AE">
        <w:rPr>
          <w:rFonts w:ascii="Times New Roman" w:hAnsi="Times New Roman" w:cs="Times New Roman"/>
        </w:rPr>
        <w:t xml:space="preserve">If more educated women are more able </w:t>
      </w:r>
      <w:r w:rsidR="005571D6">
        <w:rPr>
          <w:rFonts w:ascii="Times New Roman" w:hAnsi="Times New Roman" w:cs="Times New Roman"/>
        </w:rPr>
        <w:t xml:space="preserve">to find employment </w:t>
      </w:r>
      <w:r w:rsidR="002322AE">
        <w:rPr>
          <w:rFonts w:ascii="Times New Roman" w:hAnsi="Times New Roman" w:cs="Times New Roman"/>
        </w:rPr>
        <w:t xml:space="preserve">and more likely to stay unmarried, then the unmarried women we are able to link across censuses may be selected on higher education. As a result, using the linked data, we may obtain upward-biased estimates of the employment effects of the prohibitions on unmarried women, as the </w:t>
      </w:r>
      <w:r w:rsidR="00AA7D23">
        <w:rPr>
          <w:rFonts w:ascii="Times New Roman" w:hAnsi="Times New Roman" w:cs="Times New Roman"/>
        </w:rPr>
        <w:t>linked women</w:t>
      </w:r>
      <w:r w:rsidR="002322AE">
        <w:rPr>
          <w:rFonts w:ascii="Times New Roman" w:hAnsi="Times New Roman" w:cs="Times New Roman"/>
        </w:rPr>
        <w:t xml:space="preserve"> would be more likely</w:t>
      </w:r>
      <w:r w:rsidR="00AA7D23">
        <w:rPr>
          <w:rFonts w:ascii="Times New Roman" w:hAnsi="Times New Roman" w:cs="Times New Roman"/>
        </w:rPr>
        <w:t xml:space="preserve"> to work</w:t>
      </w:r>
      <w:r w:rsidR="002322AE">
        <w:rPr>
          <w:rFonts w:ascii="Times New Roman" w:hAnsi="Times New Roman" w:cs="Times New Roman"/>
        </w:rPr>
        <w:t xml:space="preserve"> than the average unmarried woman. It is difficult, however, for us to bound this bias, as education is not available in the census until 1940.  </w:t>
      </w:r>
    </w:p>
    <w:p w14:paraId="152E7761" w14:textId="77777777" w:rsidR="000F0F9E" w:rsidRPr="004C2F06" w:rsidRDefault="000F0F9E" w:rsidP="004E2DB5">
      <w:pPr>
        <w:spacing w:line="420" w:lineRule="auto"/>
        <w:ind w:left="0" w:firstLine="0"/>
        <w:rPr>
          <w:rFonts w:ascii="Times New Roman" w:hAnsi="Times New Roman" w:cs="Times New Roman"/>
        </w:rPr>
      </w:pPr>
    </w:p>
    <w:p w14:paraId="0C115E51"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County Sample Selection</w:t>
      </w:r>
    </w:p>
    <w:p w14:paraId="115C0333"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Our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68CF5B05" w14:textId="77777777" w:rsidR="0041249B" w:rsidRDefault="00000000" w:rsidP="0041249B">
      <w:pPr>
        <w:spacing w:line="420" w:lineRule="auto"/>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3B2BE25A" w14:textId="3138BD9F" w:rsidR="008E5084" w:rsidRPr="0041249B" w:rsidRDefault="00000000" w:rsidP="0041249B">
      <w:pPr>
        <w:spacing w:line="420" w:lineRule="auto"/>
        <w:ind w:left="-15" w:firstLine="468"/>
        <w:rPr>
          <w:rFonts w:ascii="Times New Roman" w:hAnsi="Times New Roman" w:cs="Times New Roman"/>
        </w:rPr>
      </w:pPr>
      <w:r w:rsidRPr="008E5084">
        <w:rPr>
          <w:rFonts w:ascii="Times New Roman" w:hAnsi="Times New Roman" w:cs="Times New Roman"/>
          <w:bCs/>
        </w:rPr>
        <w:t>Our main analysis sample includes all 220 counties in treated states and all 320 counties in the neighboring Southern states. In parts of our analysis where we examine county</w:t>
      </w:r>
      <w:r w:rsidR="00600F31">
        <w:rPr>
          <w:rFonts w:ascii="Times New Roman" w:hAnsi="Times New Roman" w:cs="Times New Roman"/>
          <w:bCs/>
        </w:rPr>
        <w:t>-</w:t>
      </w:r>
      <w:r w:rsidRPr="008E5084">
        <w:rPr>
          <w:rFonts w:ascii="Times New Roman" w:hAnsi="Times New Roman" w:cs="Times New Roman"/>
          <w:bCs/>
        </w:rPr>
        <w:t>level outcomes (rather than individual-level outcomes), we restrict to a balanced sample consisting of 217 treated counties and 310 neighboring Southern control counties.</w:t>
      </w:r>
      <w:r w:rsidRPr="008E5084">
        <w:rPr>
          <w:rFonts w:ascii="Times New Roman" w:hAnsi="Times New Roman" w:cs="Times New Roman"/>
          <w:bCs/>
          <w:color w:val="0000FF"/>
          <w:vertAlign w:val="superscript"/>
        </w:rPr>
        <w:footnoteReference w:id="14"/>
      </w:r>
      <w:r w:rsidRPr="008E5084">
        <w:rPr>
          <w:rFonts w:ascii="Times New Roman" w:hAnsi="Times New Roman" w:cs="Times New Roman"/>
          <w:bCs/>
          <w:color w:val="0000FF"/>
          <w:vertAlign w:val="superscript"/>
        </w:rPr>
        <w:t xml:space="preserve"> </w:t>
      </w:r>
      <w:r w:rsidRPr="008E5084">
        <w:rPr>
          <w:rFonts w:ascii="Times New Roman" w:hAnsi="Times New Roman" w:cs="Times New Roman"/>
          <w:bCs/>
        </w:rPr>
        <w:t xml:space="preserve">We make two further restrictions for analyses by race: when we examine county-level outcomes for white teachers, we exclude one control county with fewer than ten white teachers in 1930 or 1940; similarly, when we examine </w:t>
      </w:r>
      <w:r w:rsidRPr="008E5084">
        <w:rPr>
          <w:rFonts w:ascii="Times New Roman" w:hAnsi="Times New Roman" w:cs="Times New Roman"/>
          <w:bCs/>
        </w:rPr>
        <w:lastRenderedPageBreak/>
        <w:t>county-level outcomes for Black teachers, we exclude 109 treated and 129 control counties with fewer than ten Black teachers in 1930 or 1940.</w:t>
      </w:r>
      <w:r w:rsidR="0057478F" w:rsidRPr="008E5084">
        <w:rPr>
          <w:rFonts w:ascii="Times New Roman" w:hAnsi="Times New Roman" w:cs="Times New Roman"/>
          <w:bCs/>
        </w:rPr>
        <w:t xml:space="preserve"> Our results are robust to alternate sample specifications.</w:t>
      </w:r>
    </w:p>
    <w:p w14:paraId="34556349" w14:textId="2D449599"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t>Empirical Strategy</w:t>
      </w:r>
    </w:p>
    <w:p w14:paraId="4ACEAF00" w14:textId="77777777" w:rsidR="003C25C8" w:rsidRPr="004C2F06" w:rsidRDefault="00000000" w:rsidP="004E2DB5">
      <w:pPr>
        <w:pStyle w:val="Heading2"/>
        <w:spacing w:after="251" w:line="420" w:lineRule="auto"/>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a priori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rsidP="004E2DB5">
      <w:pPr>
        <w:spacing w:after="206" w:line="420" w:lineRule="auto"/>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state-wide policy changes on the composition of the teacher workforce and on men’s and women’s employment.</w:t>
      </w:r>
      <w:r w:rsidRPr="004C2F06">
        <w:rPr>
          <w:rFonts w:ascii="Times New Roman" w:hAnsi="Times New Roman" w:cs="Times New Roman"/>
          <w:color w:val="0000FF"/>
          <w:vertAlign w:val="superscript"/>
        </w:rPr>
        <w:footnoteReference w:id="15"/>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6"/>
      </w:r>
    </w:p>
    <w:p w14:paraId="5A1220B8" w14:textId="77777777" w:rsidR="00977880"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 xml:space="preserve">level outcomes (such as the likelihood that an unmarried woman in 1930 becomes a married woman </w:t>
      </w:r>
      <w:r w:rsidRPr="004C2F06">
        <w:rPr>
          <w:rFonts w:ascii="Times New Roman" w:hAnsi="Times New Roman" w:cs="Times New Roman"/>
        </w:rPr>
        <w:lastRenderedPageBreak/>
        <w:t>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4E2DB5">
      <w:pPr>
        <w:spacing w:line="420" w:lineRule="auto"/>
        <w:ind w:left="-15" w:firstLine="468"/>
        <w:rPr>
          <w:rFonts w:ascii="Times New Roman" w:hAnsi="Times New Roman" w:cs="Times New Roman"/>
        </w:rPr>
      </w:pPr>
    </w:p>
    <w:p w14:paraId="736E7F19" w14:textId="77777777" w:rsidR="003C25C8" w:rsidRPr="004C2F06" w:rsidRDefault="00000000" w:rsidP="004E2DB5">
      <w:pPr>
        <w:spacing w:line="420"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4E2DB5">
      <w:pPr>
        <w:tabs>
          <w:tab w:val="right" w:pos="4680"/>
          <w:tab w:val="right" w:pos="9360"/>
        </w:tabs>
        <w:spacing w:after="67" w:line="420" w:lineRule="auto"/>
        <w:ind w:left="0" w:right="-14" w:firstLine="0"/>
        <w:jc w:val="left"/>
        <w:rPr>
          <w:rFonts w:ascii="Times New Roman" w:eastAsia="Calibri" w:hAnsi="Times New Roman" w:cs="Times New Roman"/>
        </w:rPr>
      </w:pPr>
    </w:p>
    <w:p w14:paraId="794C12E3" w14:textId="78AC3D35" w:rsidR="003C25C8" w:rsidRPr="004C2F06" w:rsidRDefault="00000000" w:rsidP="004E2DB5">
      <w:pPr>
        <w:spacing w:after="206" w:line="420" w:lineRule="auto"/>
        <w:ind w:left="0" w:firstLine="0"/>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oMath>
      <w:r w:rsidRPr="004C2F06">
        <w:rPr>
          <w:rFonts w:ascii="Times New Roman" w:hAnsi="Times New Roman" w:cs="Times New Roman"/>
          <w:i/>
          <w:vertAlign w:val="subscript"/>
        </w:rPr>
        <w:t xml:space="preserve"> </w:t>
      </w:r>
      <w:r w:rsidRPr="004C2F06">
        <w:rPr>
          <w:rFonts w:ascii="Times New Roman" w:hAnsi="Times New Roman" w:cs="Times New Roman"/>
        </w:rPr>
        <w:t>is the</w:t>
      </w:r>
      <w:r w:rsidR="000B70F8">
        <w:rPr>
          <w:rFonts w:ascii="Times New Roman" w:hAnsi="Times New Roman" w:cs="Times New Roman"/>
        </w:rPr>
        <w:t xml:space="preserve"> </w:t>
      </w: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The main parameter</w:t>
      </w:r>
      <w:r w:rsidR="000027EB">
        <w:rPr>
          <w:rFonts w:ascii="Times New Roman" w:hAnsi="Times New Roman" w:cs="Times New Roman"/>
        </w:rPr>
        <w:t>s</w:t>
      </w:r>
      <w:r w:rsidRPr="004C2F06">
        <w:rPr>
          <w:rFonts w:ascii="Times New Roman" w:hAnsi="Times New Roman" w:cs="Times New Roman"/>
        </w:rPr>
        <w:t xml:space="preserve"> of interest </w:t>
      </w:r>
      <w:r w:rsidR="000027EB">
        <w:rPr>
          <w:rFonts w:ascii="Times New Roman" w:hAnsi="Times New Roman" w:cs="Times New Roman"/>
        </w:rPr>
        <w:t>are</w:t>
      </w:r>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1940</m:t>
            </m:r>
          </m:sub>
          <m:sup>
            <m:r>
              <w:rPr>
                <w:rFonts w:ascii="Cambria Math" w:hAnsi="Cambria Math" w:cs="Times New Roman"/>
              </w:rPr>
              <m:t>DD</m:t>
            </m:r>
          </m:sup>
        </m:sSubSup>
      </m:oMath>
      <w:r w:rsidR="000027EB">
        <w:rPr>
          <w:rFonts w:ascii="Times New Roman" w:hAnsi="Times New Roman" w:cs="Times New Roman"/>
        </w:rPr>
        <w:t xml:space="preserve"> and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1950</m:t>
            </m:r>
          </m:sub>
          <m:sup>
            <m:r>
              <w:rPr>
                <w:rFonts w:ascii="Cambria Math" w:hAnsi="Cambria Math" w:cs="Times New Roman"/>
              </w:rPr>
              <m:t>DD</m:t>
            </m:r>
          </m:sup>
        </m:sSubSup>
      </m:oMath>
      <w:r w:rsidR="000027EB">
        <w:rPr>
          <w:rFonts w:ascii="Times New Roman" w:hAnsi="Times New Roman" w:cs="Times New Roman"/>
        </w:rPr>
        <w:t xml:space="preserve"> </w:t>
      </w:r>
      <w:r w:rsidRPr="004C2F06">
        <w:rPr>
          <w:rFonts w:ascii="Times New Roman" w:hAnsi="Times New Roman" w:cs="Times New Roman"/>
        </w:rPr>
        <w:t xml:space="preserve">which, under certain assumptions, captures the effect of being in a treated state in </w:t>
      </w:r>
      <w:r w:rsidR="000027EB">
        <w:rPr>
          <w:rFonts w:ascii="Times New Roman" w:hAnsi="Times New Roman" w:cs="Times New Roman"/>
        </w:rPr>
        <w:t>1940 and 1950</w:t>
      </w:r>
      <w:r w:rsidRPr="004C2F06">
        <w:rPr>
          <w:rFonts w:ascii="Times New Roman" w:hAnsi="Times New Roman" w:cs="Times New Roman"/>
          <w:i/>
        </w:rPr>
        <w:t xml:space="preserve">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Standard errors are clustered at the county level in the main analysis.</w:t>
      </w:r>
      <w:r w:rsidRPr="004C2F06">
        <w:rPr>
          <w:rFonts w:ascii="Times New Roman" w:hAnsi="Times New Roman" w:cs="Times New Roman"/>
          <w:color w:val="0000FF"/>
          <w:vertAlign w:val="superscript"/>
        </w:rPr>
        <w:footnoteReference w:id="18"/>
      </w:r>
    </w:p>
    <w:p w14:paraId="767D8DFD" w14:textId="77777777" w:rsidR="003C25C8" w:rsidRPr="004C2F06" w:rsidRDefault="00000000" w:rsidP="004E2DB5">
      <w:pPr>
        <w:spacing w:after="630" w:line="420" w:lineRule="auto"/>
        <w:ind w:left="478"/>
        <w:rPr>
          <w:rFonts w:ascii="Times New Roman" w:hAnsi="Times New Roman" w:cs="Times New Roman"/>
        </w:rPr>
      </w:pPr>
      <w:r w:rsidRPr="004C2F06">
        <w:rPr>
          <w:rFonts w:ascii="Times New Roman" w:hAnsi="Times New Roman" w:cs="Times New Roman"/>
        </w:rPr>
        <w:t>Analogously, our preferred individual-level specification is:</w:t>
      </w:r>
    </w:p>
    <w:p w14:paraId="49BD291B" w14:textId="77777777" w:rsidR="00B30590" w:rsidRPr="004C2F06" w:rsidRDefault="00000000" w:rsidP="004E2DB5">
      <w:pPr>
        <w:tabs>
          <w:tab w:val="center" w:pos="4680"/>
          <w:tab w:val="right" w:pos="9360"/>
        </w:tabs>
        <w:spacing w:after="67" w:line="420"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rsidP="004E2DB5">
      <w:pPr>
        <w:spacing w:after="427" w:line="420" w:lineRule="auto"/>
        <w:ind w:left="-5"/>
        <w:rPr>
          <w:rFonts w:ascii="Times New Roman" w:hAnsi="Times New Roman" w:cs="Times New Roman"/>
        </w:rPr>
      </w:pPr>
      <w:r w:rsidRPr="004C2F06">
        <w:rPr>
          <w:rFonts w:ascii="Times New Roman" w:hAnsi="Times New Roman" w:cs="Times New Roman"/>
        </w:rPr>
        <w:br/>
        <w:t xml:space="preserve">where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indexes individual and the notation follow from the county-level specification above. As above, we include county and year fixed effects and cluster standard errors at the county level. We </w:t>
      </w:r>
      <w:r w:rsidRPr="004C2F06">
        <w:rPr>
          <w:rFonts w:ascii="Times New Roman" w:hAnsi="Times New Roman" w:cs="Times New Roman"/>
        </w:rPr>
        <w:lastRenderedPageBreak/>
        <w:t>also add age fixed effects to account for the fact that the likelihood of marriage is strongly related to age.</w:t>
      </w:r>
    </w:p>
    <w:p w14:paraId="17E87EC5"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r w:rsidRPr="004C2F06">
        <w:rPr>
          <w:rFonts w:ascii="Cambria Math" w:hAnsi="Cambria Math" w:cs="Cambria Math"/>
        </w:rPr>
        <w:t>∈</w:t>
      </w:r>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rsidP="004E2DB5">
      <w:pPr>
        <w:spacing w:after="589" w:line="420" w:lineRule="auto"/>
        <w:ind w:left="-15" w:firstLine="468"/>
        <w:rPr>
          <w:rFonts w:ascii="Times New Roman" w:hAnsi="Times New Roman" w:cs="Times New Roman"/>
        </w:rPr>
      </w:pPr>
      <w:r w:rsidRPr="004C2F06">
        <w:rPr>
          <w:rFonts w:ascii="Times New Roman" w:hAnsi="Times New Roman" w:cs="Times New Roman"/>
        </w:rPr>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follow prior work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Eriksson </w:t>
      </w:r>
      <w:r w:rsidRPr="004C2F06">
        <w:rPr>
          <w:rFonts w:ascii="Times New Roman" w:hAnsi="Times New Roman" w:cs="Times New Roman"/>
          <w:color w:val="0000FF"/>
        </w:rPr>
        <w:t>2012</w:t>
      </w:r>
      <w:r w:rsidRPr="004C2F06">
        <w:rPr>
          <w:rFonts w:ascii="Times New Roman" w:hAnsi="Times New Roman" w:cs="Times New Roman"/>
        </w:rPr>
        <w:t xml:space="preserve">) in using occupational scores, which </w:t>
      </w:r>
      <w:r w:rsidRPr="004C2F06">
        <w:rPr>
          <w:rFonts w:ascii="Times New Roman" w:hAnsi="Times New Roman" w:cs="Times New Roman"/>
        </w:rPr>
        <w:lastRenderedPageBreak/>
        <w:t>are numerical ratings of occupations ranging from 0-80 based on the average income associated with the occupation in 1950, as a proxy for income.</w:t>
      </w:r>
    </w:p>
    <w:p w14:paraId="2B5EF5BF"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In this section, we present three pieces of evidence that suggest the parallel trends assumption reasonably holds in our setting. We then discuss how the assumption is affected by the Great Depression and New Deal, and how we approach the biases these economic and policy changes may introduce in our analysis.</w:t>
      </w:r>
    </w:p>
    <w:p w14:paraId="0C86FE21" w14:textId="5FB657AA"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Support for parallel trends. </w:t>
      </w:r>
      <w:r w:rsidRPr="004C2F06">
        <w:rPr>
          <w:rFonts w:ascii="Times New Roman" w:hAnsi="Times New Roman" w:cs="Times New Roman"/>
        </w:rPr>
        <w:t>First, we find that there are no differential pre-trends in our outcomes of interest between the treated and control counties until 1930. While a lack of pre</w:t>
      </w:r>
      <w:r w:rsidR="00F02C36">
        <w:rPr>
          <w:rFonts w:ascii="Times New Roman" w:hAnsi="Times New Roman" w:cs="Times New Roman"/>
        </w:rPr>
        <w:t>-</w:t>
      </w:r>
      <w:r w:rsidRPr="004C2F06">
        <w:rPr>
          <w:rFonts w:ascii="Times New Roman" w:hAnsi="Times New Roman" w:cs="Times New Roman"/>
        </w:rPr>
        <w:t xml:space="preserve">trends is neither necessary nor sufficient evidence that the parallel trends assumption holds, it is reassuring for our </w:t>
      </w:r>
      <w:r w:rsidRPr="004C2F06">
        <w:rPr>
          <w:rFonts w:ascii="Times New Roman" w:hAnsi="Times New Roman" w:cs="Times New Roman"/>
        </w:rPr>
        <w:lastRenderedPageBreak/>
        <w:t>identification strategy that KY and NC were on similar trajectories as their neighboring states prior to 1930.</w:t>
      </w:r>
    </w:p>
    <w:p w14:paraId="31CFEF4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find that respondents in KY were weakly less likely to approve of the rule (22.0%,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4.9%) compared to respondents in TN and WV (27.9%,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5.9%), but that the gap is statistically indistinguishable from zero at the 90% confidence level (</w:t>
      </w:r>
      <w:r w:rsidRPr="00F02C36">
        <w:rPr>
          <w:rFonts w:ascii="Times New Roman" w:hAnsi="Times New Roman" w:cs="Times New Roman"/>
          <w:i/>
          <w:iCs/>
        </w:rPr>
        <w:t>t-statistic</w:t>
      </w:r>
      <w:r w:rsidRPr="004C2F06">
        <w:rPr>
          <w:rFonts w:ascii="Times New Roman" w:hAnsi="Times New Roman" w:cs="Times New Roman"/>
        </w:rPr>
        <w:t>: 0.77). We conclude that there were no meaningful differences in norms regarding the employment of married women in teaching between the treated and control states.</w:t>
      </w:r>
    </w:p>
    <w:p w14:paraId="111B9F4F" w14:textId="77777777" w:rsidR="003C25C8" w:rsidRPr="004C2F06" w:rsidRDefault="00000000" w:rsidP="004E2DB5">
      <w:pPr>
        <w:spacing w:after="341" w:line="420" w:lineRule="auto"/>
        <w:ind w:left="-15" w:firstLine="468"/>
        <w:rPr>
          <w:rFonts w:ascii="Times New Roman" w:hAnsi="Times New Roman" w:cs="Times New Roman"/>
        </w:rPr>
      </w:pPr>
      <w:r w:rsidRPr="004C2F06">
        <w:rPr>
          <w:rFonts w:ascii="Times New Roman" w:hAnsi="Times New Roman" w:cs="Times New Roman"/>
        </w:rPr>
        <w:t>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Furthermore, KY and NC were not the only states in which bills protecting married women against dismissal were introduced. In 1932, a Mrs. Emma Lee White introduced a similar bill to the </w:t>
      </w:r>
      <w:r w:rsidRPr="004C2F06">
        <w:rPr>
          <w:rFonts w:ascii="Times New Roman" w:hAnsi="Times New Roman" w:cs="Times New Roman"/>
        </w:rPr>
        <w:lastRenderedPageBreak/>
        <w:t>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173B53B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The first difference is that the average treated county experienced a more severe economic downturn and a more muted recovery than the average control county during the Great Depression.</w:t>
      </w:r>
      <w:r w:rsidRPr="004C2F06">
        <w:rPr>
          <w:rFonts w:ascii="Times New Roman" w:hAnsi="Times New Roman" w:cs="Times New Roman"/>
          <w:color w:val="0000FF"/>
          <w:vertAlign w:val="superscript"/>
        </w:rPr>
        <w:footnoteReference w:id="2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5A088A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xml:space="preserve">). At the same time, </w:t>
      </w:r>
      <w:proofErr w:type="spellStart"/>
      <w:r w:rsidRPr="004C2F06">
        <w:rPr>
          <w:rFonts w:ascii="Times New Roman" w:hAnsi="Times New Roman" w:cs="Times New Roman"/>
        </w:rPr>
        <w:t>Bellou</w:t>
      </w:r>
      <w:proofErr w:type="spellEnd"/>
      <w:r w:rsidRPr="004C2F06">
        <w:rPr>
          <w:rFonts w:ascii="Times New Roman" w:hAnsi="Times New Roman" w:cs="Times New Roman"/>
        </w:rPr>
        <w:t xml:space="preserve">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p>
    <w:p w14:paraId="5B93FA72" w14:textId="1AA76F50" w:rsidR="003C25C8" w:rsidRPr="004C2F06" w:rsidRDefault="00000000" w:rsidP="004E2DB5">
      <w:pPr>
        <w:spacing w:line="420" w:lineRule="auto"/>
        <w:ind w:left="0" w:right="-15" w:firstLine="453"/>
        <w:jc w:val="lef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r w:rsidR="00311F1B">
        <w:rPr>
          <w:rFonts w:ascii="Times New Roman" w:hAnsi="Times New Roman" w:cs="Times New Roman"/>
        </w:rPr>
        <w:t xml:space="preserve"> </w:t>
      </w: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w:t>
      </w:r>
      <w:r w:rsidR="00311F1B">
        <w:rPr>
          <w:rFonts w:ascii="Times New Roman" w:hAnsi="Times New Roman" w:cs="Times New Roman"/>
        </w:rPr>
        <w:t xml:space="preserve"> </w:t>
      </w:r>
      <w:r w:rsidRPr="004C2F06">
        <w:rPr>
          <w:rFonts w:ascii="Times New Roman" w:hAnsi="Times New Roman" w:cs="Times New Roman"/>
        </w:rPr>
        <w:t>schools, all of which would have reduced the relative likelihood that women got married or</w:t>
      </w:r>
      <w:r w:rsidR="00311F1B">
        <w:rPr>
          <w:rFonts w:ascii="Times New Roman" w:hAnsi="Times New Roman" w:cs="Times New Roman"/>
        </w:rPr>
        <w:t xml:space="preserve"> </w:t>
      </w:r>
      <w:r w:rsidRPr="004C2F06">
        <w:rPr>
          <w:rFonts w:ascii="Times New Roman" w:hAnsi="Times New Roman" w:cs="Times New Roman"/>
        </w:rPr>
        <w:t>taught in treated states compared to control ones. At the same time, the “added worker” effect</w:t>
      </w:r>
      <w:r w:rsidR="00311F1B">
        <w:rPr>
          <w:rFonts w:ascii="Times New Roman" w:hAnsi="Times New Roman" w:cs="Times New Roman"/>
        </w:rPr>
        <w:t xml:space="preserve"> </w:t>
      </w:r>
      <w:r w:rsidRPr="004C2F06">
        <w:rPr>
          <w:rFonts w:ascii="Times New Roman" w:hAnsi="Times New Roman" w:cs="Times New Roman"/>
        </w:rPr>
        <w:t>may have resulted larger inflows of married women into the labor force in treated states</w:t>
      </w:r>
      <w:r w:rsidR="00311F1B">
        <w:rPr>
          <w:rFonts w:ascii="Times New Roman" w:hAnsi="Times New Roman" w:cs="Times New Roman"/>
        </w:rPr>
        <w:t xml:space="preserve"> </w:t>
      </w:r>
      <w:r w:rsidRPr="004C2F06">
        <w:rPr>
          <w:rFonts w:ascii="Times New Roman" w:hAnsi="Times New Roman" w:cs="Times New Roman"/>
        </w:rPr>
        <w:t>compared to control states. Our estimates could thus be biased downward by the reduced</w:t>
      </w:r>
      <w:r w:rsidR="00311F1B">
        <w:rPr>
          <w:rFonts w:ascii="Times New Roman" w:hAnsi="Times New Roman" w:cs="Times New Roman"/>
        </w:rPr>
        <w:t xml:space="preserve"> </w:t>
      </w:r>
      <w:r w:rsidRPr="004C2F06">
        <w:rPr>
          <w:rFonts w:ascii="Times New Roman" w:hAnsi="Times New Roman" w:cs="Times New Roman"/>
        </w:rPr>
        <w:t>likelihood of treated women getting married or teaching in treated states, or biased upward by the</w:t>
      </w:r>
      <w:r w:rsidR="00311F1B">
        <w:rPr>
          <w:rFonts w:ascii="Times New Roman" w:hAnsi="Times New Roman" w:cs="Times New Roman"/>
        </w:rPr>
        <w:t xml:space="preserve"> </w:t>
      </w:r>
      <w:r w:rsidRPr="004C2F06">
        <w:rPr>
          <w:rFonts w:ascii="Times New Roman" w:hAnsi="Times New Roman" w:cs="Times New Roman"/>
        </w:rPr>
        <w:t>“added worker” effect in treated states.</w:t>
      </w:r>
    </w:p>
    <w:p w14:paraId="56FBE15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17FFF4F0"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notable difference between treated and control states was their exposure to New Deal policies. A large number of control counties in TN, but only a small number of treated counties, </w:t>
      </w:r>
      <w:r w:rsidRPr="004C2F06">
        <w:rPr>
          <w:rFonts w:ascii="Times New Roman" w:hAnsi="Times New Roman" w:cs="Times New Roman"/>
        </w:rPr>
        <w:lastRenderedPageBreak/>
        <w:t>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3A1F3CC" w14:textId="77777777" w:rsidR="00A476D1" w:rsidRPr="004C2F06" w:rsidRDefault="00A476D1" w:rsidP="004E2DB5">
      <w:pPr>
        <w:spacing w:line="420" w:lineRule="auto"/>
        <w:ind w:left="-15" w:firstLine="468"/>
        <w:rPr>
          <w:rFonts w:ascii="Times New Roman" w:hAnsi="Times New Roman" w:cs="Times New Roman"/>
        </w:rPr>
      </w:pPr>
    </w:p>
    <w:p w14:paraId="72FD9632" w14:textId="0577F2EE" w:rsidR="00A476D1" w:rsidRPr="00A476D1" w:rsidRDefault="00000000" w:rsidP="004E2DB5">
      <w:pPr>
        <w:pStyle w:val="Heading1"/>
        <w:spacing w:after="358" w:line="420" w:lineRule="auto"/>
        <w:ind w:left="155" w:right="0"/>
        <w:jc w:val="center"/>
        <w:rPr>
          <w:rFonts w:ascii="Times New Roman" w:hAnsi="Times New Roman" w:cs="Times New Roman"/>
        </w:rPr>
      </w:pPr>
      <w:r w:rsidRPr="004C2F06">
        <w:rPr>
          <w:rFonts w:ascii="Times New Roman" w:hAnsi="Times New Roman" w:cs="Times New Roman"/>
        </w:rPr>
        <w:t>The Effects of Prohibiting Marriage Bars in Teaching</w:t>
      </w:r>
    </w:p>
    <w:p w14:paraId="103BE0A8"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rsidP="004E2DB5">
      <w:pPr>
        <w:spacing w:after="128" w:line="420" w:lineRule="auto"/>
        <w:ind w:left="0" w:right="-15" w:firstLine="0"/>
        <w:jc w:val="center"/>
        <w:rPr>
          <w:rFonts w:ascii="Times New Roman" w:hAnsi="Times New Roman" w:cs="Times New Roman"/>
        </w:rPr>
      </w:pPr>
      <w:r w:rsidRPr="004C2F06">
        <w:rPr>
          <w:rFonts w:ascii="Times New Roman" w:hAnsi="Times New Roman" w:cs="Times New Roman"/>
        </w:rPr>
        <w:lastRenderedPageBreak/>
        <w:t>These effects were completely driven by white teachers (Columns (3) and (4), and Figure</w:t>
      </w:r>
    </w:p>
    <w:p w14:paraId="34EF31D4" w14:textId="77777777" w:rsidR="003C25C8" w:rsidRPr="004C2F06"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and Black women in this setting worked in segregated schools due to Jim Crow era laws, and the fact that Black married women were more likely to work during this time period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Notably, the effect of the prohibitions on married women’s participation in teaching in treated states was relatively short-lived. By 1950, the gap between treated and control counties in the share 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are the mechanisms driving our main effect? Did the prohibitions pull married women into the labor force (an ‘extensive margin’ effect), or did the prohibitions only affect women who would </w:t>
      </w:r>
      <w:r w:rsidRPr="004C2F06">
        <w:rPr>
          <w:rFonts w:ascii="Times New Roman" w:hAnsi="Times New Roman" w:cs="Times New Roman"/>
        </w:rPr>
        <w:lastRenderedPageBreak/>
        <w:t>have worked even absent the policy (an ‘intensive margin’ effect), by either inducing unmarried teachers to marry or by inducing married workers to switch to teaching?</w:t>
      </w:r>
    </w:p>
    <w:p w14:paraId="1B97029A" w14:textId="5188756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5"/>
      </w:r>
      <w:r w:rsidR="00330127">
        <w:rPr>
          <w:rFonts w:ascii="Times New Roman" w:hAnsi="Times New Roman" w:cs="Times New Roman"/>
        </w:rPr>
        <w:t xml:space="preserve"> </w:t>
      </w:r>
      <w:r w:rsidRPr="004C2F06">
        <w:rPr>
          <w:rFonts w:ascii="Times New Roman" w:hAnsi="Times New Roman" w:cs="Times New Roman"/>
        </w:rPr>
        <w:t>Results from estimating 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rsidP="004E2DB5">
      <w:pPr>
        <w:spacing w:after="45" w:line="420" w:lineRule="auto"/>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6"/>
      </w:r>
    </w:p>
    <w:p w14:paraId="6E0C573C" w14:textId="25E5675E" w:rsidR="003C25C8" w:rsidRPr="004C2F06" w:rsidRDefault="000A0A02"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Next,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w:t>
      </w:r>
      <w:proofErr w:type="spellStart"/>
      <w:proofErr w:type="gramStart"/>
      <w:r w:rsidRPr="004C2F06">
        <w:rPr>
          <w:rFonts w:ascii="Times New Roman" w:hAnsi="Times New Roman" w:cs="Times New Roman"/>
        </w:rPr>
        <w:t>p.p</w:t>
      </w:r>
      <w:proofErr w:type="spellEnd"/>
      <w:proofErr w:type="gramEnd"/>
      <w:r w:rsidRPr="004C2F06">
        <w:rPr>
          <w:rFonts w:ascii="Times New Roman" w:hAnsi="Times New Roman" w:cs="Times New Roman"/>
        </w:rPr>
        <w:t xml:space="preserve">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rsidP="004E2DB5">
      <w:pPr>
        <w:spacing w:line="420" w:lineRule="auto"/>
        <w:ind w:left="10" w:right="-15" w:firstLine="443"/>
        <w:jc w:val="left"/>
        <w:rPr>
          <w:rFonts w:ascii="Times New Roman" w:hAnsi="Times New Roman" w:cs="Times New Roman"/>
        </w:rPr>
      </w:pPr>
      <w:r w:rsidRPr="004C2F06">
        <w:rPr>
          <w:rFonts w:ascii="Times New Roman" w:hAnsi="Times New Roman" w:cs="Times New Roman"/>
        </w:rPr>
        <w:t>Interestingly, Column (3) seems to suggest that the prohibitions weakly increased the likelihood that married women worked in non-teaching jobs as well. The magnitude of the effect 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7"/>
      </w:r>
    </w:p>
    <w:p w14:paraId="684E4839" w14:textId="77777777" w:rsidR="000A0A02" w:rsidRPr="004C2F06" w:rsidRDefault="000A0A02" w:rsidP="004E2DB5">
      <w:pPr>
        <w:spacing w:line="420" w:lineRule="auto"/>
        <w:ind w:left="-15" w:firstLine="468"/>
        <w:rPr>
          <w:rFonts w:ascii="Times New Roman" w:hAnsi="Times New Roman" w:cs="Times New Roman"/>
        </w:rPr>
      </w:pPr>
    </w:p>
    <w:p w14:paraId="2DB2DA0D"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Effects on Men and Unmarried Women</w:t>
      </w:r>
    </w:p>
    <w:p w14:paraId="4163F725"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t>
      </w:r>
      <w:r w:rsidRPr="004C2F06">
        <w:rPr>
          <w:rFonts w:ascii="Times New Roman" w:hAnsi="Times New Roman" w:cs="Times New Roman"/>
        </w:rPr>
        <w:lastRenderedPageBreak/>
        <w:t xml:space="preserve">women teachers. We are able to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94A91FC"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show that the increase in married women teachers was entirely offset by a 4.</w:t>
      </w:r>
      <w:r w:rsidR="00264FA6">
        <w:rPr>
          <w:rFonts w:ascii="Times New Roman" w:hAnsi="Times New Roman" w:cs="Times New Roman"/>
        </w:rPr>
        <w:t>4</w:t>
      </w:r>
      <w:r w:rsidRPr="004C2F06">
        <w:rPr>
          <w:rFonts w:ascii="Times New Roman" w:hAnsi="Times New Roman" w:cs="Times New Roman"/>
        </w:rPr>
        <w:t xml:space="preserve">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062EB058" w14:textId="7EC6D031"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What happened to the white unmarried women who left teaching following the prohibitions? Did they switch to other occupations, or were they pushed out of the labor force entirely? We explore this question using our linked sample of unmarried women teachers.</w:t>
      </w:r>
      <w:r w:rsidR="00953557">
        <w:rPr>
          <w:rFonts w:ascii="Times New Roman" w:hAnsi="Times New Roman" w:cs="Times New Roman"/>
        </w:rPr>
        <w:t xml:space="preserve"> </w:t>
      </w: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6C348094" w14:textId="7604F1F2"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 xml:space="preserve">(Columns 2 and 3), LFP (Columns 4 and 5), and mobility (Columns 6 and 7) of unmarried women teachers, where occupational scores function as a proxy for earnings given income was not collected in the Census prior to 1940. Although the prohibitions </w:t>
      </w:r>
      <w:r w:rsidR="000027EB">
        <w:rPr>
          <w:rFonts w:ascii="Times New Roman" w:hAnsi="Times New Roman" w:cs="Times New Roman"/>
        </w:rPr>
        <w:t>resulted in higher</w:t>
      </w:r>
      <w:r w:rsidR="000027EB" w:rsidRPr="004C2F06">
        <w:rPr>
          <w:rFonts w:ascii="Times New Roman" w:hAnsi="Times New Roman" w:cs="Times New Roman"/>
        </w:rPr>
        <w:t xml:space="preserve"> </w:t>
      </w:r>
      <w:r w:rsidR="000027EB">
        <w:rPr>
          <w:rFonts w:ascii="Times New Roman" w:hAnsi="Times New Roman" w:cs="Times New Roman"/>
        </w:rPr>
        <w:t>average occupational</w:t>
      </w:r>
      <w:r w:rsidR="000027EB" w:rsidRPr="004C2F06">
        <w:rPr>
          <w:rFonts w:ascii="Times New Roman" w:hAnsi="Times New Roman" w:cs="Times New Roman"/>
        </w:rPr>
        <w:t xml:space="preserve"> </w:t>
      </w:r>
      <w:r w:rsidRPr="004C2F06">
        <w:rPr>
          <w:rFonts w:ascii="Times New Roman" w:hAnsi="Times New Roman" w:cs="Times New Roman"/>
        </w:rPr>
        <w:t>scores and labor force participation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occupations that paid similarly to teaching. Similarly, although the prohibitions increased movement out of state on average across all incumbent unmarried women teachers (Column 6), we find that this difference is almost entirely driven by those who remained unmarried (Column 7). These results are consistent with incumbent teachers (in particular unmarried women, who experienced no positive retention effects from the prohibitions) pursuing other jobs or wanting to teach in states that were unaffected by the prohibitions.</w:t>
      </w:r>
      <w:r w:rsidRPr="004C2F06">
        <w:rPr>
          <w:rFonts w:ascii="Times New Roman" w:hAnsi="Times New Roman" w:cs="Times New Roman"/>
          <w:color w:val="0000FF"/>
          <w:vertAlign w:val="superscript"/>
        </w:rPr>
        <w:footnoteReference w:id="28"/>
      </w:r>
    </w:p>
    <w:p w14:paraId="2AB9DB3F" w14:textId="1535DFAF" w:rsidR="00B61ED3" w:rsidRPr="004C2F06" w:rsidRDefault="00DE42DB" w:rsidP="00B01099">
      <w:pPr>
        <w:spacing w:line="420" w:lineRule="auto"/>
        <w:ind w:left="-15" w:firstLine="468"/>
        <w:rPr>
          <w:rFonts w:ascii="Times New Roman" w:hAnsi="Times New Roman" w:cs="Times New Roman"/>
        </w:rPr>
      </w:pPr>
      <w:r>
        <w:rPr>
          <w:rFonts w:ascii="Times New Roman" w:hAnsi="Times New Roman" w:cs="Times New Roman"/>
        </w:rPr>
        <w:lastRenderedPageBreak/>
        <w:t xml:space="preserve">In summary, we show that the prohibitions pulled married women into the workforce, both through the retention of incumbent teachers who got married and through the increased hiring of </w:t>
      </w:r>
      <w:r w:rsidR="00B01099">
        <w:rPr>
          <w:rFonts w:ascii="Times New Roman" w:hAnsi="Times New Roman" w:cs="Times New Roman"/>
        </w:rPr>
        <w:t xml:space="preserve">women who were originally outside of the labor force. We also show that this effect did not come at the expense of incumbent teachers who remained unmarried—these teachers </w:t>
      </w:r>
      <w:r w:rsidRPr="004C2F06">
        <w:rPr>
          <w:rFonts w:ascii="Times New Roman" w:hAnsi="Times New Roman" w:cs="Times New Roman"/>
        </w:rPr>
        <w:t xml:space="preserve">maintained the same rate of LFP, either in teaching or in jobs that paid similarly to teaching (Online Appendix Table B5, Columns 2 and 4). </w:t>
      </w:r>
      <w:r w:rsidR="00B01099">
        <w:rPr>
          <w:rFonts w:ascii="Times New Roman" w:hAnsi="Times New Roman" w:cs="Times New Roman"/>
        </w:rPr>
        <w:t xml:space="preserve">Together, these results suggest that the prohibitions had a net positive impact on women’s labor force participation. </w:t>
      </w:r>
      <w:r w:rsidR="00B61ED3">
        <w:rPr>
          <w:rFonts w:ascii="Times New Roman" w:hAnsi="Times New Roman" w:cs="Times New Roman"/>
        </w:rPr>
        <w:t>That said</w:t>
      </w:r>
      <w:r w:rsidR="00B61ED3" w:rsidRPr="004C2F06">
        <w:rPr>
          <w:rFonts w:ascii="Times New Roman" w:hAnsi="Times New Roman" w:cs="Times New Roman"/>
        </w:rPr>
        <w:t xml:space="preserve">, </w:t>
      </w:r>
      <w:r w:rsidR="00B61ED3">
        <w:rPr>
          <w:rFonts w:ascii="Times New Roman" w:hAnsi="Times New Roman" w:cs="Times New Roman"/>
        </w:rPr>
        <w:t xml:space="preserve">because </w:t>
      </w:r>
      <w:r w:rsidR="00B61ED3" w:rsidRPr="004C2F06">
        <w:rPr>
          <w:rFonts w:ascii="Times New Roman" w:hAnsi="Times New Roman" w:cs="Times New Roman"/>
        </w:rPr>
        <w:t>teachers comprised only a small share of all women (2.2% of working-age women in 1930)</w:t>
      </w:r>
      <w:r w:rsidR="00B61ED3">
        <w:rPr>
          <w:rFonts w:ascii="Times New Roman" w:hAnsi="Times New Roman" w:cs="Times New Roman"/>
        </w:rPr>
        <w:t xml:space="preserve">, </w:t>
      </w:r>
      <w:r w:rsidR="00B61ED3" w:rsidRPr="004C2F06">
        <w:rPr>
          <w:rFonts w:ascii="Times New Roman" w:hAnsi="Times New Roman" w:cs="Times New Roman"/>
        </w:rPr>
        <w:t>we detect no</w:t>
      </w:r>
      <w:r w:rsidR="00B61ED3">
        <w:rPr>
          <w:rFonts w:ascii="Times New Roman" w:hAnsi="Times New Roman" w:cs="Times New Roman"/>
        </w:rPr>
        <w:t xml:space="preserve"> statistically significant</w:t>
      </w:r>
      <w:r w:rsidR="00B61ED3" w:rsidRPr="004C2F06">
        <w:rPr>
          <w:rFonts w:ascii="Times New Roman" w:hAnsi="Times New Roman" w:cs="Times New Roman"/>
        </w:rPr>
        <w:t xml:space="preserve"> effect of the prohibitions on the overall LFP of women, as shown in Online Appendix Table B8</w:t>
      </w:r>
      <w:r w:rsidR="00B01099">
        <w:rPr>
          <w:rFonts w:ascii="Times New Roman" w:hAnsi="Times New Roman" w:cs="Times New Roman"/>
        </w:rPr>
        <w:t xml:space="preserve"> (Ruggles, Nelson, Sobek, et al. 2024)</w:t>
      </w:r>
      <w:r w:rsidR="00B61ED3" w:rsidRPr="004C2F06">
        <w:rPr>
          <w:rFonts w:ascii="Times New Roman" w:hAnsi="Times New Roman" w:cs="Times New Roman"/>
        </w:rPr>
        <w:t xml:space="preserve">. </w:t>
      </w:r>
    </w:p>
    <w:p w14:paraId="63A29FFB" w14:textId="371CB742" w:rsidR="003C25C8" w:rsidRPr="004C2F06" w:rsidRDefault="003C25C8" w:rsidP="004E2DB5">
      <w:pPr>
        <w:spacing w:after="427" w:line="420" w:lineRule="auto"/>
        <w:ind w:left="-15" w:firstLine="468"/>
        <w:rPr>
          <w:rFonts w:ascii="Times New Roman" w:hAnsi="Times New Roman" w:cs="Times New Roman"/>
        </w:rPr>
      </w:pPr>
    </w:p>
    <w:p w14:paraId="70E03EBE"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rsidP="004E2DB5">
      <w:pPr>
        <w:spacing w:after="352" w:line="420" w:lineRule="auto"/>
        <w:ind w:left="-5"/>
        <w:rPr>
          <w:rFonts w:ascii="Times New Roman" w:hAnsi="Times New Roman" w:cs="Times New Roman"/>
        </w:rPr>
      </w:pPr>
      <w:r w:rsidRPr="004C2F06">
        <w:rPr>
          <w:rFonts w:ascii="Times New Roman" w:hAnsi="Times New Roman" w:cs="Times New Roman"/>
        </w:rPr>
        <w:t>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including controls for factors that may have varied by county and year. We also discuss the relationship between our results and the Great Depression and New Deal.</w:t>
      </w:r>
    </w:p>
    <w:p w14:paraId="5218DBDE" w14:textId="16BF1671"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Secretary placebo.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t>
      </w:r>
      <w:r w:rsidRPr="004C2F06">
        <w:rPr>
          <w:rFonts w:ascii="Times New Roman" w:hAnsi="Times New Roman" w:cs="Times New Roman"/>
        </w:rPr>
        <w:lastRenderedPageBreak/>
        <w:t xml:space="preserve">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r w:rsidR="0052102D">
        <w:rPr>
          <w:rFonts w:ascii="Times New Roman" w:hAnsi="Times New Roman" w:cs="Times New Roman"/>
        </w:rPr>
        <w:t xml:space="preserve"> </w:t>
      </w: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34652AA6" w14:textId="77777777" w:rsidR="0052102D" w:rsidRPr="004C2F06" w:rsidRDefault="0052102D" w:rsidP="004E2DB5">
      <w:pPr>
        <w:spacing w:line="420" w:lineRule="auto"/>
        <w:ind w:left="0" w:firstLine="0"/>
        <w:rPr>
          <w:rFonts w:ascii="Times New Roman" w:hAnsi="Times New Roman" w:cs="Times New Roman"/>
        </w:rPr>
      </w:pPr>
    </w:p>
    <w:p w14:paraId="1EB7B3EF"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4686D47D" w14:textId="7B74ABFF" w:rsidR="009B4224"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states are over time. In our second approach, we keep all treated counties in our analysis but choose or weight control counties using various matching techniques. Our main results remain similar under both approaches.</w:t>
      </w:r>
    </w:p>
    <w:p w14:paraId="64F7387A" w14:textId="5F74A896"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lastRenderedPageBreak/>
        <w:t xml:space="preserve">State-Level Analysis. </w:t>
      </w:r>
      <w:r w:rsidRPr="004C2F06">
        <w:rPr>
          <w:rFonts w:ascii="Times New Roman" w:hAnsi="Times New Roman" w:cs="Times New Roman"/>
        </w:rP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w:t>
      </w:r>
      <w:r w:rsidR="007E0625">
        <w:rPr>
          <w:rFonts w:ascii="Times New Roman" w:hAnsi="Times New Roman" w:cs="Times New Roman"/>
        </w:rPr>
        <w:t xml:space="preserve"> </w:t>
      </w: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xml:space="preserve">) and </w:t>
      </w:r>
      <w:proofErr w:type="spellStart"/>
      <w:r w:rsidRPr="004C2F06">
        <w:rPr>
          <w:rFonts w:ascii="Times New Roman" w:hAnsi="Times New Roman" w:cs="Times New Roman"/>
        </w:rPr>
        <w:t>Canay</w:t>
      </w:r>
      <w:proofErr w:type="spellEnd"/>
      <w:r w:rsidRPr="004C2F06">
        <w:rPr>
          <w:rFonts w:ascii="Times New Roman" w:hAnsi="Times New Roman" w:cs="Times New Roman"/>
        </w:rPr>
        <w:t>, Santos, and Shaikh (</w:t>
      </w:r>
      <w:r w:rsidRPr="004C2F06">
        <w:rPr>
          <w:rFonts w:ascii="Times New Roman" w:hAnsi="Times New Roman" w:cs="Times New Roman"/>
          <w:color w:val="0000FF"/>
        </w:rPr>
        <w:t>2021</w:t>
      </w:r>
      <w:r w:rsidRPr="004C2F06">
        <w:rPr>
          <w:rFonts w:ascii="Times New Roman" w:hAnsi="Times New Roman" w:cs="Times New Roman"/>
        </w:rPr>
        <w:t>)), as shown in Online Appendix Figure A4.</w:t>
      </w:r>
    </w:p>
    <w:p w14:paraId="1F8B601D" w14:textId="77777777" w:rsidR="007E0625" w:rsidRPr="004C2F06" w:rsidRDefault="007E0625" w:rsidP="004E2DB5">
      <w:pPr>
        <w:spacing w:line="420" w:lineRule="auto"/>
        <w:ind w:left="0" w:firstLine="0"/>
        <w:rPr>
          <w:rFonts w:ascii="Times New Roman" w:hAnsi="Times New Roman" w:cs="Times New Roman"/>
        </w:rPr>
      </w:pPr>
    </w:p>
    <w:p w14:paraId="7B3E96A1" w14:textId="77777777" w:rsidR="003C25C8" w:rsidRPr="004C2F06" w:rsidRDefault="00000000" w:rsidP="004E2DB5">
      <w:pPr>
        <w:spacing w:after="346" w:line="420" w:lineRule="auto"/>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rsidP="004E2DB5">
      <w:pPr>
        <w:spacing w:after="567"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w:t>
      </w:r>
      <w:r w:rsidRPr="004C2F06">
        <w:rPr>
          <w:rFonts w:ascii="Times New Roman" w:hAnsi="Times New Roman" w:cs="Times New Roman"/>
        </w:rPr>
        <w:lastRenderedPageBreak/>
        <w:t>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rsidP="004E2DB5">
      <w:pPr>
        <w:pStyle w:val="Heading1"/>
        <w:spacing w:after="210" w:line="420" w:lineRule="auto"/>
        <w:jc w:val="center"/>
        <w:rPr>
          <w:rFonts w:ascii="Times New Roman" w:hAnsi="Times New Roman" w:cs="Times New Roman"/>
        </w:rPr>
      </w:pPr>
      <w:r w:rsidRPr="004C2F06">
        <w:rPr>
          <w:rFonts w:ascii="Times New Roman" w:hAnsi="Times New Roman" w:cs="Times New Roman"/>
        </w:rPr>
        <w:t>Conclusion</w:t>
      </w:r>
    </w:p>
    <w:p w14:paraId="0EED7332" w14:textId="77777777" w:rsidR="003C25C8" w:rsidRPr="004C2F06" w:rsidRDefault="00000000" w:rsidP="004E2DB5">
      <w:pPr>
        <w:spacing w:line="420"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1E40FCD"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teaching to other similar-paying occupations. Overall, our findings </w:t>
      </w:r>
      <w:r w:rsidR="00B01099">
        <w:rPr>
          <w:rFonts w:ascii="Times New Roman" w:hAnsi="Times New Roman" w:cs="Times New Roman"/>
        </w:rPr>
        <w:t>show</w:t>
      </w:r>
      <w:r w:rsidR="00B01099" w:rsidRPr="004C2F06">
        <w:rPr>
          <w:rFonts w:ascii="Times New Roman" w:hAnsi="Times New Roman" w:cs="Times New Roman"/>
        </w:rPr>
        <w:t xml:space="preserve"> </w:t>
      </w:r>
      <w:r w:rsidRPr="004C2F06">
        <w:rPr>
          <w:rFonts w:ascii="Times New Roman" w:hAnsi="Times New Roman" w:cs="Times New Roman"/>
        </w:rPr>
        <w:t>that the policy pulled white married women into teaching who would have otherwise not been in the labor force</w:t>
      </w:r>
      <w:r w:rsidR="00B01099">
        <w:rPr>
          <w:rFonts w:ascii="Times New Roman" w:hAnsi="Times New Roman" w:cs="Times New Roman"/>
        </w:rPr>
        <w:t xml:space="preserve">, and </w:t>
      </w:r>
      <w:r w:rsidR="00B01099" w:rsidRPr="004C2F06">
        <w:rPr>
          <w:rFonts w:ascii="Times New Roman" w:hAnsi="Times New Roman" w:cs="Times New Roman"/>
        </w:rPr>
        <w:t>while the policy did displace some unmarried women</w:t>
      </w:r>
      <w:r w:rsidR="00B01099">
        <w:rPr>
          <w:rFonts w:ascii="Times New Roman" w:hAnsi="Times New Roman" w:cs="Times New Roman"/>
        </w:rPr>
        <w:t xml:space="preserve"> from teaching, they largely switched into </w:t>
      </w:r>
      <w:r w:rsidR="00B01099">
        <w:rPr>
          <w:rFonts w:ascii="Times New Roman" w:hAnsi="Times New Roman" w:cs="Times New Roman"/>
        </w:rPr>
        <w:lastRenderedPageBreak/>
        <w:t xml:space="preserve">other </w:t>
      </w:r>
      <w:r w:rsidR="00ED1F02">
        <w:rPr>
          <w:rFonts w:ascii="Times New Roman" w:hAnsi="Times New Roman" w:cs="Times New Roman"/>
        </w:rPr>
        <w:t>occupations and did not reduce their labor force participation</w:t>
      </w:r>
      <w:r w:rsidR="00B01099">
        <w:rPr>
          <w:rFonts w:ascii="Times New Roman" w:hAnsi="Times New Roman" w:cs="Times New Roman"/>
        </w:rPr>
        <w:t>.</w:t>
      </w:r>
      <w:r w:rsidRPr="004C2F06">
        <w:rPr>
          <w:rFonts w:ascii="Times New Roman" w:hAnsi="Times New Roman" w:cs="Times New Roman"/>
        </w:rPr>
        <w:t xml:space="preserve"> Our results are largely robust to various matching specifications.</w:t>
      </w:r>
    </w:p>
    <w:p w14:paraId="472B19D1"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36B7CBB2" w14:textId="0CC7ADDC" w:rsidR="003C25C8"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r w:rsidR="007E0625">
        <w:rPr>
          <w:rFonts w:ascii="Times New Roman" w:hAnsi="Times New Roman" w:cs="Times New Roman"/>
        </w:rPr>
        <w:t xml:space="preserve"> </w:t>
      </w:r>
      <w:r w:rsidRPr="004C2F06">
        <w:rPr>
          <w:rFonts w:ascii="Times New Roman" w:hAnsi="Times New Roman" w:cs="Times New Roman"/>
        </w:rPr>
        <w:t>Marriage bars were already in steep decline by the 1950s and had largely disappeared by the</w:t>
      </w:r>
      <w:r w:rsidR="007E0625">
        <w:rPr>
          <w:rFonts w:ascii="Times New Roman" w:hAnsi="Times New Roman" w:cs="Times New Roman"/>
        </w:rPr>
        <w:t xml:space="preserve"> </w:t>
      </w:r>
      <w:r w:rsidRPr="004C2F06">
        <w:rPr>
          <w:rFonts w:ascii="Times New Roman" w:hAnsi="Times New Roman" w:cs="Times New Roman"/>
        </w:rPr>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w:t>
      </w:r>
      <w:r w:rsidR="007E0625">
        <w:rPr>
          <w:rFonts w:ascii="Times New Roman" w:hAnsi="Times New Roman" w:cs="Times New Roman"/>
        </w:rPr>
        <w:t xml:space="preserve"> </w:t>
      </w:r>
      <w:r w:rsidRPr="004C2F06">
        <w:rPr>
          <w:rFonts w:ascii="Times New Roman" w:hAnsi="Times New Roman" w:cs="Times New Roman"/>
        </w:rPr>
        <w:t>highlights the role of WWII war production in driving the increase. More recent research, however,</w:t>
      </w:r>
      <w:r w:rsidR="007E0625">
        <w:rPr>
          <w:rFonts w:ascii="Times New Roman" w:hAnsi="Times New Roman" w:cs="Times New Roman"/>
        </w:rPr>
        <w:t xml:space="preserve"> </w:t>
      </w:r>
      <w:r w:rsidRPr="004C2F06">
        <w:rPr>
          <w:rFonts w:ascii="Times New Roman" w:hAnsi="Times New Roman" w:cs="Times New Roman"/>
        </w:rPr>
        <w:t xml:space="preserve">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78D26D7A" w14:textId="77777777" w:rsidR="007E0625" w:rsidRPr="004C2F06" w:rsidRDefault="007E0625" w:rsidP="004E2DB5">
      <w:pPr>
        <w:spacing w:line="420" w:lineRule="auto"/>
        <w:ind w:left="0" w:firstLine="0"/>
        <w:rPr>
          <w:rFonts w:ascii="Times New Roman" w:hAnsi="Times New Roman" w:cs="Times New Roman"/>
        </w:rPr>
      </w:pPr>
    </w:p>
    <w:p w14:paraId="440E3133" w14:textId="77777777" w:rsidR="003C25C8" w:rsidRDefault="00000000" w:rsidP="004E2DB5">
      <w:pPr>
        <w:pStyle w:val="Heading1"/>
        <w:spacing w:after="260" w:line="420" w:lineRule="auto"/>
        <w:ind w:left="-5" w:right="0"/>
        <w:rPr>
          <w:rFonts w:ascii="Times New Roman" w:hAnsi="Times New Roman" w:cs="Times New Roman"/>
        </w:rPr>
      </w:pPr>
      <w:r w:rsidRPr="004C2F06">
        <w:rPr>
          <w:rFonts w:ascii="Times New Roman" w:hAnsi="Times New Roman" w:cs="Times New Roman"/>
        </w:rPr>
        <w:t>References</w:t>
      </w:r>
    </w:p>
    <w:p w14:paraId="15FCDEEE"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and Katherine Eriksson. “Europe’s tired, poor, huddled masses: Self-selection and economic outcomes in the age of mass migration.” </w:t>
      </w:r>
      <w:r w:rsidRPr="000B779F">
        <w:rPr>
          <w:rFonts w:ascii="Times New Roman" w:hAnsi="Times New Roman" w:cs="Times New Roman"/>
          <w:i/>
        </w:rPr>
        <w:t xml:space="preserve">American Economic Review </w:t>
      </w:r>
      <w:r w:rsidRPr="000B779F">
        <w:rPr>
          <w:rFonts w:ascii="Times New Roman" w:hAnsi="Times New Roman" w:cs="Times New Roman"/>
        </w:rPr>
        <w:t>102, no. 5 (2012): 1832–1856.</w:t>
      </w:r>
    </w:p>
    <w:p w14:paraId="2100FAF3"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Katherine Eriksson, James Feigenbaum, and Santiago P´erez. “Automated Linking of Historical Data.” </w:t>
      </w:r>
      <w:r w:rsidRPr="000B779F">
        <w:rPr>
          <w:rFonts w:ascii="Times New Roman" w:hAnsi="Times New Roman" w:cs="Times New Roman"/>
          <w:i/>
        </w:rPr>
        <w:t xml:space="preserve">Journal of Economic Literature </w:t>
      </w:r>
      <w:r w:rsidRPr="000B779F">
        <w:rPr>
          <w:rFonts w:ascii="Times New Roman" w:hAnsi="Times New Roman" w:cs="Times New Roman"/>
        </w:rPr>
        <w:t>59, no. 3 (2021): 865–918.</w:t>
      </w:r>
    </w:p>
    <w:p w14:paraId="3DA7EF6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lastRenderedPageBreak/>
        <w:t>Acemoglu, Daron, and Joshua D Angrist. “Consequences of Employment Protection? The</w:t>
      </w:r>
    </w:p>
    <w:p w14:paraId="6E97316E"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Case of the Americans with Disabilities Act.” </w:t>
      </w:r>
      <w:r w:rsidRPr="000B779F">
        <w:rPr>
          <w:rFonts w:ascii="Times New Roman" w:hAnsi="Times New Roman" w:cs="Times New Roman"/>
          <w:i/>
        </w:rPr>
        <w:t xml:space="preserve">Journal of Political Economy </w:t>
      </w:r>
      <w:r w:rsidRPr="000B779F">
        <w:rPr>
          <w:rFonts w:ascii="Times New Roman" w:hAnsi="Times New Roman" w:cs="Times New Roman"/>
        </w:rPr>
        <w:t>109, no. 5 (2001): 915–957.</w:t>
      </w:r>
    </w:p>
    <w:p w14:paraId="395036F5"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Acemoglu, Daron, David H. Autor, and David Lyle. “Women, War, and Wages: The Effect of Female Labor Supply on the Wage Structure at Midcentury.” </w:t>
      </w:r>
      <w:r w:rsidRPr="000B779F">
        <w:rPr>
          <w:rFonts w:ascii="Times New Roman" w:hAnsi="Times New Roman" w:cs="Times New Roman"/>
          <w:i/>
        </w:rPr>
        <w:t xml:space="preserve">Journal of Political Economy </w:t>
      </w:r>
      <w:r w:rsidRPr="000B779F">
        <w:rPr>
          <w:rFonts w:ascii="Times New Roman" w:hAnsi="Times New Roman" w:cs="Times New Roman"/>
        </w:rPr>
        <w:t>112, no. 3 (2004).</w:t>
      </w:r>
    </w:p>
    <w:p w14:paraId="5559215B"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Bailey, Martha J. “More Power to the Pill: The Impact of Contraceptive Freedom on</w:t>
      </w:r>
    </w:p>
    <w:p w14:paraId="57617D6B" w14:textId="77777777" w:rsidR="000B779F"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 xml:space="preserve">Women’s Life Cycle Labor Supply.” </w:t>
      </w:r>
      <w:r w:rsidRPr="000B779F">
        <w:rPr>
          <w:rFonts w:ascii="Times New Roman" w:hAnsi="Times New Roman" w:cs="Times New Roman"/>
          <w:i/>
        </w:rPr>
        <w:t xml:space="preserve">The Quarterly Journal of Economics </w:t>
      </w:r>
      <w:r w:rsidRPr="000B779F">
        <w:rPr>
          <w:rFonts w:ascii="Times New Roman" w:hAnsi="Times New Roman" w:cs="Times New Roman"/>
        </w:rPr>
        <w:t>121, no. 1 (2006): 289–320.</w:t>
      </w:r>
    </w:p>
    <w:p w14:paraId="52155826"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Bailey, Martha J, Thomas Helgerman, and Bryan A Stuart. “How the 1963 Equal Pay Act and 1964 Civil Rights Act Shaped the Gender Gap in Pay.” </w:t>
      </w:r>
      <w:r w:rsidRPr="000B779F">
        <w:rPr>
          <w:rFonts w:ascii="Times New Roman" w:hAnsi="Times New Roman" w:cs="Times New Roman"/>
          <w:i/>
        </w:rPr>
        <w:t>The Quarterly Journal of Economics</w:t>
      </w:r>
      <w:r w:rsidRPr="000B779F">
        <w:rPr>
          <w:rFonts w:ascii="Times New Roman" w:hAnsi="Times New Roman" w:cs="Times New Roman"/>
        </w:rPr>
        <w:t>, 2024.</w:t>
      </w:r>
    </w:p>
    <w:p w14:paraId="17E381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Beegle, Kathleen, and Wendy Stock. “The Labor Market Effects of Disability Discrimination</w:t>
      </w:r>
    </w:p>
    <w:p w14:paraId="0DE506A0"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Laws.” </w:t>
      </w:r>
      <w:r w:rsidRPr="000B779F">
        <w:rPr>
          <w:rFonts w:ascii="Times New Roman" w:hAnsi="Times New Roman" w:cs="Times New Roman"/>
          <w:i/>
        </w:rPr>
        <w:t xml:space="preserve">Journal of Human Resources </w:t>
      </w:r>
      <w:r w:rsidRPr="000B779F">
        <w:rPr>
          <w:rFonts w:ascii="Times New Roman" w:hAnsi="Times New Roman" w:cs="Times New Roman"/>
        </w:rPr>
        <w:t>38, no. 4 (2003): 806–859.</w:t>
      </w:r>
    </w:p>
    <w:p w14:paraId="263BE7D1" w14:textId="77777777" w:rsidR="000B779F" w:rsidRPr="000B779F" w:rsidRDefault="000B779F" w:rsidP="004E2DB5">
      <w:pPr>
        <w:spacing w:after="177" w:line="420" w:lineRule="auto"/>
        <w:ind w:left="453" w:right="102" w:hanging="468"/>
        <w:rPr>
          <w:rFonts w:ascii="Times New Roman" w:hAnsi="Times New Roman" w:cs="Times New Roman"/>
        </w:rPr>
      </w:pPr>
      <w:r w:rsidRPr="000B779F">
        <w:rPr>
          <w:rFonts w:ascii="Times New Roman" w:hAnsi="Times New Roman" w:cs="Times New Roman"/>
        </w:rPr>
        <w:t xml:space="preserve">Bellou, Andriana, and Emanuela Cardia. “The Great Depression and the Rise of Female Employment: A New Hypothesis.”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101383.</w:t>
      </w:r>
    </w:p>
    <w:p w14:paraId="6338FF89"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Bertrand, Marianne, Emir Kamenica, and Jessica Pan. “Gender Identity and Relative Income</w:t>
      </w:r>
    </w:p>
    <w:p w14:paraId="1CB016F8" w14:textId="77777777" w:rsidR="000B779F" w:rsidRPr="000B779F" w:rsidRDefault="000B779F" w:rsidP="004E2DB5">
      <w:pPr>
        <w:spacing w:after="313" w:line="420" w:lineRule="auto"/>
        <w:ind w:right="102"/>
        <w:jc w:val="right"/>
        <w:rPr>
          <w:rFonts w:ascii="Times New Roman" w:hAnsi="Times New Roman" w:cs="Times New Roman"/>
        </w:rPr>
      </w:pPr>
      <w:r w:rsidRPr="000B779F">
        <w:rPr>
          <w:rFonts w:ascii="Times New Roman" w:hAnsi="Times New Roman" w:cs="Times New Roman"/>
        </w:rPr>
        <w:t xml:space="preserve">Within Households.” </w:t>
      </w:r>
      <w:r w:rsidRPr="000B779F">
        <w:rPr>
          <w:rFonts w:ascii="Times New Roman" w:hAnsi="Times New Roman" w:cs="Times New Roman"/>
          <w:i/>
        </w:rPr>
        <w:t xml:space="preserve">The Quarterly Journal of Economics </w:t>
      </w:r>
      <w:r w:rsidRPr="000B779F">
        <w:rPr>
          <w:rFonts w:ascii="Times New Roman" w:hAnsi="Times New Roman" w:cs="Times New Roman"/>
        </w:rPr>
        <w:t>130, no. 2 (2015): 571–614.</w:t>
      </w:r>
    </w:p>
    <w:p w14:paraId="2A6DE6A9"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Blount, Jackie. “Manly Men and Womanly Women: Deviance, Gender Role Polarization, and the Shift in Women’s School Employment, 1900–1976.” </w:t>
      </w:r>
      <w:r w:rsidRPr="000B779F">
        <w:rPr>
          <w:rFonts w:ascii="Times New Roman" w:hAnsi="Times New Roman" w:cs="Times New Roman"/>
          <w:i/>
        </w:rPr>
        <w:t xml:space="preserve">Harvard Educational Review </w:t>
      </w:r>
      <w:r w:rsidRPr="000B779F">
        <w:rPr>
          <w:rFonts w:ascii="Times New Roman" w:hAnsi="Times New Roman" w:cs="Times New Roman"/>
        </w:rPr>
        <w:t>66, no. 2 (1996): 318–339.</w:t>
      </w:r>
    </w:p>
    <w:p w14:paraId="5536AE92"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Bohan, Chara H, and Wesley Null. “Gender and the Evolution of Normal School Education: A Historical Analysis of Teacher Education Institutions.” </w:t>
      </w:r>
      <w:r w:rsidRPr="000B779F">
        <w:rPr>
          <w:rFonts w:ascii="Times New Roman" w:hAnsi="Times New Roman" w:cs="Times New Roman"/>
          <w:i/>
        </w:rPr>
        <w:t xml:space="preserve">Educational Foundations </w:t>
      </w:r>
      <w:r w:rsidRPr="000B779F">
        <w:rPr>
          <w:rFonts w:ascii="Times New Roman" w:hAnsi="Times New Roman" w:cs="Times New Roman"/>
        </w:rPr>
        <w:t>21, nos. 3–4 (2007): 3–26.</w:t>
      </w:r>
    </w:p>
    <w:p w14:paraId="2DD3F454" w14:textId="77777777" w:rsidR="000B779F" w:rsidRPr="000B779F" w:rsidRDefault="000B779F" w:rsidP="004E2DB5">
      <w:pPr>
        <w:spacing w:after="196" w:line="420" w:lineRule="auto"/>
        <w:ind w:left="453" w:right="102" w:hanging="468"/>
        <w:rPr>
          <w:rFonts w:ascii="Times New Roman" w:hAnsi="Times New Roman" w:cs="Times New Roman"/>
        </w:rPr>
      </w:pPr>
      <w:proofErr w:type="spellStart"/>
      <w:r w:rsidRPr="000B779F">
        <w:rPr>
          <w:rFonts w:ascii="Times New Roman" w:hAnsi="Times New Roman" w:cs="Times New Roman"/>
        </w:rPr>
        <w:t>Boustan</w:t>
      </w:r>
      <w:proofErr w:type="spellEnd"/>
      <w:r w:rsidRPr="000B779F">
        <w:rPr>
          <w:rFonts w:ascii="Times New Roman" w:hAnsi="Times New Roman" w:cs="Times New Roman"/>
        </w:rPr>
        <w:t xml:space="preserve">, Leah, and William Collins. “The Origin and Persistence of Black–White Differences in Women’s Labor Force Participation.” In </w:t>
      </w:r>
      <w:r w:rsidRPr="000B779F">
        <w:rPr>
          <w:rFonts w:ascii="Times New Roman" w:hAnsi="Times New Roman" w:cs="Times New Roman"/>
          <w:i/>
        </w:rPr>
        <w:t>Human Capital in History: The American Record</w:t>
      </w:r>
      <w:r w:rsidRPr="000B779F">
        <w:rPr>
          <w:rFonts w:ascii="Times New Roman" w:hAnsi="Times New Roman" w:cs="Times New Roman"/>
        </w:rPr>
        <w:t>, 205–240. University of Chicago Press, 2014.</w:t>
      </w:r>
    </w:p>
    <w:p w14:paraId="3750F376" w14:textId="77777777" w:rsidR="000B779F" w:rsidRPr="000B779F" w:rsidRDefault="000B779F" w:rsidP="004E2DB5">
      <w:pPr>
        <w:spacing w:after="169" w:line="420" w:lineRule="auto"/>
        <w:ind w:left="453" w:right="102" w:hanging="468"/>
        <w:rPr>
          <w:rFonts w:ascii="Times New Roman" w:hAnsi="Times New Roman" w:cs="Times New Roman"/>
        </w:rPr>
      </w:pPr>
      <w:r w:rsidRPr="000B779F">
        <w:rPr>
          <w:rFonts w:ascii="Times New Roman" w:hAnsi="Times New Roman" w:cs="Times New Roman"/>
        </w:rPr>
        <w:t xml:space="preserve">Buckles, Kasey, Adrian Haws, Joseph Price, and Haley Wilbert. </w:t>
      </w:r>
      <w:r w:rsidRPr="000B779F">
        <w:rPr>
          <w:rFonts w:ascii="Times New Roman" w:hAnsi="Times New Roman" w:cs="Times New Roman"/>
          <w:i/>
        </w:rPr>
        <w:t>Breakthroughs in Historical Record Linking Using Genealogy Data: The Census Tree Project</w:t>
      </w:r>
      <w:r w:rsidRPr="000B779F">
        <w:rPr>
          <w:rFonts w:ascii="Times New Roman" w:hAnsi="Times New Roman" w:cs="Times New Roman"/>
        </w:rPr>
        <w:t>, NBER Working Paper No. 31671. September 2023.</w:t>
      </w:r>
    </w:p>
    <w:p w14:paraId="3798D181" w14:textId="77777777" w:rsidR="000B779F"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Cameron, A Colin, Jonah B Gelbach, and Douglas L Miller. “Bootstrap-Based Improvements for Inference </w:t>
      </w:r>
      <w:proofErr w:type="gramStart"/>
      <w:r w:rsidRPr="000B779F">
        <w:rPr>
          <w:rFonts w:ascii="Times New Roman" w:hAnsi="Times New Roman" w:cs="Times New Roman"/>
        </w:rPr>
        <w:t>With</w:t>
      </w:r>
      <w:proofErr w:type="gramEnd"/>
      <w:r w:rsidRPr="000B779F">
        <w:rPr>
          <w:rFonts w:ascii="Times New Roman" w:hAnsi="Times New Roman" w:cs="Times New Roman"/>
        </w:rPr>
        <w:t xml:space="preserve"> Clustered Errors.” </w:t>
      </w:r>
      <w:r w:rsidRPr="000B779F">
        <w:rPr>
          <w:rFonts w:ascii="Times New Roman" w:hAnsi="Times New Roman" w:cs="Times New Roman"/>
          <w:i/>
        </w:rPr>
        <w:t xml:space="preserve">The Review of Economics and Statistics </w:t>
      </w:r>
      <w:r w:rsidRPr="000B779F">
        <w:rPr>
          <w:rFonts w:ascii="Times New Roman" w:hAnsi="Times New Roman" w:cs="Times New Roman"/>
        </w:rPr>
        <w:t>90, no.</w:t>
      </w:r>
    </w:p>
    <w:p w14:paraId="1B40C7E8" w14:textId="7D8EC224" w:rsidR="00AC0ED5"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3 (2008): 414–427.</w:t>
      </w:r>
    </w:p>
    <w:p w14:paraId="25CD305D"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Canay</w:t>
      </w:r>
      <w:proofErr w:type="spellEnd"/>
      <w:r w:rsidRPr="000B779F">
        <w:rPr>
          <w:rFonts w:ascii="Times New Roman" w:hAnsi="Times New Roman" w:cs="Times New Roman"/>
        </w:rPr>
        <w:t>, Ivan A, Andres Santos, and Azeem M Shaikh. “The Wild Bootstrap With a “Small”</w:t>
      </w:r>
    </w:p>
    <w:p w14:paraId="4BC53714"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Number of “Large” Clusters.” </w:t>
      </w:r>
      <w:r w:rsidRPr="000B779F">
        <w:rPr>
          <w:rFonts w:ascii="Times New Roman" w:hAnsi="Times New Roman" w:cs="Times New Roman"/>
          <w:i/>
        </w:rPr>
        <w:t xml:space="preserve">Review of Economics and Statistics </w:t>
      </w:r>
      <w:r w:rsidRPr="000B779F">
        <w:rPr>
          <w:rFonts w:ascii="Times New Roman" w:hAnsi="Times New Roman" w:cs="Times New Roman"/>
        </w:rPr>
        <w:t>103, no. 2 (2021): 346–363.</w:t>
      </w:r>
    </w:p>
    <w:p w14:paraId="67DEC53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Carrington, William J, Kristin McCue, and Brooks Pierce. “Using Establishment Size to</w:t>
      </w:r>
    </w:p>
    <w:p w14:paraId="683FDB3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Measure the Impact of Title VII and Affirmative Action.” </w:t>
      </w:r>
      <w:r w:rsidRPr="000B779F">
        <w:rPr>
          <w:rFonts w:ascii="Times New Roman" w:hAnsi="Times New Roman" w:cs="Times New Roman"/>
          <w:i/>
        </w:rPr>
        <w:t>Journal of Human Resources</w:t>
      </w:r>
      <w:r w:rsidRPr="000B779F">
        <w:rPr>
          <w:rFonts w:ascii="Times New Roman" w:hAnsi="Times New Roman" w:cs="Times New Roman"/>
        </w:rPr>
        <w:t>, 2000, 503–523.</w:t>
      </w:r>
    </w:p>
    <w:p w14:paraId="74C9B4D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W. G. Knox, and R. H. Libby. “Chapter VI: Local Residents and Married</w:t>
      </w:r>
    </w:p>
    <w:p w14:paraId="792B1FC6"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Women as Teachers.” </w:t>
      </w:r>
      <w:r w:rsidRPr="000B779F">
        <w:rPr>
          <w:rFonts w:ascii="Times New Roman" w:hAnsi="Times New Roman" w:cs="Times New Roman"/>
          <w:i/>
        </w:rPr>
        <w:t xml:space="preserve">Review of Educational Research </w:t>
      </w:r>
      <w:r w:rsidRPr="000B779F">
        <w:rPr>
          <w:rFonts w:ascii="Times New Roman" w:hAnsi="Times New Roman" w:cs="Times New Roman"/>
        </w:rPr>
        <w:t>13, no. 3 (1943): 252–261.</w:t>
      </w:r>
    </w:p>
    <w:p w14:paraId="066EEB6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and C. W. Simms. “Local Residents and Married Women as Teachers.”</w:t>
      </w:r>
    </w:p>
    <w:p w14:paraId="68490390"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Educational Research </w:t>
      </w:r>
      <w:r w:rsidRPr="000B779F">
        <w:rPr>
          <w:rFonts w:ascii="Times New Roman" w:hAnsi="Times New Roman" w:cs="Times New Roman"/>
        </w:rPr>
        <w:t>10, no. 3 (1940): 204–209.</w:t>
      </w:r>
    </w:p>
    <w:p w14:paraId="541A99E8" w14:textId="77777777" w:rsidR="000B779F" w:rsidRPr="000B779F" w:rsidRDefault="000B779F" w:rsidP="004E2DB5">
      <w:pPr>
        <w:spacing w:after="204"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Costa, Dora L. “From Mill Town to Board Room: The Rise of Women’s Paid Labor.” </w:t>
      </w:r>
      <w:r w:rsidRPr="000B779F">
        <w:rPr>
          <w:rFonts w:ascii="Times New Roman" w:hAnsi="Times New Roman" w:cs="Times New Roman"/>
          <w:i/>
        </w:rPr>
        <w:t xml:space="preserve">Journal of Economic Perspectives </w:t>
      </w:r>
      <w:r w:rsidRPr="000B779F">
        <w:rPr>
          <w:rFonts w:ascii="Times New Roman" w:hAnsi="Times New Roman" w:cs="Times New Roman"/>
        </w:rPr>
        <w:t>14, no. 4 (2000): 101–122.</w:t>
      </w:r>
    </w:p>
    <w:p w14:paraId="3354BF07" w14:textId="77777777" w:rsidR="004E2DB5"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Courier Journal, </w:t>
      </w:r>
      <w:r w:rsidRPr="000B779F">
        <w:rPr>
          <w:rFonts w:ascii="Times New Roman" w:hAnsi="Times New Roman" w:cs="Times New Roman"/>
        </w:rPr>
        <w:t>12 March 1938. Louisville, KY.</w:t>
      </w:r>
    </w:p>
    <w:p w14:paraId="603E7735" w14:textId="649E98B2"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Daily Press, </w:t>
      </w:r>
      <w:r w:rsidRPr="000B779F">
        <w:rPr>
          <w:rFonts w:ascii="Times New Roman" w:hAnsi="Times New Roman" w:cs="Times New Roman"/>
        </w:rPr>
        <w:t>27 January 1932. Newport News, VA.</w:t>
      </w:r>
    </w:p>
    <w:p w14:paraId="57701587" w14:textId="77777777" w:rsidR="000B779F" w:rsidRPr="000B779F" w:rsidRDefault="000B779F" w:rsidP="004E2DB5">
      <w:pPr>
        <w:spacing w:after="199" w:line="420" w:lineRule="auto"/>
        <w:ind w:left="453" w:right="102" w:hanging="468"/>
        <w:rPr>
          <w:rFonts w:ascii="Times New Roman" w:hAnsi="Times New Roman" w:cs="Times New Roman"/>
        </w:rPr>
      </w:pPr>
      <w:proofErr w:type="spellStart"/>
      <w:r w:rsidRPr="000B779F">
        <w:rPr>
          <w:rFonts w:ascii="Times New Roman" w:hAnsi="Times New Roman" w:cs="Times New Roman"/>
        </w:rPr>
        <w:t>DeLeire</w:t>
      </w:r>
      <w:proofErr w:type="spellEnd"/>
      <w:r w:rsidRPr="000B779F">
        <w:rPr>
          <w:rFonts w:ascii="Times New Roman" w:hAnsi="Times New Roman" w:cs="Times New Roman"/>
        </w:rPr>
        <w:t>, Thomas Charles. “The Wage and Employment Effects of the Americans with Disabilities Act.” Ph.D. diss., Stanford University, 1997.</w:t>
      </w:r>
    </w:p>
    <w:p w14:paraId="01F6BDC1" w14:textId="73DCC4DF" w:rsidR="000B779F" w:rsidRPr="000B779F" w:rsidRDefault="000B779F" w:rsidP="004E2DB5">
      <w:pPr>
        <w:spacing w:after="175" w:line="420" w:lineRule="auto"/>
        <w:ind w:left="453" w:right="102" w:hanging="468"/>
        <w:rPr>
          <w:rFonts w:ascii="Times New Roman" w:hAnsi="Times New Roman" w:cs="Times New Roman"/>
        </w:rPr>
      </w:pPr>
      <w:r w:rsidRPr="000B779F">
        <w:rPr>
          <w:rFonts w:ascii="Times New Roman" w:hAnsi="Times New Roman" w:cs="Times New Roman"/>
        </w:rPr>
        <w:t>Fern</w:t>
      </w:r>
      <w:r w:rsidR="00AC0ED5">
        <w:rPr>
          <w:rFonts w:ascii="Times New Roman" w:hAnsi="Times New Roman" w:cs="Times New Roman"/>
        </w:rPr>
        <w:t>á</w:t>
      </w:r>
      <w:r w:rsidRPr="000B779F">
        <w:rPr>
          <w:rFonts w:ascii="Times New Roman" w:hAnsi="Times New Roman" w:cs="Times New Roman"/>
        </w:rPr>
        <w:t xml:space="preserve">ndez, Raquel. “Women, Work, and Culture.” </w:t>
      </w:r>
      <w:r w:rsidRPr="000B779F">
        <w:rPr>
          <w:rFonts w:ascii="Times New Roman" w:hAnsi="Times New Roman" w:cs="Times New Roman"/>
          <w:i/>
        </w:rPr>
        <w:t xml:space="preserve">Journal of the European Economic Association </w:t>
      </w:r>
      <w:r w:rsidRPr="000B779F">
        <w:rPr>
          <w:rFonts w:ascii="Times New Roman" w:hAnsi="Times New Roman" w:cs="Times New Roman"/>
        </w:rPr>
        <w:t>5, nos. 2-3 (May 2007): 305–332.</w:t>
      </w:r>
    </w:p>
    <w:p w14:paraId="71DA4331" w14:textId="4FFD4D46" w:rsidR="000B779F" w:rsidRPr="000B779F" w:rsidRDefault="00E44FF8" w:rsidP="004E2DB5">
      <w:pPr>
        <w:spacing w:after="158" w:line="420" w:lineRule="auto"/>
        <w:ind w:left="-5" w:right="102"/>
        <w:rPr>
          <w:rFonts w:ascii="Times New Roman" w:hAnsi="Times New Roman" w:cs="Times New Roman"/>
        </w:rPr>
      </w:pPr>
      <w:r w:rsidRPr="000B779F">
        <w:rPr>
          <w:rFonts w:ascii="Times New Roman" w:hAnsi="Times New Roman" w:cs="Times New Roman"/>
        </w:rPr>
        <w:t>Fern</w:t>
      </w:r>
      <w:r>
        <w:rPr>
          <w:rFonts w:ascii="Times New Roman" w:hAnsi="Times New Roman" w:cs="Times New Roman"/>
        </w:rPr>
        <w:t>á</w:t>
      </w:r>
      <w:r w:rsidRPr="000B779F">
        <w:rPr>
          <w:rFonts w:ascii="Times New Roman" w:hAnsi="Times New Roman" w:cs="Times New Roman"/>
        </w:rPr>
        <w:t xml:space="preserve">ndez, </w:t>
      </w:r>
      <w:r w:rsidR="000B779F" w:rsidRPr="000B779F">
        <w:rPr>
          <w:rFonts w:ascii="Times New Roman" w:hAnsi="Times New Roman" w:cs="Times New Roman"/>
        </w:rPr>
        <w:t>Raquel, and Joyce Wong. “Unilateral Divorce, the Decreasing Gender Gap, and</w:t>
      </w:r>
    </w:p>
    <w:p w14:paraId="5D50A3D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Married Women’s Labor Force Participation.” </w:t>
      </w:r>
      <w:r w:rsidRPr="000B779F">
        <w:rPr>
          <w:rFonts w:ascii="Times New Roman" w:hAnsi="Times New Roman" w:cs="Times New Roman"/>
          <w:i/>
        </w:rPr>
        <w:t xml:space="preserve">American Economic Review </w:t>
      </w:r>
      <w:r w:rsidRPr="000B779F">
        <w:rPr>
          <w:rFonts w:ascii="Times New Roman" w:hAnsi="Times New Roman" w:cs="Times New Roman"/>
        </w:rPr>
        <w:t>104, no. 5 (2014): 342–47.</w:t>
      </w:r>
    </w:p>
    <w:p w14:paraId="76D1B6A8" w14:textId="55314BA1" w:rsidR="00A93550"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Finegan, T Aldrich, and Robert A Margo. “Work Relief and the Labor Force Participation of Married Women in 1940.” </w:t>
      </w:r>
      <w:r w:rsidRPr="000B779F">
        <w:rPr>
          <w:rFonts w:ascii="Times New Roman" w:hAnsi="Times New Roman" w:cs="Times New Roman"/>
          <w:i/>
        </w:rPr>
        <w:t xml:space="preserve">The Journal of Economic History </w:t>
      </w:r>
      <w:r w:rsidRPr="000B779F">
        <w:rPr>
          <w:rFonts w:ascii="Times New Roman" w:hAnsi="Times New Roman" w:cs="Times New Roman"/>
        </w:rPr>
        <w:t>54, no. 1 (1994): 64–84.</w:t>
      </w:r>
    </w:p>
    <w:p w14:paraId="169A681F"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Fishback, Price V, Michael R Haines, and Shawn Kantor. “Births, Deaths, and New Deal</w:t>
      </w:r>
    </w:p>
    <w:p w14:paraId="3C9926BB"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Relief during the Great Depression.” </w:t>
      </w:r>
      <w:r w:rsidRPr="000B779F">
        <w:rPr>
          <w:rFonts w:ascii="Times New Roman" w:hAnsi="Times New Roman" w:cs="Times New Roman"/>
          <w:i/>
        </w:rPr>
        <w:t xml:space="preserve">The Review of Economics and Statistics </w:t>
      </w:r>
      <w:r w:rsidRPr="000B779F">
        <w:rPr>
          <w:rFonts w:ascii="Times New Roman" w:hAnsi="Times New Roman" w:cs="Times New Roman"/>
        </w:rPr>
        <w:t>89, no. 1 (2007): 1–14.</w:t>
      </w:r>
    </w:p>
    <w:p w14:paraId="5A6FB9FC" w14:textId="77777777" w:rsidR="000B779F" w:rsidRPr="000B779F" w:rsidRDefault="000B779F" w:rsidP="004E2DB5">
      <w:pPr>
        <w:spacing w:after="198" w:line="420" w:lineRule="auto"/>
        <w:ind w:left="453" w:right="102" w:hanging="468"/>
        <w:rPr>
          <w:rFonts w:ascii="Times New Roman" w:hAnsi="Times New Roman" w:cs="Times New Roman"/>
        </w:rPr>
      </w:pPr>
      <w:r w:rsidRPr="000B779F">
        <w:rPr>
          <w:rFonts w:ascii="Times New Roman" w:hAnsi="Times New Roman" w:cs="Times New Roman"/>
        </w:rPr>
        <w:t xml:space="preserve">Gallup Organization. </w:t>
      </w:r>
      <w:r w:rsidRPr="000B779F">
        <w:rPr>
          <w:rFonts w:ascii="Times New Roman" w:hAnsi="Times New Roman" w:cs="Times New Roman"/>
          <w:i/>
        </w:rPr>
        <w:t>Gallup Poll 1938-0131: Recreation/Marital Status of Teachers/James Roosevelt/Railroads/Elections, 1938 [Dataset]</w:t>
      </w:r>
      <w:r w:rsidRPr="000B779F">
        <w:rPr>
          <w:rFonts w:ascii="Times New Roman" w:hAnsi="Times New Roman" w:cs="Times New Roman"/>
        </w:rPr>
        <w:t>. Roper #31087115, Version 3. Gallup Organization [producer]. Cornell University, Ithaca, NY: Roper Center for Public Opinion Research [distributor]. Access Date: Feb-20-2024, 1938.</w:t>
      </w:r>
    </w:p>
    <w:p w14:paraId="0B3EE186"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Goldin, Claudia. </w:t>
      </w:r>
      <w:r w:rsidRPr="000B779F">
        <w:rPr>
          <w:rFonts w:ascii="Times New Roman" w:hAnsi="Times New Roman" w:cs="Times New Roman"/>
          <w:i/>
        </w:rPr>
        <w:t>Career and Family: Women’s Century-Long Journey toward Equity</w:t>
      </w:r>
      <w:r w:rsidRPr="000B779F">
        <w:rPr>
          <w:rFonts w:ascii="Times New Roman" w:hAnsi="Times New Roman" w:cs="Times New Roman"/>
        </w:rPr>
        <w:t>. Princeton NJ: Princeton University Press, 2021.</w:t>
      </w:r>
    </w:p>
    <w:p w14:paraId="065E9784" w14:textId="77777777" w:rsidR="000B779F" w:rsidRPr="000B779F" w:rsidRDefault="000B779F" w:rsidP="004E2DB5">
      <w:pPr>
        <w:spacing w:after="196"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4384" behindDoc="0" locked="0" layoutInCell="1" allowOverlap="1" wp14:anchorId="1898F0BB" wp14:editId="3E57E7E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7241E6A9" id="Group 45501" o:spid="_x0000_s1026" style="position:absolute;margin-left:0;margin-top:5.95pt;width:35.1pt;height:.6pt;z-index:251664384"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u/O0208CAACnBQAADgAAAAAAAAAAAAAAAAAuAgAAZHJzL2Uyb0RvYy54bWxQSwECLQAUAAYACAAA&#10;ACEAoZiwjNwAAAAFAQAADwAAAAAAAAAAAAAAAACpBAAAZHJzL2Rvd25yZXYueG1sUEsFBgAAAAAE&#10;AAQA8wAAALIFAAAAAA==&#10;">
                <v:shape id="Shape 2228"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“Marriage Bars: Discrimination Against Married Women Workers from the 1920s to the 1950s.” In </w:t>
      </w:r>
      <w:r w:rsidRPr="000B779F">
        <w:rPr>
          <w:rFonts w:ascii="Times New Roman" w:hAnsi="Times New Roman" w:cs="Times New Roman"/>
          <w:i/>
        </w:rPr>
        <w:t>Favorites of Fortune: Technology, Growth, and Economic Development since the Industrial Revolution</w:t>
      </w:r>
      <w:r w:rsidRPr="000B779F">
        <w:rPr>
          <w:rFonts w:ascii="Times New Roman" w:hAnsi="Times New Roman" w:cs="Times New Roman"/>
        </w:rPr>
        <w:t>, 511–536. Harvard University Press, 1991.</w:t>
      </w:r>
    </w:p>
    <w:p w14:paraId="75E76184"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5408" behindDoc="0" locked="0" layoutInCell="1" allowOverlap="1" wp14:anchorId="4D68B567" wp14:editId="45040F81">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75F99256" id="Group 45502" o:spid="_x0000_s1026" style="position:absolute;margin-left:0;margin-top:5.95pt;width:35.1pt;height:.6pt;z-index:251665408"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mjBoE8CAACnBQAADgAAAAAAAAAAAAAAAAAuAgAAZHJzL2Uyb0RvYy54bWxQSwECLQAUAAYACAAA&#10;ACEAoZiwjNwAAAAFAQAADwAAAAAAAAAAAAAAAACpBAAAZHJzL2Rvd25yZXYueG1sUEsFBgAAAAAE&#10;AAQA8wAAALIFAAAAAA==&#10;">
                <v:shape id="Shape 223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Role of World War II in the Rise of Women’s Employment.” </w:t>
      </w:r>
      <w:r w:rsidRPr="000B779F">
        <w:rPr>
          <w:rFonts w:ascii="Times New Roman" w:hAnsi="Times New Roman" w:cs="Times New Roman"/>
          <w:i/>
        </w:rPr>
        <w:t xml:space="preserve">The American Economic Review </w:t>
      </w:r>
      <w:r w:rsidRPr="000B779F">
        <w:rPr>
          <w:rFonts w:ascii="Times New Roman" w:hAnsi="Times New Roman" w:cs="Times New Roman"/>
        </w:rPr>
        <w:t>81, no. 4 (1991): 741–756.</w:t>
      </w:r>
    </w:p>
    <w:p w14:paraId="4894F87E"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Goldin, Claudia, and Lawrence Katz. “The Power of the Pill: Oral Contraceptives and</w:t>
      </w:r>
    </w:p>
    <w:p w14:paraId="160DD736"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Women’s Career and Marriage Decisions.” </w:t>
      </w:r>
      <w:r w:rsidRPr="000B779F">
        <w:rPr>
          <w:rFonts w:ascii="Times New Roman" w:hAnsi="Times New Roman" w:cs="Times New Roman"/>
          <w:i/>
        </w:rPr>
        <w:t xml:space="preserve">Journal of Political Economy </w:t>
      </w:r>
      <w:r w:rsidRPr="000B779F">
        <w:rPr>
          <w:rFonts w:ascii="Times New Roman" w:hAnsi="Times New Roman" w:cs="Times New Roman"/>
        </w:rPr>
        <w:t>110, no. 4 (2002): 705–946.</w:t>
      </w:r>
    </w:p>
    <w:p w14:paraId="2C05F980"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Greenwood, Jeremy, Ananth Seshadri, and Mehmet Yorukoglu. “Engines of Liberation.” </w:t>
      </w:r>
      <w:r w:rsidRPr="000B779F">
        <w:rPr>
          <w:rFonts w:ascii="Times New Roman" w:hAnsi="Times New Roman" w:cs="Times New Roman"/>
          <w:i/>
        </w:rPr>
        <w:t>The</w:t>
      </w:r>
    </w:p>
    <w:p w14:paraId="7C4176E4"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Economic Studies </w:t>
      </w:r>
      <w:r w:rsidRPr="000B779F">
        <w:rPr>
          <w:rFonts w:ascii="Times New Roman" w:hAnsi="Times New Roman" w:cs="Times New Roman"/>
        </w:rPr>
        <w:t>72, no. 1 (2005): 109–133.</w:t>
      </w:r>
    </w:p>
    <w:p w14:paraId="767B0F65" w14:textId="77777777" w:rsidR="000B779F" w:rsidRPr="000B779F" w:rsidRDefault="000B779F" w:rsidP="004E2DB5">
      <w:pPr>
        <w:spacing w:after="171" w:line="420" w:lineRule="auto"/>
        <w:ind w:left="453" w:right="102" w:hanging="468"/>
        <w:rPr>
          <w:rFonts w:ascii="Times New Roman" w:hAnsi="Times New Roman" w:cs="Times New Roman"/>
        </w:rPr>
      </w:pPr>
      <w:r w:rsidRPr="000B779F">
        <w:rPr>
          <w:rFonts w:ascii="Times New Roman" w:hAnsi="Times New Roman" w:cs="Times New Roman"/>
        </w:rPr>
        <w:t xml:space="preserve">Harper, Charles Athiel. </w:t>
      </w:r>
      <w:r w:rsidRPr="000B779F">
        <w:rPr>
          <w:rFonts w:ascii="Times New Roman" w:hAnsi="Times New Roman" w:cs="Times New Roman"/>
          <w:i/>
        </w:rPr>
        <w:t xml:space="preserve">A Century of Public Teacher Education: The Story of the State Teachers Colleges as They Evolved </w:t>
      </w:r>
      <w:proofErr w:type="gramStart"/>
      <w:r w:rsidRPr="000B779F">
        <w:rPr>
          <w:rFonts w:ascii="Times New Roman" w:hAnsi="Times New Roman" w:cs="Times New Roman"/>
          <w:i/>
        </w:rPr>
        <w:t>From</w:t>
      </w:r>
      <w:proofErr w:type="gramEnd"/>
      <w:r w:rsidRPr="000B779F">
        <w:rPr>
          <w:rFonts w:ascii="Times New Roman" w:hAnsi="Times New Roman" w:cs="Times New Roman"/>
          <w:i/>
        </w:rPr>
        <w:t xml:space="preserve"> the Normal Schools</w:t>
      </w:r>
      <w:r w:rsidRPr="000B779F">
        <w:rPr>
          <w:rFonts w:ascii="Times New Roman" w:hAnsi="Times New Roman" w:cs="Times New Roman"/>
        </w:rPr>
        <w:t>. Washington DC: Greenwood Press, 1939.</w:t>
      </w:r>
    </w:p>
    <w:p w14:paraId="6A0A9E95"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Helgertz</w:t>
      </w:r>
      <w:proofErr w:type="spellEnd"/>
      <w:r w:rsidRPr="000B779F">
        <w:rPr>
          <w:rFonts w:ascii="Times New Roman" w:hAnsi="Times New Roman" w:cs="Times New Roman"/>
        </w:rPr>
        <w:t>, Jonas, Steven Ruggles, John R Warren, Catherine A Fitch, J David Hacker, Matt A</w:t>
      </w:r>
    </w:p>
    <w:p w14:paraId="3472B4F0" w14:textId="77777777" w:rsidR="000B779F" w:rsidRPr="000B779F" w:rsidRDefault="000B779F" w:rsidP="004E2DB5">
      <w:pPr>
        <w:spacing w:after="140" w:line="420" w:lineRule="auto"/>
        <w:ind w:left="478" w:right="102"/>
        <w:rPr>
          <w:rFonts w:ascii="Times New Roman" w:hAnsi="Times New Roman" w:cs="Times New Roman"/>
        </w:rPr>
      </w:pPr>
      <w:r w:rsidRPr="000B779F">
        <w:rPr>
          <w:rFonts w:ascii="Times New Roman" w:hAnsi="Times New Roman" w:cs="Times New Roman"/>
        </w:rPr>
        <w:t xml:space="preserve">Nelson, Joseph P Price, Evan Roberts, and Matthew Sobek. </w:t>
      </w:r>
      <w:r w:rsidRPr="000B779F">
        <w:rPr>
          <w:rFonts w:ascii="Times New Roman" w:hAnsi="Times New Roman" w:cs="Times New Roman"/>
          <w:i/>
        </w:rPr>
        <w:t>IPUMS Multigenerational</w:t>
      </w:r>
    </w:p>
    <w:p w14:paraId="2F9429DD" w14:textId="77777777" w:rsidR="000B779F" w:rsidRPr="000B779F" w:rsidRDefault="000B779F" w:rsidP="004E2DB5">
      <w:pPr>
        <w:spacing w:after="171" w:line="420" w:lineRule="auto"/>
        <w:ind w:left="478" w:right="102"/>
        <w:rPr>
          <w:rFonts w:ascii="Times New Roman" w:hAnsi="Times New Roman" w:cs="Times New Roman"/>
        </w:rPr>
      </w:pPr>
      <w:r w:rsidRPr="000B779F">
        <w:rPr>
          <w:rFonts w:ascii="Times New Roman" w:hAnsi="Times New Roman" w:cs="Times New Roman"/>
          <w:i/>
        </w:rPr>
        <w:t>Longitudinal Panel: Version 1.1 [dataset]</w:t>
      </w:r>
      <w:r w:rsidRPr="000B779F">
        <w:rPr>
          <w:rFonts w:ascii="Times New Roman" w:hAnsi="Times New Roman" w:cs="Times New Roman"/>
        </w:rPr>
        <w:t>. Minneapolis, MN: IPUMS, 2023.</w:t>
      </w:r>
    </w:p>
    <w:p w14:paraId="6216D27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Hill, Matthew J. “Love in the Time of the Depression: The Effect of Economic Conditions on</w:t>
      </w:r>
    </w:p>
    <w:p w14:paraId="2095B8AA"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Marriage in the Great Depression.” </w:t>
      </w:r>
      <w:r w:rsidRPr="000B779F">
        <w:rPr>
          <w:rFonts w:ascii="Times New Roman" w:hAnsi="Times New Roman" w:cs="Times New Roman"/>
          <w:i/>
        </w:rPr>
        <w:t xml:space="preserve">The Journal of Economic History </w:t>
      </w:r>
      <w:r w:rsidRPr="000B779F">
        <w:rPr>
          <w:rFonts w:ascii="Times New Roman" w:hAnsi="Times New Roman" w:cs="Times New Roman"/>
        </w:rPr>
        <w:t>75, no. 1 (2015): 163–189.</w:t>
      </w:r>
    </w:p>
    <w:p w14:paraId="2ADA0E87"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Kentucky General Assembly. </w:t>
      </w:r>
      <w:r w:rsidRPr="000B779F">
        <w:rPr>
          <w:rFonts w:ascii="Times New Roman" w:hAnsi="Times New Roman" w:cs="Times New Roman"/>
          <w:i/>
        </w:rPr>
        <w:t>Acts of the General Assembly of the Commonwealth of Kentucky</w:t>
      </w:r>
      <w:r w:rsidRPr="000B779F">
        <w:rPr>
          <w:rFonts w:ascii="Times New Roman" w:hAnsi="Times New Roman" w:cs="Times New Roman"/>
        </w:rPr>
        <w:t>, 1st and 2nd special sessions, 1938.</w:t>
      </w:r>
    </w:p>
    <w:p w14:paraId="0A6C1070" w14:textId="77777777" w:rsidR="000B779F" w:rsidRPr="000B779F" w:rsidRDefault="000B779F" w:rsidP="004E2DB5">
      <w:pPr>
        <w:spacing w:after="176" w:line="420" w:lineRule="auto"/>
        <w:ind w:left="453" w:hanging="468"/>
        <w:rPr>
          <w:rFonts w:ascii="Times New Roman" w:hAnsi="Times New Roman" w:cs="Times New Roman"/>
        </w:rPr>
      </w:pPr>
      <w:r w:rsidRPr="000B779F">
        <w:rPr>
          <w:rFonts w:ascii="Times New Roman" w:hAnsi="Times New Roman" w:cs="Times New Roman"/>
        </w:rPr>
        <w:lastRenderedPageBreak/>
        <w:t xml:space="preserve">Kline, Patrick, and Enrico Moretti. “Local Economic Development, Agglomeration Economies, and the Big Push: 100 Years of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Tennessee Valley Authority.” </w:t>
      </w:r>
      <w:r w:rsidRPr="000B779F">
        <w:rPr>
          <w:rFonts w:ascii="Times New Roman" w:hAnsi="Times New Roman" w:cs="Times New Roman"/>
          <w:i/>
        </w:rPr>
        <w:t xml:space="preserve">The Quarterly Journal of Economics </w:t>
      </w:r>
      <w:r w:rsidRPr="000B779F">
        <w:rPr>
          <w:rFonts w:ascii="Times New Roman" w:hAnsi="Times New Roman" w:cs="Times New Roman"/>
        </w:rPr>
        <w:t>129, no. 1 (2014): 275–331.</w:t>
      </w:r>
    </w:p>
    <w:p w14:paraId="6EBF3F6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Lahey, Joanna. “State Age Protection Laws and the Age Discrimination in Employment</w:t>
      </w:r>
    </w:p>
    <w:p w14:paraId="39F10EEA"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Act.” </w:t>
      </w:r>
      <w:r w:rsidRPr="000B779F">
        <w:rPr>
          <w:rFonts w:ascii="Times New Roman" w:hAnsi="Times New Roman" w:cs="Times New Roman"/>
          <w:i/>
        </w:rPr>
        <w:t xml:space="preserve">The Journal of Law and Economics </w:t>
      </w:r>
      <w:r w:rsidRPr="000B779F">
        <w:rPr>
          <w:rFonts w:ascii="Times New Roman" w:hAnsi="Times New Roman" w:cs="Times New Roman"/>
        </w:rPr>
        <w:t>51, no. 3 (2008): 433–460.</w:t>
      </w:r>
    </w:p>
    <w:p w14:paraId="6FD60A6F" w14:textId="77777777" w:rsidR="000B779F" w:rsidRPr="000B779F" w:rsidRDefault="000B779F" w:rsidP="004E2DB5">
      <w:pPr>
        <w:spacing w:after="205" w:line="420" w:lineRule="auto"/>
        <w:ind w:left="453" w:right="102" w:hanging="468"/>
        <w:rPr>
          <w:rFonts w:ascii="Times New Roman" w:hAnsi="Times New Roman" w:cs="Times New Roman"/>
        </w:rPr>
      </w:pPr>
      <w:r w:rsidRPr="000B779F">
        <w:rPr>
          <w:rFonts w:ascii="Times New Roman" w:hAnsi="Times New Roman" w:cs="Times New Roman"/>
        </w:rPr>
        <w:t xml:space="preserve">Mosca, Irene, Vincent O’Sullivan, and Robert E Wright. “The Educational Attainment of the Children of Stay-at-Home Mothers: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Irish Marriage Bar.” </w:t>
      </w:r>
      <w:r w:rsidRPr="000B779F">
        <w:rPr>
          <w:rFonts w:ascii="Times New Roman" w:hAnsi="Times New Roman" w:cs="Times New Roman"/>
          <w:i/>
        </w:rPr>
        <w:t xml:space="preserve">Oxford Economic Papers </w:t>
      </w:r>
      <w:r w:rsidRPr="000B779F">
        <w:rPr>
          <w:rFonts w:ascii="Times New Roman" w:hAnsi="Times New Roman" w:cs="Times New Roman"/>
        </w:rPr>
        <w:t>73, no. 2 (2021): 534–560.</w:t>
      </w:r>
    </w:p>
    <w:p w14:paraId="015B45F4"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Mosca, Irene, and Robert E Wright. </w:t>
      </w:r>
      <w:r w:rsidRPr="000B779F">
        <w:rPr>
          <w:rFonts w:ascii="Times New Roman" w:hAnsi="Times New Roman" w:cs="Times New Roman"/>
          <w:i/>
        </w:rPr>
        <w:t>Economics of Marriage Bars</w:t>
      </w:r>
      <w:r w:rsidRPr="000B779F">
        <w:rPr>
          <w:rFonts w:ascii="Times New Roman" w:hAnsi="Times New Roman" w:cs="Times New Roman"/>
        </w:rPr>
        <w:t>, Global Labor Organization</w:t>
      </w:r>
    </w:p>
    <w:p w14:paraId="25975E69"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(GLO) Discussion Paper No. 933. 2021.</w:t>
      </w:r>
    </w:p>
    <w:p w14:paraId="3B0DA189"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6432" behindDoc="0" locked="0" layoutInCell="1" allowOverlap="1" wp14:anchorId="47D38E98" wp14:editId="1A12490B">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07ABE3D1" id="Group 42719" o:spid="_x0000_s1026" style="position:absolute;margin-left:0;margin-top:5.95pt;width:35.1pt;height:.6pt;z-index:251666432"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ITi/U8CAACnBQAADgAAAAAAAAAAAAAAAAAuAgAAZHJzL2Uyb0RvYy54bWxQSwECLQAUAAYACAAA&#10;ACEAoZiwjNwAAAAFAQAADwAAAAAAAAAAAAAAAACpBAAAZHJzL2Rvd25yZXYueG1sUEsFBgAAAAAE&#10;AAQA8wAAALIFAAAAAA==&#10;">
                <v:shape id="Shape 229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Long-Term Consequences of the Irish Marriage Bar.” </w:t>
      </w:r>
      <w:r w:rsidRPr="000B779F">
        <w:rPr>
          <w:rFonts w:ascii="Times New Roman" w:hAnsi="Times New Roman" w:cs="Times New Roman"/>
          <w:i/>
        </w:rPr>
        <w:t xml:space="preserve">The Economic and Social Review </w:t>
      </w:r>
      <w:r w:rsidRPr="000B779F">
        <w:rPr>
          <w:rFonts w:ascii="Times New Roman" w:hAnsi="Times New Roman" w:cs="Times New Roman"/>
        </w:rPr>
        <w:t>51, no. 1, Spring (2020): 1–34.</w:t>
      </w:r>
    </w:p>
    <w:p w14:paraId="14FADD60"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Neumark, David, and Joanne Song. “Do Stronger Age Discrimination Laws Make Social</w:t>
      </w:r>
    </w:p>
    <w:p w14:paraId="770B6A83"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 xml:space="preserve">Security Reforms More Effective?” </w:t>
      </w:r>
      <w:r w:rsidRPr="000B779F">
        <w:rPr>
          <w:rFonts w:ascii="Times New Roman" w:hAnsi="Times New Roman" w:cs="Times New Roman"/>
          <w:i/>
        </w:rPr>
        <w:t xml:space="preserve">Journal of Public Economics </w:t>
      </w:r>
      <w:r w:rsidRPr="000B779F">
        <w:rPr>
          <w:rFonts w:ascii="Times New Roman" w:hAnsi="Times New Roman" w:cs="Times New Roman"/>
        </w:rPr>
        <w:t>108 (2013): 1–16.</w:t>
      </w:r>
    </w:p>
    <w:p w14:paraId="0C021E1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Neumark, David, and Wendy Stock. </w:t>
      </w:r>
      <w:r w:rsidRPr="000B779F">
        <w:rPr>
          <w:rFonts w:ascii="Times New Roman" w:hAnsi="Times New Roman" w:cs="Times New Roman"/>
          <w:i/>
        </w:rPr>
        <w:t>The Effects of Race and Sex Discrimination Laws</w:t>
      </w:r>
      <w:r w:rsidRPr="000B779F">
        <w:rPr>
          <w:rFonts w:ascii="Times New Roman" w:hAnsi="Times New Roman" w:cs="Times New Roman"/>
        </w:rPr>
        <w:t>,</w:t>
      </w:r>
    </w:p>
    <w:p w14:paraId="48497E52" w14:textId="77777777" w:rsidR="000B779F" w:rsidRPr="000B779F" w:rsidRDefault="000B779F" w:rsidP="004E2DB5">
      <w:pPr>
        <w:spacing w:after="337" w:line="420" w:lineRule="auto"/>
        <w:ind w:left="478" w:right="102"/>
        <w:rPr>
          <w:rFonts w:ascii="Times New Roman" w:hAnsi="Times New Roman" w:cs="Times New Roman"/>
        </w:rPr>
      </w:pPr>
      <w:r w:rsidRPr="000B779F">
        <w:rPr>
          <w:rFonts w:ascii="Times New Roman" w:hAnsi="Times New Roman" w:cs="Times New Roman"/>
        </w:rPr>
        <w:t>NBER Working Paper No. 8215. April 2001.</w:t>
      </w:r>
    </w:p>
    <w:p w14:paraId="467FF671" w14:textId="0A0715CA"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New York Herald, </w:t>
      </w:r>
      <w:r w:rsidRPr="000B779F">
        <w:rPr>
          <w:rFonts w:ascii="Times New Roman" w:hAnsi="Times New Roman" w:cs="Times New Roman"/>
        </w:rPr>
        <w:t>18 September 1921.</w:t>
      </w:r>
    </w:p>
    <w:p w14:paraId="361E210C" w14:textId="77777777"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rPr>
        <w:t xml:space="preserve">North Carolina General Assembly. </w:t>
      </w:r>
      <w:r w:rsidRPr="000B779F">
        <w:rPr>
          <w:rFonts w:ascii="Times New Roman" w:hAnsi="Times New Roman" w:cs="Times New Roman"/>
          <w:i/>
        </w:rPr>
        <w:t>Public Laws and Legislations</w:t>
      </w:r>
      <w:r w:rsidRPr="000B779F">
        <w:rPr>
          <w:rFonts w:ascii="Times New Roman" w:hAnsi="Times New Roman" w:cs="Times New Roman"/>
        </w:rPr>
        <w:t>, Regular session, 1933.</w:t>
      </w:r>
    </w:p>
    <w:p w14:paraId="4050E029" w14:textId="5F2F4264" w:rsidR="00A93550" w:rsidRPr="000B779F" w:rsidRDefault="000B779F" w:rsidP="004E2DB5">
      <w:pPr>
        <w:spacing w:line="420" w:lineRule="auto"/>
        <w:ind w:left="-5" w:right="102"/>
        <w:rPr>
          <w:rFonts w:ascii="Times New Roman" w:hAnsi="Times New Roman" w:cs="Times New Roman"/>
        </w:rPr>
      </w:pPr>
      <w:r w:rsidRPr="000B779F">
        <w:rPr>
          <w:rFonts w:ascii="Times New Roman" w:hAnsi="Times New Roman" w:cs="Times New Roman"/>
          <w:i/>
        </w:rPr>
        <w:t xml:space="preserve">Oakland Tribune, </w:t>
      </w:r>
      <w:r w:rsidRPr="000B779F">
        <w:rPr>
          <w:rFonts w:ascii="Times New Roman" w:hAnsi="Times New Roman" w:cs="Times New Roman"/>
        </w:rPr>
        <w:t>26 June 1921. Oakland, CA.</w:t>
      </w:r>
    </w:p>
    <w:p w14:paraId="74DF266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Price, Joseph, Kasey Buckles, Adrian Haws, and Haley Wilbert. </w:t>
      </w:r>
      <w:r w:rsidRPr="000B779F">
        <w:rPr>
          <w:rFonts w:ascii="Times New Roman" w:hAnsi="Times New Roman" w:cs="Times New Roman"/>
          <w:i/>
        </w:rPr>
        <w:t>The Census Tree, 1910-</w:t>
      </w:r>
    </w:p>
    <w:p w14:paraId="2FD1AE3D" w14:textId="77777777" w:rsidR="000B779F" w:rsidRPr="000B779F" w:rsidRDefault="000B779F" w:rsidP="004E2DB5">
      <w:pPr>
        <w:spacing w:after="206" w:line="420" w:lineRule="auto"/>
        <w:ind w:left="478" w:right="102"/>
        <w:rPr>
          <w:rFonts w:ascii="Times New Roman" w:hAnsi="Times New Roman" w:cs="Times New Roman"/>
        </w:rPr>
      </w:pPr>
      <w:r w:rsidRPr="000B779F">
        <w:rPr>
          <w:rFonts w:ascii="Times New Roman" w:hAnsi="Times New Roman" w:cs="Times New Roman"/>
          <w:i/>
        </w:rPr>
        <w:lastRenderedPageBreak/>
        <w:t>1920</w:t>
      </w:r>
      <w:r w:rsidRPr="000B779F">
        <w:rPr>
          <w:rFonts w:ascii="Times New Roman" w:hAnsi="Times New Roman" w:cs="Times New Roman"/>
        </w:rPr>
        <w:t>. Ann Arbor, MI: Inter-university Consortium for Political and Social Research [distributor], September 2023.</w:t>
      </w:r>
    </w:p>
    <w:p w14:paraId="1A162C36" w14:textId="77777777" w:rsidR="000B779F" w:rsidRPr="000B779F" w:rsidRDefault="000B779F" w:rsidP="004E2DB5">
      <w:pPr>
        <w:spacing w:after="197"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7456" behindDoc="0" locked="0" layoutInCell="1" allowOverlap="1" wp14:anchorId="4A88ED15" wp14:editId="01FC206A">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3884529D" id="Group 41043" o:spid="_x0000_s1026" style="position:absolute;margin-left:0;margin-top:5.95pt;width:35.1pt;height:.6pt;z-index:251667456"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">
                <v:shape id="Shape 2335"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1920-1930</w:t>
      </w:r>
      <w:r w:rsidRPr="000B779F">
        <w:rPr>
          <w:rFonts w:ascii="Times New Roman" w:hAnsi="Times New Roman" w:cs="Times New Roman"/>
        </w:rPr>
        <w:t>. Ann Arbor, MI: Inter-university Consortium for Political and Social Research [distributor], September 2023.</w:t>
      </w:r>
    </w:p>
    <w:p w14:paraId="5FAAC31F" w14:textId="77777777" w:rsidR="000B779F" w:rsidRPr="000B779F" w:rsidRDefault="000B779F" w:rsidP="004E2DB5">
      <w:pPr>
        <w:spacing w:after="168"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8480" behindDoc="0" locked="0" layoutInCell="1" allowOverlap="1" wp14:anchorId="4074378F" wp14:editId="45843381">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5DE1C962" id="Group 41046" o:spid="_x0000_s1026" style="position:absolute;margin-left:0;margin-top:5.95pt;width:35.1pt;height:.6pt;z-index:251668480"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R977c08CAACnBQAADgAAAAAAAAAAAAAAAAAuAgAAZHJzL2Uyb0RvYy54bWxQSwECLQAUAAYACAAA&#10;ACEAoZiwjNwAAAAFAQAADwAAAAAAAAAAAAAAAACpBAAAZHJzL2Rvd25yZXYueG1sUEsFBgAAAAAE&#10;AAQA8wAAALIFAAAAAA==&#10;">
                <v:shape id="Shape 2340"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1930-1940</w:t>
      </w:r>
      <w:r w:rsidRPr="000B779F">
        <w:rPr>
          <w:rFonts w:ascii="Times New Roman" w:hAnsi="Times New Roman" w:cs="Times New Roman"/>
        </w:rPr>
        <w:t>. Ann Arbor, MI: Inter-university Consortium for Political and Social Research [distributor], September 2023.</w:t>
      </w:r>
    </w:p>
    <w:p w14:paraId="350C5C3F" w14:textId="77777777" w:rsidR="000B779F" w:rsidRPr="000B779F" w:rsidRDefault="000B779F" w:rsidP="004E2DB5">
      <w:pPr>
        <w:spacing w:after="128" w:line="420" w:lineRule="auto"/>
        <w:ind w:left="-5" w:right="102"/>
        <w:rPr>
          <w:rFonts w:ascii="Times New Roman" w:hAnsi="Times New Roman" w:cs="Times New Roman"/>
        </w:rPr>
      </w:pPr>
      <w:r w:rsidRPr="000B779F">
        <w:rPr>
          <w:rFonts w:ascii="Times New Roman" w:hAnsi="Times New Roman" w:cs="Times New Roman"/>
        </w:rPr>
        <w:t>Price, Joseph, Kasey Buckles, Jacob Van Leeuwen, and Isaac Riley. “Combining Family</w:t>
      </w:r>
    </w:p>
    <w:p w14:paraId="363BAA83" w14:textId="77777777" w:rsidR="000B779F" w:rsidRPr="000B779F" w:rsidRDefault="000B779F" w:rsidP="004E2DB5">
      <w:pPr>
        <w:spacing w:after="177" w:line="420" w:lineRule="auto"/>
        <w:ind w:left="478" w:right="102"/>
        <w:rPr>
          <w:rFonts w:ascii="Times New Roman" w:hAnsi="Times New Roman" w:cs="Times New Roman"/>
        </w:rPr>
      </w:pPr>
      <w:r w:rsidRPr="000B779F">
        <w:rPr>
          <w:rFonts w:ascii="Times New Roman" w:hAnsi="Times New Roman" w:cs="Times New Roman"/>
        </w:rPr>
        <w:t xml:space="preserve">History and Machine Learning to Link Historical Records: The Census Tree Data Set.”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101391.</w:t>
      </w:r>
    </w:p>
    <w:p w14:paraId="2A0944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Rose, Evan K. “The Rise and Fall of Female Labor Force Participation During World War</w:t>
      </w:r>
    </w:p>
    <w:p w14:paraId="408EEABC"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II in the United States.” </w:t>
      </w:r>
      <w:r w:rsidRPr="000B779F">
        <w:rPr>
          <w:rFonts w:ascii="Times New Roman" w:hAnsi="Times New Roman" w:cs="Times New Roman"/>
          <w:i/>
        </w:rPr>
        <w:t xml:space="preserve">The Journal of Economic History </w:t>
      </w:r>
      <w:r w:rsidRPr="000B779F">
        <w:rPr>
          <w:rFonts w:ascii="Times New Roman" w:hAnsi="Times New Roman" w:cs="Times New Roman"/>
        </w:rPr>
        <w:t>78, no. 3 (2018): 673–711.</w:t>
      </w:r>
    </w:p>
    <w:p w14:paraId="45D00C2F"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Roth, Jonathan, Pedro HC Sant’Anna, Alyssa Bilinski, and John Poe. “What’s Trending in Difference-in-Differences? A Synthesis of the Recent Econometrics Literature.” </w:t>
      </w:r>
      <w:r w:rsidRPr="000B779F">
        <w:rPr>
          <w:rFonts w:ascii="Times New Roman" w:hAnsi="Times New Roman" w:cs="Times New Roman"/>
          <w:i/>
        </w:rPr>
        <w:t xml:space="preserve">Journal of Econometrics </w:t>
      </w:r>
      <w:r w:rsidRPr="000B779F">
        <w:rPr>
          <w:rFonts w:ascii="Times New Roman" w:hAnsi="Times New Roman" w:cs="Times New Roman"/>
        </w:rPr>
        <w:t>235, no. 2 (2023): 2218–2244.</w:t>
      </w:r>
    </w:p>
    <w:p w14:paraId="59703167"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Ruggles, Steven, Catherine A Fitch, Ronald Goeken, J David Hacker, Matt A Nelson, Evan</w:t>
      </w:r>
    </w:p>
    <w:p w14:paraId="40241D73"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Roberts, Megan Schouweiler, and Matthew Sobek. </w:t>
      </w:r>
      <w:r w:rsidRPr="000B779F">
        <w:rPr>
          <w:rFonts w:ascii="Times New Roman" w:hAnsi="Times New Roman" w:cs="Times New Roman"/>
          <w:i/>
        </w:rPr>
        <w:t>IPUMS Ancestry Full Count Data: Version 3.0 [dataset]</w:t>
      </w:r>
      <w:r w:rsidRPr="000B779F">
        <w:rPr>
          <w:rFonts w:ascii="Times New Roman" w:hAnsi="Times New Roman" w:cs="Times New Roman"/>
        </w:rPr>
        <w:t>. Minneapolis, MN: IPUMS, 2021.</w:t>
      </w:r>
    </w:p>
    <w:p w14:paraId="448AA73C"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Ruggles, Steven, Matt A Nelson, Matthew Sobek, Catherine A Fitch, Ronald Goeken, J David Hacker, Evan Roberts, and J Robert Warren. </w:t>
      </w:r>
      <w:r w:rsidRPr="000B779F">
        <w:rPr>
          <w:rFonts w:ascii="Times New Roman" w:hAnsi="Times New Roman" w:cs="Times New Roman"/>
          <w:i/>
        </w:rPr>
        <w:t>IPUMS Ancestry Full Count Data: Version 4.0 [dataset]</w:t>
      </w:r>
      <w:r w:rsidRPr="000B779F">
        <w:rPr>
          <w:rFonts w:ascii="Times New Roman" w:hAnsi="Times New Roman" w:cs="Times New Roman"/>
        </w:rPr>
        <w:t>. Minneapolis, MN: IPUMS, 2024.</w:t>
      </w:r>
    </w:p>
    <w:p w14:paraId="163E7633" w14:textId="77777777" w:rsidR="000B779F" w:rsidRDefault="000B779F" w:rsidP="004E2DB5">
      <w:pPr>
        <w:spacing w:line="420" w:lineRule="auto"/>
        <w:ind w:left="453" w:right="101" w:hanging="468"/>
        <w:rPr>
          <w:rFonts w:ascii="Times New Roman" w:hAnsi="Times New Roman" w:cs="Times New Roman"/>
        </w:rPr>
      </w:pPr>
      <w:r w:rsidRPr="000B779F">
        <w:rPr>
          <w:rFonts w:ascii="Times New Roman" w:hAnsi="Times New Roman" w:cs="Times New Roman"/>
        </w:rPr>
        <w:t xml:space="preserve">Schaller, Jessamyn, Price V Fishback, and Kelli Marquardt. “Local Economic Conditions and Fertility from the Great Depression through the Great Recession.” </w:t>
      </w:r>
      <w:r w:rsidRPr="000B779F">
        <w:rPr>
          <w:rFonts w:ascii="Times New Roman" w:hAnsi="Times New Roman" w:cs="Times New Roman"/>
          <w:i/>
        </w:rPr>
        <w:t xml:space="preserve">AEA Papers and Proceedings </w:t>
      </w:r>
      <w:r w:rsidRPr="000B779F">
        <w:rPr>
          <w:rFonts w:ascii="Times New Roman" w:hAnsi="Times New Roman" w:cs="Times New Roman"/>
        </w:rPr>
        <w:t>110 (2020): 236–240.</w:t>
      </w:r>
    </w:p>
    <w:p w14:paraId="6133A639" w14:textId="157CCE7F" w:rsidR="004E2DB5" w:rsidRPr="004E2DB5" w:rsidRDefault="004E2DB5" w:rsidP="00597D98">
      <w:pPr>
        <w:spacing w:after="17" w:line="420" w:lineRule="auto"/>
        <w:ind w:left="461" w:right="101" w:hanging="475"/>
        <w:rPr>
          <w:rFonts w:ascii="Times New Roman" w:hAnsi="Times New Roman" w:cs="Times New Roman"/>
        </w:rPr>
      </w:pPr>
      <w:r w:rsidRPr="000B779F">
        <w:rPr>
          <w:rFonts w:ascii="Times New Roman" w:hAnsi="Times New Roman" w:cs="Times New Roman"/>
        </w:rPr>
        <w:lastRenderedPageBreak/>
        <w:t>Sun, Liyang, and Sarah Abraham. “Estimating Dynamic Treatment Effects in Event Studies</w:t>
      </w:r>
      <w:r>
        <w:rPr>
          <w:rFonts w:ascii="Times New Roman" w:hAnsi="Times New Roman" w:cs="Times New Roman"/>
        </w:rPr>
        <w:t xml:space="preserve"> </w:t>
      </w:r>
      <w:r w:rsidRPr="000B779F">
        <w:rPr>
          <w:rFonts w:ascii="Times New Roman" w:hAnsi="Times New Roman" w:cs="Times New Roman"/>
        </w:rPr>
        <w:t xml:space="preserve">and </w:t>
      </w:r>
      <w:r>
        <w:rPr>
          <w:rFonts w:ascii="Times New Roman" w:hAnsi="Times New Roman" w:cs="Times New Roman"/>
        </w:rPr>
        <w:t xml:space="preserve">Heterogeneous Treatment Effects.” </w:t>
      </w:r>
      <w:r>
        <w:rPr>
          <w:rFonts w:ascii="Times New Roman" w:hAnsi="Times New Roman" w:cs="Times New Roman"/>
          <w:i/>
          <w:iCs/>
        </w:rPr>
        <w:t>Journal of Econometrics 225</w:t>
      </w:r>
      <w:r>
        <w:rPr>
          <w:rFonts w:ascii="Times New Roman" w:hAnsi="Times New Roman" w:cs="Times New Roman"/>
        </w:rPr>
        <w:t xml:space="preserve">, no. 2 (2021): 175-199. </w:t>
      </w:r>
    </w:p>
    <w:p w14:paraId="1183C365" w14:textId="7DE33E15" w:rsidR="000B779F" w:rsidRPr="000B779F" w:rsidRDefault="000B779F" w:rsidP="00597D98">
      <w:pPr>
        <w:spacing w:after="17" w:line="420" w:lineRule="auto"/>
        <w:ind w:left="0" w:right="101" w:firstLine="0"/>
        <w:rPr>
          <w:rFonts w:ascii="Times New Roman" w:hAnsi="Times New Roman" w:cs="Times New Roman"/>
        </w:rPr>
      </w:pPr>
      <w:r w:rsidRPr="000B779F">
        <w:rPr>
          <w:rFonts w:ascii="Times New Roman" w:hAnsi="Times New Roman" w:cs="Times New Roman"/>
          <w:i/>
        </w:rPr>
        <w:t xml:space="preserve">Tampa Morning Tribune, </w:t>
      </w:r>
      <w:r w:rsidRPr="000B779F">
        <w:rPr>
          <w:rFonts w:ascii="Times New Roman" w:hAnsi="Times New Roman" w:cs="Times New Roman"/>
        </w:rPr>
        <w:t>various dates. Tampa Bay, FL.</w:t>
      </w:r>
    </w:p>
    <w:p w14:paraId="547ED082" w14:textId="2EE4408C" w:rsidR="00FB318C" w:rsidRPr="000B779F" w:rsidRDefault="000B779F" w:rsidP="004E2DB5">
      <w:pPr>
        <w:spacing w:line="420" w:lineRule="auto"/>
        <w:ind w:left="453" w:right="101" w:hanging="468"/>
      </w:pPr>
      <w:r w:rsidRPr="000B779F">
        <w:rPr>
          <w:rFonts w:ascii="Times New Roman" w:hAnsi="Times New Roman" w:cs="Times New Roman"/>
        </w:rPr>
        <w:t xml:space="preserve">U.S. Department of Education, National Center for Education Statistics. </w:t>
      </w:r>
      <w:r w:rsidRPr="000B779F">
        <w:rPr>
          <w:rFonts w:ascii="Times New Roman" w:hAnsi="Times New Roman" w:cs="Times New Roman"/>
          <w:i/>
        </w:rPr>
        <w:t>120 Years of American Education: A Statistical Portrait</w:t>
      </w:r>
      <w:r w:rsidRPr="000B779F">
        <w:rPr>
          <w:rFonts w:ascii="Times New Roman" w:hAnsi="Times New Roman" w:cs="Times New Roman"/>
        </w:rPr>
        <w:t>. January 1993.</w:t>
      </w:r>
      <w:r w:rsidR="00FB318C">
        <w:rPr>
          <w:rFonts w:ascii="Times New Roman" w:hAnsi="Times New Roman" w:cs="Times New Roman"/>
        </w:rPr>
        <w:br w:type="page"/>
      </w:r>
    </w:p>
    <w:p w14:paraId="5CF37CA2" w14:textId="05241679"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lastRenderedPageBreak/>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8"/>
          <w:footerReference w:type="default" r:id="rId9"/>
          <w:footerReference w:type="first" r:id="rId10"/>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w:pict>
              <v:group w14:anchorId="312ECC20" id="Group 46456" o:spid="_x0000_s1026" style="width:590.3pt;height:2.4pt;mso-position-horizontal-relative:char;mso-position-vertical-relative:line" coordsize="7497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">
                <v:shape id="Shape 2381" o:spid="_x0000_s1027" style="position:absolute;width:74970;height:0;visibility:visible;mso-wrap-style:square;v-text-anchor:top" coordsize="7497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" path="m,l7497001,e" filled="f" strokeweight=".14042mm">
                  <v:stroke miterlimit="83231f" joinstyle="miter"/>
                  <v:path arrowok="t" textboxrect="0,0,7497001,0"/>
                </v:shape>
                <v:shape id="Shape 2382" o:spid="_x0000_s1028" style="position:absolute;top:303;width:74970;height:0;visibility:visible;mso-wrap-style:square;v-text-anchor:top" coordsize="7497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" path="m,l7497001,e" filled="f" strokeweight=".14042mm">
                  <v:stroke miterlimit="83231f" joinstyle="miter"/>
                  <v:path arrowok="t" textboxrect="0,0,7497001,0"/>
                </v:shape>
                <w10:anchorlock/>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w14:anchorId="51FDF9E4"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">
                <v:rect id="Rectangle 2462" o:spid="_x0000_s1027" style="position:absolute;left:-53700;top:9208;width:197735;height:17931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" filled="f" stroked="f">
                  <v:textbox inset="0,0,0,0">
                    <w:txbxContent>
                      <w:p w14:paraId="27585B75" w14:textId="77777777"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 xml:space="preserve">All </w:t>
      </w:r>
      <w:proofErr w:type="gramStart"/>
      <w:r w:rsidRPr="004C2F06">
        <w:rPr>
          <w:rFonts w:ascii="Times New Roman" w:hAnsi="Times New Roman" w:cs="Times New Roman"/>
          <w:sz w:val="20"/>
        </w:rPr>
        <w:t>teachers</w:t>
      </w:r>
      <w:proofErr w:type="gramEnd"/>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1C2B28AE" w:rsidR="003C25C8" w:rsidRPr="00F25925" w:rsidRDefault="00F25925" w:rsidP="00F25925">
            <w:pPr>
              <w:spacing w:after="160" w:line="259" w:lineRule="auto"/>
              <w:ind w:left="0" w:firstLine="0"/>
              <w:jc w:val="left"/>
              <w:rPr>
                <w:rFonts w:ascii="Times New Roman" w:hAnsi="Times New Roman" w:cs="Times New Roman"/>
                <w:i/>
                <w:iCs/>
                <w:sz w:val="20"/>
                <w:szCs w:val="20"/>
              </w:rPr>
            </w:pPr>
            <w:r w:rsidRPr="00F25925">
              <w:rPr>
                <w:rFonts w:ascii="Times New Roman" w:hAnsi="Times New Roman" w:cs="Times New Roman"/>
                <w:i/>
                <w:iCs/>
                <w:sz w:val="20"/>
                <w:szCs w:val="20"/>
              </w:rPr>
              <w:t>Dependent Variable:</w:t>
            </w:r>
          </w:p>
        </w:tc>
        <w:tc>
          <w:tcPr>
            <w:tcW w:w="1402" w:type="dxa"/>
            <w:tcBorders>
              <w:top w:val="single" w:sz="3" w:space="0" w:color="000000"/>
              <w:left w:val="nil"/>
              <w:bottom w:val="nil"/>
              <w:right w:val="nil"/>
            </w:tcBorders>
          </w:tcPr>
          <w:p w14:paraId="2DB8C64A"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BA8E9BF" w14:textId="3EC44C11"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26D24296"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4A1C390D" w14:textId="0BA6EC2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01BD8E3F"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37C57A85" w14:textId="2AA28C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64BD9291"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2DFA0F24" w14:textId="1DBDCA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166366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D23B536" w14:textId="605D8260"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432" w:type="dxa"/>
            <w:tcBorders>
              <w:top w:val="single" w:sz="3" w:space="0" w:color="000000"/>
              <w:left w:val="nil"/>
              <w:bottom w:val="nil"/>
              <w:right w:val="nil"/>
            </w:tcBorders>
          </w:tcPr>
          <w:p w14:paraId="319EC2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0DEBD05B" w14:textId="1245D5E3"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FBADE8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44A5D2D1"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0.555</w:t>
            </w:r>
          </w:p>
        </w:tc>
      </w:tr>
    </w:tbl>
    <w:p w14:paraId="6EF0FB9E" w14:textId="23BC5EFA" w:rsidR="003C25C8" w:rsidRPr="004C2F06" w:rsidRDefault="00000000" w:rsidP="003A5C66">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r w:rsidR="003A5C66">
        <w:rPr>
          <w:rFonts w:ascii="Times New Roman" w:hAnsi="Times New Roman" w:cs="Times New Roman"/>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1"/>
          <w:footerReference w:type="default" r:id="rId12"/>
          <w:footerReference w:type="first" r:id="rId13"/>
          <w:pgSz w:w="15840" w:h="12240" w:orient="landscape"/>
          <w:pgMar w:top="1440" w:right="2017" w:bottom="1440" w:left="2017" w:header="720" w:footer="720" w:gutter="0"/>
          <w:cols w:space="720"/>
        </w:sectPr>
      </w:pPr>
    </w:p>
    <w:p w14:paraId="1E21CF1D" w14:textId="1900C34E"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w:t>
      </w:r>
      <w:r w:rsidR="00C25443">
        <w:rPr>
          <w:rFonts w:ascii="Times New Roman" w:hAnsi="Times New Roman" w:cs="Times New Roman"/>
          <w:sz w:val="17"/>
        </w:rPr>
        <w:t xml:space="preserve"> white</w:t>
      </w:r>
      <w:r w:rsidRPr="004C2F06">
        <w:rPr>
          <w:rFonts w:ascii="Times New Roman" w:hAnsi="Times New Roman" w:cs="Times New Roman"/>
          <w:sz w:val="17"/>
        </w:rPr>
        <w:t xml:space="preserve">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1972"/>
        <w:gridCol w:w="867"/>
        <w:gridCol w:w="1105"/>
        <w:gridCol w:w="653"/>
        <w:gridCol w:w="1319"/>
        <w:gridCol w:w="1756"/>
        <w:gridCol w:w="1688"/>
      </w:tblGrid>
      <w:tr w:rsidR="00E855C6" w:rsidRPr="004C2F06" w14:paraId="09819B8E" w14:textId="77777777" w:rsidTr="00B21167">
        <w:trPr>
          <w:trHeight w:val="741"/>
        </w:trPr>
        <w:tc>
          <w:tcPr>
            <w:tcW w:w="1972" w:type="dxa"/>
            <w:tcBorders>
              <w:top w:val="double" w:sz="2" w:space="0" w:color="000000"/>
              <w:left w:val="nil"/>
              <w:bottom w:val="nil"/>
              <w:right w:val="nil"/>
            </w:tcBorders>
            <w:vAlign w:val="center"/>
          </w:tcPr>
          <w:p w14:paraId="28556952" w14:textId="0027A98B" w:rsidR="00E855C6" w:rsidRPr="00E855C6" w:rsidRDefault="00E855C6" w:rsidP="00E855C6">
            <w:pPr>
              <w:spacing w:after="0" w:line="259" w:lineRule="auto"/>
              <w:ind w:left="0" w:right="187" w:firstLine="0"/>
              <w:jc w:val="left"/>
              <w:rPr>
                <w:rFonts w:ascii="Times New Roman" w:hAnsi="Times New Roman" w:cs="Times New Roman"/>
                <w:b/>
                <w:bCs/>
                <w:sz w:val="17"/>
                <w:szCs w:val="17"/>
              </w:rPr>
            </w:pPr>
            <w:r w:rsidRPr="00E855C6">
              <w:rPr>
                <w:rFonts w:ascii="Times New Roman" w:hAnsi="Times New Roman" w:cs="Times New Roman"/>
                <w:b/>
                <w:bCs/>
                <w:sz w:val="17"/>
                <w:szCs w:val="17"/>
              </w:rPr>
              <w:t xml:space="preserve">Dependent </w:t>
            </w:r>
            <w:r>
              <w:rPr>
                <w:rFonts w:ascii="Times New Roman" w:hAnsi="Times New Roman" w:cs="Times New Roman"/>
                <w:b/>
                <w:bCs/>
                <w:sz w:val="17"/>
                <w:szCs w:val="17"/>
              </w:rPr>
              <w:t>V</w:t>
            </w:r>
            <w:r w:rsidRPr="00E855C6">
              <w:rPr>
                <w:rFonts w:ascii="Times New Roman" w:hAnsi="Times New Roman" w:cs="Times New Roman"/>
                <w:b/>
                <w:bCs/>
                <w:sz w:val="17"/>
                <w:szCs w:val="17"/>
              </w:rPr>
              <w:t>ariable:</w:t>
            </w:r>
          </w:p>
        </w:tc>
        <w:tc>
          <w:tcPr>
            <w:tcW w:w="1972" w:type="dxa"/>
            <w:gridSpan w:val="2"/>
            <w:tcBorders>
              <w:top w:val="double" w:sz="2" w:space="0" w:color="000000"/>
              <w:left w:val="nil"/>
              <w:bottom w:val="nil"/>
              <w:right w:val="nil"/>
            </w:tcBorders>
            <w:vAlign w:val="center"/>
          </w:tcPr>
          <w:p w14:paraId="7CFD7537" w14:textId="45A42BD7" w:rsidR="00E855C6" w:rsidRPr="00E855C6" w:rsidRDefault="00E855C6">
            <w:pPr>
              <w:spacing w:after="0" w:line="259" w:lineRule="auto"/>
              <w:ind w:left="0" w:right="187" w:firstLine="0"/>
              <w:jc w:val="right"/>
              <w:rPr>
                <w:rFonts w:ascii="Times New Roman" w:hAnsi="Times New Roman" w:cs="Times New Roman"/>
                <w:sz w:val="17"/>
                <w:szCs w:val="17"/>
              </w:rPr>
            </w:pPr>
            <w:proofErr w:type="spellStart"/>
            <w:proofErr w:type="gramStart"/>
            <w:r>
              <w:rPr>
                <w:rFonts w:ascii="Times New Roman" w:hAnsi="Times New Roman" w:cs="Times New Roman"/>
                <w:sz w:val="17"/>
                <w:szCs w:val="17"/>
              </w:rPr>
              <w:t>Pr</w:t>
            </w:r>
            <w:proofErr w:type="spellEnd"/>
            <w:r>
              <w:rPr>
                <w:rFonts w:ascii="Times New Roman" w:hAnsi="Times New Roman" w:cs="Times New Roman"/>
                <w:sz w:val="17"/>
                <w:szCs w:val="17"/>
              </w:rPr>
              <w:t>(</w:t>
            </w:r>
            <w:proofErr w:type="gramEnd"/>
            <w:r>
              <w:rPr>
                <w:rFonts w:ascii="Times New Roman" w:hAnsi="Times New Roman" w:cs="Times New Roman"/>
                <w:sz w:val="17"/>
                <w:szCs w:val="17"/>
              </w:rPr>
              <w:t xml:space="preserve">Married in </w:t>
            </w:r>
            <w:r>
              <w:rPr>
                <w:rFonts w:ascii="Times New Roman" w:hAnsi="Times New Roman" w:cs="Times New Roman"/>
                <w:i/>
                <w:iCs/>
                <w:sz w:val="17"/>
                <w:szCs w:val="17"/>
              </w:rPr>
              <w:t>t</w:t>
            </w:r>
            <w:r>
              <w:rPr>
                <w:rFonts w:ascii="Times New Roman" w:hAnsi="Times New Roman" w:cs="Times New Roman"/>
                <w:sz w:val="17"/>
                <w:szCs w:val="17"/>
              </w:rPr>
              <w:t>)</w:t>
            </w:r>
          </w:p>
        </w:tc>
        <w:tc>
          <w:tcPr>
            <w:tcW w:w="1972" w:type="dxa"/>
            <w:gridSpan w:val="2"/>
            <w:tcBorders>
              <w:top w:val="double" w:sz="2" w:space="0" w:color="000000"/>
              <w:left w:val="nil"/>
              <w:bottom w:val="nil"/>
              <w:right w:val="nil"/>
            </w:tcBorders>
            <w:vAlign w:val="center"/>
          </w:tcPr>
          <w:p w14:paraId="4AC7258F" w14:textId="54F8BB7C" w:rsidR="00E855C6" w:rsidRDefault="00E855C6" w:rsidP="00E855C6">
            <w:pPr>
              <w:tabs>
                <w:tab w:val="center" w:pos="3155"/>
              </w:tabs>
              <w:spacing w:after="0" w:line="259" w:lineRule="auto"/>
              <w:ind w:left="0" w:firstLine="0"/>
              <w:jc w:val="center"/>
              <w:rPr>
                <w:rFonts w:ascii="Times New Roman" w:hAnsi="Times New Roman" w:cs="Times New Roman"/>
                <w:sz w:val="17"/>
                <w:szCs w:val="17"/>
              </w:rPr>
            </w:pPr>
            <w:proofErr w:type="spellStart"/>
            <w:proofErr w:type="gramStart"/>
            <w:r w:rsidRPr="00E855C6">
              <w:rPr>
                <w:rFonts w:ascii="Times New Roman" w:hAnsi="Times New Roman" w:cs="Times New Roman"/>
                <w:sz w:val="17"/>
                <w:szCs w:val="17"/>
              </w:rPr>
              <w:t>Pr</w:t>
            </w:r>
            <w:proofErr w:type="spellEnd"/>
            <w:r w:rsidRPr="00E855C6">
              <w:rPr>
                <w:rFonts w:ascii="Times New Roman" w:hAnsi="Times New Roman" w:cs="Times New Roman"/>
                <w:sz w:val="17"/>
                <w:szCs w:val="17"/>
              </w:rPr>
              <w:t>(</w:t>
            </w:r>
            <w:proofErr w:type="gramEnd"/>
            <w:r w:rsidRPr="00E855C6">
              <w:rPr>
                <w:rFonts w:ascii="Times New Roman" w:hAnsi="Times New Roman" w:cs="Times New Roman"/>
                <w:sz w:val="17"/>
                <w:szCs w:val="17"/>
              </w:rPr>
              <w:t>Married Teacher</w:t>
            </w:r>
          </w:p>
          <w:p w14:paraId="5835B18C" w14:textId="7CF7D584" w:rsidR="00E855C6" w:rsidRPr="00E855C6" w:rsidRDefault="00E855C6" w:rsidP="00E855C6">
            <w:pPr>
              <w:tabs>
                <w:tab w:val="center" w:pos="3155"/>
              </w:tabs>
              <w:spacing w:after="0" w:line="259" w:lineRule="auto"/>
              <w:ind w:left="0" w:firstLine="0"/>
              <w:jc w:val="center"/>
              <w:rPr>
                <w:rFonts w:ascii="Times New Roman" w:hAnsi="Times New Roman" w:cs="Times New Roman"/>
                <w:sz w:val="17"/>
                <w:szCs w:val="17"/>
              </w:rPr>
            </w:pPr>
            <w:r w:rsidRPr="00E855C6">
              <w:rPr>
                <w:rFonts w:ascii="Times New Roman" w:hAnsi="Times New Roman" w:cs="Times New Roman"/>
                <w:sz w:val="17"/>
                <w:szCs w:val="17"/>
              </w:rPr>
              <w:t xml:space="preserve">in </w:t>
            </w:r>
            <w:r w:rsidRPr="00E855C6">
              <w:rPr>
                <w:rFonts w:ascii="Times New Roman" w:hAnsi="Times New Roman" w:cs="Times New Roman"/>
                <w:i/>
                <w:iCs/>
                <w:sz w:val="17"/>
                <w:szCs w:val="17"/>
              </w:rPr>
              <w:t>t</w:t>
            </w:r>
            <w:r w:rsidRPr="00E855C6">
              <w:rPr>
                <w:rFonts w:ascii="Times New Roman" w:hAnsi="Times New Roman" w:cs="Times New Roman"/>
                <w:sz w:val="17"/>
                <w:szCs w:val="17"/>
              </w:rPr>
              <w:t>)</w:t>
            </w:r>
          </w:p>
        </w:tc>
        <w:tc>
          <w:tcPr>
            <w:tcW w:w="1756" w:type="dxa"/>
            <w:tcBorders>
              <w:top w:val="double" w:sz="2" w:space="0" w:color="000000"/>
              <w:left w:val="nil"/>
              <w:bottom w:val="nil"/>
              <w:right w:val="nil"/>
            </w:tcBorders>
          </w:tcPr>
          <w:p w14:paraId="1EE93329" w14:textId="77777777" w:rsidR="00E855C6" w:rsidRPr="004C2F06" w:rsidRDefault="00E855C6">
            <w:pPr>
              <w:spacing w:after="0" w:line="259" w:lineRule="auto"/>
              <w:ind w:left="376" w:firstLine="0"/>
              <w:jc w:val="left"/>
              <w:rPr>
                <w:rFonts w:ascii="Times New Roman" w:hAnsi="Times New Roman" w:cs="Times New Roman"/>
              </w:rPr>
            </w:pPr>
            <w:proofErr w:type="spellStart"/>
            <w:proofErr w:type="gramStart"/>
            <w:r w:rsidRPr="004C2F06">
              <w:rPr>
                <w:rFonts w:ascii="Times New Roman" w:hAnsi="Times New Roman" w:cs="Times New Roman"/>
                <w:sz w:val="17"/>
              </w:rPr>
              <w:t>Pr</w:t>
            </w:r>
            <w:proofErr w:type="spellEnd"/>
            <w:r w:rsidRPr="004C2F06">
              <w:rPr>
                <w:rFonts w:ascii="Times New Roman" w:hAnsi="Times New Roman" w:cs="Times New Roman"/>
                <w:sz w:val="17"/>
              </w:rPr>
              <w:t>(</w:t>
            </w:r>
            <w:proofErr w:type="gramEnd"/>
            <w:r w:rsidRPr="004C2F06">
              <w:rPr>
                <w:rFonts w:ascii="Times New Roman" w:hAnsi="Times New Roman" w:cs="Times New Roman"/>
                <w:sz w:val="17"/>
              </w:rPr>
              <w:t>Married</w:t>
            </w:r>
          </w:p>
          <w:p w14:paraId="735C6390" w14:textId="77777777" w:rsidR="00E855C6" w:rsidRPr="004C2F06" w:rsidRDefault="00E855C6">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E855C6" w:rsidRPr="004C2F06" w:rsidRDefault="00E855C6">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E855C6" w:rsidRPr="004C2F06" w:rsidRDefault="00E855C6">
            <w:pPr>
              <w:spacing w:after="0" w:line="259" w:lineRule="auto"/>
              <w:ind w:left="643" w:hanging="643"/>
              <w:jc w:val="left"/>
              <w:rPr>
                <w:rFonts w:ascii="Times New Roman" w:hAnsi="Times New Roman" w:cs="Times New Roman"/>
              </w:rPr>
            </w:pPr>
            <w:proofErr w:type="gramStart"/>
            <w:r w:rsidRPr="004C2F06">
              <w:rPr>
                <w:rFonts w:ascii="Times New Roman" w:hAnsi="Times New Roman" w:cs="Times New Roman"/>
                <w:sz w:val="17"/>
              </w:rPr>
              <w:t>Pr(</w:t>
            </w:r>
            <w:proofErr w:type="gramEnd"/>
            <w:r w:rsidRPr="004C2F06">
              <w:rPr>
                <w:rFonts w:ascii="Times New Roman" w:hAnsi="Times New Roman" w:cs="Times New Roman"/>
                <w:sz w:val="17"/>
              </w:rPr>
              <w:t xml:space="preserve">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rsidTr="00E855C6">
        <w:trPr>
          <w:trHeight w:val="276"/>
        </w:trPr>
        <w:tc>
          <w:tcPr>
            <w:tcW w:w="5916" w:type="dxa"/>
            <w:gridSpan w:val="5"/>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rsidTr="00E855C6">
        <w:trPr>
          <w:trHeight w:val="289"/>
        </w:trPr>
        <w:tc>
          <w:tcPr>
            <w:tcW w:w="5916" w:type="dxa"/>
            <w:gridSpan w:val="5"/>
            <w:tcBorders>
              <w:top w:val="single" w:sz="3" w:space="0" w:color="000000"/>
              <w:left w:val="nil"/>
              <w:bottom w:val="single" w:sz="3" w:space="0" w:color="000000"/>
              <w:right w:val="nil"/>
            </w:tcBorders>
          </w:tcPr>
          <w:p w14:paraId="5F1DAC28" w14:textId="094E29E4"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rsidTr="00E855C6">
        <w:trPr>
          <w:trHeight w:val="254"/>
        </w:trPr>
        <w:tc>
          <w:tcPr>
            <w:tcW w:w="2839" w:type="dxa"/>
            <w:gridSpan w:val="2"/>
            <w:tcBorders>
              <w:top w:val="single" w:sz="3" w:space="0" w:color="000000"/>
              <w:left w:val="nil"/>
              <w:bottom w:val="nil"/>
              <w:right w:val="nil"/>
            </w:tcBorders>
          </w:tcPr>
          <w:p w14:paraId="67A74FC7" w14:textId="0F2EC82E"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758" w:type="dxa"/>
            <w:gridSpan w:val="2"/>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9"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rsidTr="00E855C6">
        <w:trPr>
          <w:trHeight w:val="209"/>
        </w:trPr>
        <w:tc>
          <w:tcPr>
            <w:tcW w:w="2839" w:type="dxa"/>
            <w:gridSpan w:val="2"/>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9"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rsidTr="00E855C6">
        <w:trPr>
          <w:trHeight w:val="279"/>
        </w:trPr>
        <w:tc>
          <w:tcPr>
            <w:tcW w:w="2839" w:type="dxa"/>
            <w:gridSpan w:val="2"/>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9"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rsidTr="00E855C6">
        <w:trPr>
          <w:trHeight w:val="193"/>
        </w:trPr>
        <w:tc>
          <w:tcPr>
            <w:tcW w:w="2839" w:type="dxa"/>
            <w:gridSpan w:val="2"/>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9"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rsidTr="00E855C6">
        <w:trPr>
          <w:trHeight w:val="250"/>
        </w:trPr>
        <w:tc>
          <w:tcPr>
            <w:tcW w:w="2839" w:type="dxa"/>
            <w:gridSpan w:val="2"/>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9"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rsidTr="00E855C6">
        <w:trPr>
          <w:trHeight w:val="289"/>
        </w:trPr>
        <w:tc>
          <w:tcPr>
            <w:tcW w:w="5916" w:type="dxa"/>
            <w:gridSpan w:val="5"/>
            <w:tcBorders>
              <w:top w:val="single" w:sz="3" w:space="0" w:color="000000"/>
              <w:left w:val="nil"/>
              <w:bottom w:val="single" w:sz="3" w:space="0" w:color="000000"/>
              <w:right w:val="nil"/>
            </w:tcBorders>
          </w:tcPr>
          <w:p w14:paraId="6A37805E" w14:textId="060F662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rsidTr="00E855C6">
        <w:trPr>
          <w:trHeight w:val="254"/>
        </w:trPr>
        <w:tc>
          <w:tcPr>
            <w:tcW w:w="2839" w:type="dxa"/>
            <w:gridSpan w:val="2"/>
            <w:tcBorders>
              <w:top w:val="single" w:sz="3" w:space="0" w:color="000000"/>
              <w:left w:val="nil"/>
              <w:bottom w:val="nil"/>
              <w:right w:val="nil"/>
            </w:tcBorders>
          </w:tcPr>
          <w:p w14:paraId="01C5EF8B" w14:textId="64B8E9B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9"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rsidTr="00E855C6">
        <w:trPr>
          <w:trHeight w:val="209"/>
        </w:trPr>
        <w:tc>
          <w:tcPr>
            <w:tcW w:w="2839" w:type="dxa"/>
            <w:gridSpan w:val="2"/>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9"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rsidTr="00E855C6">
        <w:trPr>
          <w:trHeight w:val="279"/>
        </w:trPr>
        <w:tc>
          <w:tcPr>
            <w:tcW w:w="2839" w:type="dxa"/>
            <w:gridSpan w:val="2"/>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9"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rsidTr="00E855C6">
        <w:trPr>
          <w:trHeight w:val="193"/>
        </w:trPr>
        <w:tc>
          <w:tcPr>
            <w:tcW w:w="2839" w:type="dxa"/>
            <w:gridSpan w:val="2"/>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9"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rsidTr="00E855C6">
        <w:trPr>
          <w:trHeight w:val="250"/>
        </w:trPr>
        <w:tc>
          <w:tcPr>
            <w:tcW w:w="2839" w:type="dxa"/>
            <w:gridSpan w:val="2"/>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9"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rsidTr="00E855C6">
        <w:trPr>
          <w:trHeight w:val="289"/>
        </w:trPr>
        <w:tc>
          <w:tcPr>
            <w:tcW w:w="5916" w:type="dxa"/>
            <w:gridSpan w:val="5"/>
            <w:tcBorders>
              <w:top w:val="single" w:sz="3" w:space="0" w:color="000000"/>
              <w:left w:val="nil"/>
              <w:bottom w:val="single" w:sz="3" w:space="0" w:color="000000"/>
              <w:right w:val="nil"/>
            </w:tcBorders>
          </w:tcPr>
          <w:p w14:paraId="2C40109F" w14:textId="17CEACC1"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rsidTr="00E855C6">
        <w:trPr>
          <w:trHeight w:val="254"/>
        </w:trPr>
        <w:tc>
          <w:tcPr>
            <w:tcW w:w="2839" w:type="dxa"/>
            <w:gridSpan w:val="2"/>
            <w:tcBorders>
              <w:top w:val="single" w:sz="3" w:space="0" w:color="000000"/>
              <w:left w:val="nil"/>
              <w:bottom w:val="nil"/>
              <w:right w:val="nil"/>
            </w:tcBorders>
          </w:tcPr>
          <w:p w14:paraId="16DF369D" w14:textId="2BC0C8AA"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9"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rsidTr="00E855C6">
        <w:trPr>
          <w:trHeight w:val="209"/>
        </w:trPr>
        <w:tc>
          <w:tcPr>
            <w:tcW w:w="2839" w:type="dxa"/>
            <w:gridSpan w:val="2"/>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9"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rsidTr="00E855C6">
        <w:trPr>
          <w:trHeight w:val="279"/>
        </w:trPr>
        <w:tc>
          <w:tcPr>
            <w:tcW w:w="2839" w:type="dxa"/>
            <w:gridSpan w:val="2"/>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9"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rsidTr="00E855C6">
        <w:trPr>
          <w:trHeight w:val="193"/>
        </w:trPr>
        <w:tc>
          <w:tcPr>
            <w:tcW w:w="2839" w:type="dxa"/>
            <w:gridSpan w:val="2"/>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9"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rsidTr="00E855C6">
        <w:trPr>
          <w:trHeight w:val="253"/>
        </w:trPr>
        <w:tc>
          <w:tcPr>
            <w:tcW w:w="2839" w:type="dxa"/>
            <w:gridSpan w:val="2"/>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9"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5664806F" w14:textId="475F34CB" w:rsidR="003C25C8" w:rsidRPr="004C2F06" w:rsidRDefault="00000000" w:rsidP="00A62D41">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r w:rsidR="00A62D41">
        <w:rPr>
          <w:rFonts w:ascii="Times New Roman" w:hAnsi="Times New Roman" w:cs="Times New Roman"/>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7A175AEF" w14:textId="77777777" w:rsidR="00C137EF" w:rsidRDefault="00C137EF">
      <w:pPr>
        <w:spacing w:after="0" w:line="240" w:lineRule="auto"/>
        <w:ind w:left="0" w:firstLine="0"/>
        <w:jc w:val="left"/>
        <w:rPr>
          <w:rFonts w:ascii="Times New Roman" w:hAnsi="Times New Roman" w:cs="Times New Roman"/>
          <w:sz w:val="19"/>
        </w:rPr>
      </w:pPr>
      <w:r>
        <w:rPr>
          <w:rFonts w:ascii="Times New Roman" w:hAnsi="Times New Roman" w:cs="Times New Roman"/>
          <w:sz w:val="19"/>
        </w:rPr>
        <w:br w:type="page"/>
      </w:r>
    </w:p>
    <w:p w14:paraId="5BD631B9" w14:textId="5AC4F053"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lastRenderedPageBreak/>
        <w:t>Table 4: Estimated effects of the prohibitions on the gender composition of</w:t>
      </w:r>
      <w:r w:rsidR="00C25443">
        <w:rPr>
          <w:rFonts w:ascii="Times New Roman" w:hAnsi="Times New Roman" w:cs="Times New Roman"/>
          <w:sz w:val="19"/>
        </w:rPr>
        <w:t xml:space="preserve"> white</w:t>
      </w:r>
      <w:r w:rsidRPr="004C2F06">
        <w:rPr>
          <w:rFonts w:ascii="Times New Roman" w:hAnsi="Times New Roman" w:cs="Times New Roman"/>
          <w:sz w:val="19"/>
        </w:rPr>
        <w:t xml:space="preserve"> teachers</w:t>
      </w:r>
    </w:p>
    <w:tbl>
      <w:tblPr>
        <w:tblStyle w:val="TableGrid"/>
        <w:tblW w:w="9360" w:type="dxa"/>
        <w:tblInd w:w="0" w:type="dxa"/>
        <w:tblLook w:val="04A0" w:firstRow="1" w:lastRow="0" w:firstColumn="1" w:lastColumn="0" w:noHBand="0" w:noVBand="1"/>
      </w:tblPr>
      <w:tblGrid>
        <w:gridCol w:w="2676"/>
        <w:gridCol w:w="1671"/>
        <w:gridCol w:w="1671"/>
        <w:gridCol w:w="1671"/>
        <w:gridCol w:w="141"/>
        <w:gridCol w:w="1530"/>
      </w:tblGrid>
      <w:tr w:rsidR="00871CAE" w:rsidRPr="004C2F06" w14:paraId="28A3BDD9" w14:textId="77777777" w:rsidTr="005143E0">
        <w:trPr>
          <w:trHeight w:val="343"/>
        </w:trPr>
        <w:tc>
          <w:tcPr>
            <w:tcW w:w="2676" w:type="dxa"/>
            <w:vMerge w:val="restart"/>
            <w:tcBorders>
              <w:top w:val="double" w:sz="3" w:space="0" w:color="000000"/>
              <w:left w:val="nil"/>
              <w:bottom w:val="nil"/>
              <w:right w:val="nil"/>
            </w:tcBorders>
          </w:tcPr>
          <w:p w14:paraId="433E6B49" w14:textId="77777777" w:rsidR="00871CAE" w:rsidRPr="004C2F06" w:rsidRDefault="00871CAE">
            <w:pPr>
              <w:spacing w:after="160" w:line="259" w:lineRule="auto"/>
              <w:ind w:left="0" w:firstLine="0"/>
              <w:jc w:val="left"/>
              <w:rPr>
                <w:rFonts w:ascii="Times New Roman" w:hAnsi="Times New Roman" w:cs="Times New Roman"/>
              </w:rPr>
            </w:pPr>
          </w:p>
        </w:tc>
        <w:tc>
          <w:tcPr>
            <w:tcW w:w="6684" w:type="dxa"/>
            <w:gridSpan w:val="5"/>
            <w:tcBorders>
              <w:top w:val="double" w:sz="3" w:space="0" w:color="000000"/>
              <w:left w:val="nil"/>
              <w:bottom w:val="single" w:sz="3" w:space="0" w:color="000000"/>
              <w:right w:val="nil"/>
            </w:tcBorders>
          </w:tcPr>
          <w:p w14:paraId="0A097A41" w14:textId="2D503930" w:rsidR="00871CAE" w:rsidRPr="004C2F06" w:rsidRDefault="00871CAE" w:rsidP="00871CAE">
            <w:pPr>
              <w:spacing w:after="160" w:line="259" w:lineRule="auto"/>
              <w:ind w:left="0" w:firstLine="0"/>
              <w:jc w:val="center"/>
              <w:rPr>
                <w:rFonts w:ascii="Times New Roman" w:hAnsi="Times New Roman" w:cs="Times New Roman"/>
              </w:rPr>
            </w:pPr>
            <w:r w:rsidRPr="004C2F06">
              <w:rPr>
                <w:rFonts w:ascii="Times New Roman" w:hAnsi="Times New Roman" w:cs="Times New Roman"/>
                <w:sz w:val="19"/>
              </w:rPr>
              <w:t>Dependent Variable:</w:t>
            </w:r>
          </w:p>
        </w:tc>
      </w:tr>
      <w:tr w:rsidR="008F1F7A" w:rsidRPr="004C2F06" w14:paraId="16270E9D" w14:textId="77777777" w:rsidTr="008D6048">
        <w:trPr>
          <w:trHeight w:val="299"/>
        </w:trPr>
        <w:tc>
          <w:tcPr>
            <w:tcW w:w="0" w:type="auto"/>
            <w:vMerge/>
            <w:tcBorders>
              <w:top w:val="nil"/>
              <w:left w:val="nil"/>
              <w:right w:val="nil"/>
            </w:tcBorders>
          </w:tcPr>
          <w:p w14:paraId="2CB6E415" w14:textId="77777777" w:rsidR="008F1F7A" w:rsidRPr="004C2F06" w:rsidRDefault="008F1F7A">
            <w:pPr>
              <w:spacing w:after="160" w:line="259" w:lineRule="auto"/>
              <w:ind w:left="0" w:firstLine="0"/>
              <w:jc w:val="left"/>
              <w:rPr>
                <w:rFonts w:ascii="Times New Roman" w:hAnsi="Times New Roman" w:cs="Times New Roman"/>
              </w:rPr>
            </w:pPr>
          </w:p>
        </w:tc>
        <w:tc>
          <w:tcPr>
            <w:tcW w:w="1671" w:type="dxa"/>
            <w:tcBorders>
              <w:top w:val="single" w:sz="3" w:space="0" w:color="000000"/>
              <w:left w:val="nil"/>
            </w:tcBorders>
          </w:tcPr>
          <w:p w14:paraId="6BF34292" w14:textId="7777777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Mar.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671" w:type="dxa"/>
            <w:tcBorders>
              <w:top w:val="single" w:sz="3" w:space="0" w:color="000000"/>
              <w:left w:val="nil"/>
            </w:tcBorders>
          </w:tcPr>
          <w:p w14:paraId="62418219" w14:textId="0628F2B2"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 Men</w:t>
            </w:r>
          </w:p>
        </w:tc>
        <w:tc>
          <w:tcPr>
            <w:tcW w:w="1812" w:type="dxa"/>
            <w:gridSpan w:val="2"/>
            <w:tcBorders>
              <w:top w:val="single" w:sz="3" w:space="0" w:color="000000"/>
              <w:left w:val="nil"/>
            </w:tcBorders>
          </w:tcPr>
          <w:p w14:paraId="75F5E7F6" w14:textId="421B082C"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w:t>
            </w:r>
            <w:proofErr w:type="spellStart"/>
            <w:r w:rsidRPr="004C2F06">
              <w:rPr>
                <w:rFonts w:ascii="Times New Roman" w:hAnsi="Times New Roman" w:cs="Times New Roman"/>
                <w:sz w:val="19"/>
              </w:rPr>
              <w:t>Unmar</w:t>
            </w:r>
            <w:proofErr w:type="spellEnd"/>
            <w:r w:rsidRPr="004C2F06">
              <w:rPr>
                <w:rFonts w:ascii="Times New Roman" w:hAnsi="Times New Roman" w:cs="Times New Roman"/>
                <w:sz w:val="19"/>
              </w:rPr>
              <w:t>.</w:t>
            </w:r>
            <w:r w:rsidR="008D6048">
              <w:rPr>
                <w:rFonts w:ascii="Times New Roman" w:hAnsi="Times New Roman" w:cs="Times New Roman"/>
                <w:sz w:val="19"/>
              </w:rPr>
              <w:t xml:space="preserve">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530" w:type="dxa"/>
            <w:tcBorders>
              <w:top w:val="single" w:sz="3" w:space="0" w:color="000000"/>
              <w:left w:val="nil"/>
            </w:tcBorders>
          </w:tcPr>
          <w:p w14:paraId="64EDE996" w14:textId="33699E9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Teachers</w:t>
            </w:r>
          </w:p>
        </w:tc>
      </w:tr>
      <w:tr w:rsidR="008D6048" w:rsidRPr="004C2F06" w14:paraId="03D7656F" w14:textId="77777777" w:rsidTr="008D6048">
        <w:trPr>
          <w:trHeight w:val="189"/>
        </w:trPr>
        <w:tc>
          <w:tcPr>
            <w:tcW w:w="2676" w:type="dxa"/>
            <w:tcBorders>
              <w:top w:val="nil"/>
              <w:left w:val="nil"/>
              <w:bottom w:val="single" w:sz="4" w:space="0" w:color="auto"/>
              <w:right w:val="nil"/>
            </w:tcBorders>
          </w:tcPr>
          <w:p w14:paraId="30C5B11F" w14:textId="77777777" w:rsidR="008D6048" w:rsidRPr="004C2F06" w:rsidRDefault="008D6048" w:rsidP="008F1F7A">
            <w:pPr>
              <w:spacing w:after="160" w:line="259" w:lineRule="auto"/>
              <w:ind w:left="0" w:firstLine="0"/>
              <w:jc w:val="left"/>
              <w:rPr>
                <w:rFonts w:ascii="Times New Roman" w:hAnsi="Times New Roman" w:cs="Times New Roman"/>
                <w:sz w:val="20"/>
              </w:rPr>
            </w:pPr>
          </w:p>
        </w:tc>
        <w:tc>
          <w:tcPr>
            <w:tcW w:w="1671" w:type="dxa"/>
            <w:tcBorders>
              <w:top w:val="nil"/>
              <w:left w:val="nil"/>
              <w:bottom w:val="single" w:sz="4" w:space="0" w:color="auto"/>
              <w:right w:val="nil"/>
            </w:tcBorders>
          </w:tcPr>
          <w:p w14:paraId="2B28C2A9" w14:textId="408DD54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(1)</w:t>
            </w:r>
          </w:p>
        </w:tc>
        <w:tc>
          <w:tcPr>
            <w:tcW w:w="1671" w:type="dxa"/>
            <w:tcBorders>
              <w:top w:val="nil"/>
              <w:left w:val="nil"/>
              <w:bottom w:val="single" w:sz="4" w:space="0" w:color="auto"/>
              <w:right w:val="nil"/>
            </w:tcBorders>
          </w:tcPr>
          <w:p w14:paraId="55C0A369" w14:textId="479230E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(2)</w:t>
            </w:r>
          </w:p>
        </w:tc>
        <w:tc>
          <w:tcPr>
            <w:tcW w:w="1812" w:type="dxa"/>
            <w:gridSpan w:val="2"/>
            <w:tcBorders>
              <w:top w:val="nil"/>
              <w:left w:val="nil"/>
              <w:bottom w:val="single" w:sz="4" w:space="0" w:color="auto"/>
              <w:right w:val="nil"/>
            </w:tcBorders>
          </w:tcPr>
          <w:p w14:paraId="5A49E110" w14:textId="0BCD48F5" w:rsidR="008D6048" w:rsidRPr="008F1F7A" w:rsidRDefault="008D6048" w:rsidP="008F1F7A">
            <w:pPr>
              <w:spacing w:after="0" w:line="259" w:lineRule="auto"/>
              <w:jc w:val="center"/>
              <w:rPr>
                <w:rFonts w:ascii="Times New Roman" w:hAnsi="Times New Roman" w:cs="Times New Roman"/>
                <w:sz w:val="19"/>
                <w:szCs w:val="19"/>
              </w:rPr>
            </w:pPr>
            <w:r>
              <w:rPr>
                <w:rFonts w:ascii="Times New Roman" w:hAnsi="Times New Roman" w:cs="Times New Roman"/>
                <w:sz w:val="19"/>
                <w:szCs w:val="19"/>
              </w:rPr>
              <w:t>(3)</w:t>
            </w:r>
          </w:p>
        </w:tc>
        <w:tc>
          <w:tcPr>
            <w:tcW w:w="1530" w:type="dxa"/>
            <w:tcBorders>
              <w:top w:val="nil"/>
              <w:left w:val="nil"/>
              <w:bottom w:val="single" w:sz="4" w:space="0" w:color="auto"/>
              <w:right w:val="nil"/>
            </w:tcBorders>
          </w:tcPr>
          <w:p w14:paraId="5F4C0E8F" w14:textId="1579A898" w:rsidR="008D6048" w:rsidRPr="008F1F7A" w:rsidRDefault="008D6048" w:rsidP="008F1F7A">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(4)</w:t>
            </w:r>
          </w:p>
        </w:tc>
      </w:tr>
      <w:tr w:rsidR="008F1F7A" w:rsidRPr="004C2F06" w14:paraId="53B0ED9D" w14:textId="77777777" w:rsidTr="008D6048">
        <w:trPr>
          <w:trHeight w:val="189"/>
        </w:trPr>
        <w:tc>
          <w:tcPr>
            <w:tcW w:w="2676" w:type="dxa"/>
            <w:tcBorders>
              <w:top w:val="single" w:sz="4" w:space="0" w:color="auto"/>
              <w:left w:val="nil"/>
              <w:bottom w:val="nil"/>
              <w:right w:val="nil"/>
            </w:tcBorders>
          </w:tcPr>
          <w:p w14:paraId="73685ED2" w14:textId="06B4CF88" w:rsidR="008F1F7A" w:rsidRPr="006A1CF0" w:rsidRDefault="008F1F7A" w:rsidP="006A1CF0">
            <w:pPr>
              <w:pStyle w:val="NoSpacing"/>
              <w:ind w:left="0" w:firstLine="0"/>
              <w:rPr>
                <w:rFonts w:ascii="Times New Roman" w:hAnsi="Times New Roman" w:cs="Times New Roman"/>
                <w:sz w:val="20"/>
                <w:szCs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71" w:type="dxa"/>
            <w:tcBorders>
              <w:top w:val="single" w:sz="4" w:space="0" w:color="auto"/>
              <w:left w:val="nil"/>
              <w:bottom w:val="nil"/>
              <w:right w:val="nil"/>
            </w:tcBorders>
          </w:tcPr>
          <w:p w14:paraId="1EE9120A" w14:textId="0A86E553"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0.041***</w:t>
            </w:r>
          </w:p>
        </w:tc>
        <w:tc>
          <w:tcPr>
            <w:tcW w:w="1671" w:type="dxa"/>
            <w:tcBorders>
              <w:top w:val="single" w:sz="4" w:space="0" w:color="auto"/>
              <w:left w:val="nil"/>
              <w:bottom w:val="nil"/>
              <w:right w:val="nil"/>
            </w:tcBorders>
          </w:tcPr>
          <w:p w14:paraId="6807FDB6" w14:textId="0BBFE09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0.002</w:t>
            </w:r>
          </w:p>
        </w:tc>
        <w:tc>
          <w:tcPr>
            <w:tcW w:w="1812" w:type="dxa"/>
            <w:gridSpan w:val="2"/>
            <w:tcBorders>
              <w:top w:val="single" w:sz="4" w:space="0" w:color="auto"/>
              <w:left w:val="nil"/>
              <w:bottom w:val="nil"/>
              <w:right w:val="nil"/>
            </w:tcBorders>
          </w:tcPr>
          <w:p w14:paraId="159D2F79" w14:textId="239A837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-0.044***</w:t>
            </w:r>
          </w:p>
        </w:tc>
        <w:tc>
          <w:tcPr>
            <w:tcW w:w="1530" w:type="dxa"/>
            <w:tcBorders>
              <w:top w:val="single" w:sz="4" w:space="0" w:color="auto"/>
              <w:left w:val="nil"/>
              <w:bottom w:val="nil"/>
              <w:right w:val="nil"/>
            </w:tcBorders>
          </w:tcPr>
          <w:p w14:paraId="4B09D804" w14:textId="6265A76E"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−0.916</w:t>
            </w:r>
          </w:p>
        </w:tc>
      </w:tr>
      <w:tr w:rsidR="008F1F7A" w:rsidRPr="004C2F06" w14:paraId="00C1375D" w14:textId="77777777" w:rsidTr="008D6048">
        <w:trPr>
          <w:trHeight w:val="345"/>
        </w:trPr>
        <w:tc>
          <w:tcPr>
            <w:tcW w:w="2676" w:type="dxa"/>
            <w:tcBorders>
              <w:top w:val="nil"/>
              <w:left w:val="nil"/>
              <w:bottom w:val="nil"/>
              <w:right w:val="nil"/>
            </w:tcBorders>
          </w:tcPr>
          <w:p w14:paraId="459889E9"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nil"/>
              <w:right w:val="nil"/>
            </w:tcBorders>
          </w:tcPr>
          <w:p w14:paraId="06AEDB59" w14:textId="77777777"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671" w:type="dxa"/>
            <w:tcBorders>
              <w:top w:val="nil"/>
              <w:left w:val="nil"/>
              <w:bottom w:val="nil"/>
              <w:right w:val="nil"/>
            </w:tcBorders>
          </w:tcPr>
          <w:p w14:paraId="500A7EA0" w14:textId="3DA89026"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(0.006)</w:t>
            </w:r>
          </w:p>
        </w:tc>
        <w:tc>
          <w:tcPr>
            <w:tcW w:w="1812" w:type="dxa"/>
            <w:gridSpan w:val="2"/>
            <w:tcBorders>
              <w:top w:val="nil"/>
              <w:left w:val="nil"/>
              <w:bottom w:val="nil"/>
              <w:right w:val="nil"/>
            </w:tcBorders>
          </w:tcPr>
          <w:p w14:paraId="720795E6" w14:textId="280E84D4"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530" w:type="dxa"/>
            <w:tcBorders>
              <w:top w:val="nil"/>
              <w:left w:val="nil"/>
              <w:bottom w:val="nil"/>
              <w:right w:val="nil"/>
            </w:tcBorders>
          </w:tcPr>
          <w:p w14:paraId="014CF78B" w14:textId="1BA708C1"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(3.941)</w:t>
            </w:r>
          </w:p>
        </w:tc>
      </w:tr>
      <w:tr w:rsidR="008F1F7A" w:rsidRPr="004C2F06" w14:paraId="7BD7EF72" w14:textId="77777777" w:rsidTr="008D6048">
        <w:trPr>
          <w:trHeight w:val="356"/>
        </w:trPr>
        <w:tc>
          <w:tcPr>
            <w:tcW w:w="2676" w:type="dxa"/>
            <w:tcBorders>
              <w:top w:val="nil"/>
              <w:left w:val="nil"/>
              <w:bottom w:val="nil"/>
              <w:right w:val="nil"/>
            </w:tcBorders>
            <w:vAlign w:val="bottom"/>
          </w:tcPr>
          <w:p w14:paraId="0F75902E" w14:textId="34B5595A" w:rsidR="008F1F7A" w:rsidRPr="004C2F06" w:rsidRDefault="008F1F7A" w:rsidP="008F1F7A">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9"/>
              </w:rPr>
              <w:tab/>
            </w:r>
          </w:p>
        </w:tc>
        <w:tc>
          <w:tcPr>
            <w:tcW w:w="1671" w:type="dxa"/>
            <w:tcBorders>
              <w:top w:val="nil"/>
              <w:left w:val="nil"/>
              <w:bottom w:val="nil"/>
              <w:right w:val="nil"/>
            </w:tcBorders>
            <w:vAlign w:val="bottom"/>
          </w:tcPr>
          <w:p w14:paraId="60D677D7" w14:textId="04DFA2DD"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0.007</w:t>
            </w:r>
          </w:p>
        </w:tc>
        <w:tc>
          <w:tcPr>
            <w:tcW w:w="1671" w:type="dxa"/>
            <w:tcBorders>
              <w:top w:val="nil"/>
              <w:left w:val="nil"/>
              <w:bottom w:val="nil"/>
              <w:right w:val="nil"/>
            </w:tcBorders>
            <w:vAlign w:val="bottom"/>
          </w:tcPr>
          <w:p w14:paraId="7FC3F57A" w14:textId="154CDAC5"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812" w:type="dxa"/>
            <w:gridSpan w:val="2"/>
            <w:tcBorders>
              <w:top w:val="nil"/>
              <w:left w:val="nil"/>
              <w:bottom w:val="nil"/>
              <w:right w:val="nil"/>
            </w:tcBorders>
            <w:vAlign w:val="bottom"/>
          </w:tcPr>
          <w:p w14:paraId="4246EF83" w14:textId="5E68A586"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0.003</w:t>
            </w:r>
          </w:p>
        </w:tc>
        <w:tc>
          <w:tcPr>
            <w:tcW w:w="1530" w:type="dxa"/>
            <w:tcBorders>
              <w:top w:val="nil"/>
              <w:left w:val="nil"/>
              <w:bottom w:val="nil"/>
              <w:right w:val="nil"/>
            </w:tcBorders>
            <w:vAlign w:val="bottom"/>
          </w:tcPr>
          <w:p w14:paraId="619A69C1" w14:textId="575CF7DD"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−2.872</w:t>
            </w:r>
          </w:p>
        </w:tc>
      </w:tr>
      <w:tr w:rsidR="008F1F7A" w:rsidRPr="004C2F06" w14:paraId="19B1F215" w14:textId="77777777" w:rsidTr="008D6048">
        <w:trPr>
          <w:trHeight w:val="472"/>
        </w:trPr>
        <w:tc>
          <w:tcPr>
            <w:tcW w:w="2676" w:type="dxa"/>
            <w:tcBorders>
              <w:top w:val="nil"/>
              <w:left w:val="nil"/>
              <w:bottom w:val="single" w:sz="3" w:space="0" w:color="000000"/>
              <w:right w:val="nil"/>
            </w:tcBorders>
          </w:tcPr>
          <w:p w14:paraId="2609DC8E"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single" w:sz="3" w:space="0" w:color="000000"/>
              <w:right w:val="nil"/>
            </w:tcBorders>
          </w:tcPr>
          <w:p w14:paraId="169A7EC7" w14:textId="553D72A2"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(0.010)</w:t>
            </w:r>
          </w:p>
        </w:tc>
        <w:tc>
          <w:tcPr>
            <w:tcW w:w="1671" w:type="dxa"/>
            <w:tcBorders>
              <w:top w:val="nil"/>
              <w:left w:val="nil"/>
              <w:bottom w:val="single" w:sz="3" w:space="0" w:color="000000"/>
              <w:right w:val="nil"/>
            </w:tcBorders>
          </w:tcPr>
          <w:p w14:paraId="4A0784F9" w14:textId="570B0916"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812" w:type="dxa"/>
            <w:gridSpan w:val="2"/>
            <w:tcBorders>
              <w:top w:val="nil"/>
              <w:left w:val="nil"/>
              <w:bottom w:val="single" w:sz="3" w:space="0" w:color="000000"/>
              <w:right w:val="nil"/>
            </w:tcBorders>
          </w:tcPr>
          <w:p w14:paraId="3C1F0AEF" w14:textId="0C0AA5B5"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(0.011)</w:t>
            </w:r>
          </w:p>
        </w:tc>
        <w:tc>
          <w:tcPr>
            <w:tcW w:w="1530" w:type="dxa"/>
            <w:tcBorders>
              <w:top w:val="nil"/>
              <w:left w:val="nil"/>
              <w:bottom w:val="single" w:sz="3" w:space="0" w:color="000000"/>
              <w:right w:val="nil"/>
            </w:tcBorders>
          </w:tcPr>
          <w:p w14:paraId="3933F7B0" w14:textId="101BFAD9"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(5.166)</w:t>
            </w:r>
          </w:p>
        </w:tc>
      </w:tr>
      <w:tr w:rsidR="00871CAE" w:rsidRPr="004C2F06" w14:paraId="359079FE" w14:textId="77777777" w:rsidTr="00EF6DD8">
        <w:trPr>
          <w:trHeight w:val="319"/>
        </w:trPr>
        <w:tc>
          <w:tcPr>
            <w:tcW w:w="2676" w:type="dxa"/>
            <w:tcBorders>
              <w:top w:val="single" w:sz="3" w:space="0" w:color="000000"/>
              <w:left w:val="nil"/>
              <w:bottom w:val="nil"/>
              <w:right w:val="nil"/>
            </w:tcBorders>
          </w:tcPr>
          <w:p w14:paraId="5AA0CC9F"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1671" w:type="dxa"/>
            <w:tcBorders>
              <w:top w:val="single" w:sz="3" w:space="0" w:color="000000"/>
              <w:left w:val="nil"/>
              <w:bottom w:val="nil"/>
              <w:right w:val="nil"/>
            </w:tcBorders>
          </w:tcPr>
          <w:p w14:paraId="5EC8A5B2" w14:textId="59ACBD79"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w:t>
            </w:r>
            <w:r w:rsidR="00C25443" w:rsidRPr="00E04E18">
              <w:rPr>
                <w:rFonts w:ascii="Times New Roman" w:hAnsi="Times New Roman" w:cs="Times New Roman"/>
                <w:sz w:val="20"/>
                <w:szCs w:val="20"/>
              </w:rPr>
              <w:t>1</w:t>
            </w:r>
            <w:r w:rsidR="00C25443">
              <w:rPr>
                <w:rFonts w:ascii="Times New Roman" w:hAnsi="Times New Roman" w:cs="Times New Roman"/>
                <w:sz w:val="20"/>
                <w:szCs w:val="20"/>
              </w:rPr>
              <w:t>557</w:t>
            </w:r>
          </w:p>
        </w:tc>
        <w:tc>
          <w:tcPr>
            <w:tcW w:w="1671" w:type="dxa"/>
            <w:tcBorders>
              <w:top w:val="single" w:sz="3" w:space="0" w:color="000000"/>
              <w:left w:val="nil"/>
              <w:bottom w:val="nil"/>
              <w:right w:val="nil"/>
            </w:tcBorders>
          </w:tcPr>
          <w:p w14:paraId="4422F28E" w14:textId="52EDA64B"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w:t>
            </w:r>
            <w:r w:rsidR="00C25443" w:rsidRPr="00E04E18">
              <w:rPr>
                <w:rFonts w:ascii="Times New Roman" w:hAnsi="Times New Roman" w:cs="Times New Roman"/>
                <w:sz w:val="20"/>
                <w:szCs w:val="20"/>
              </w:rPr>
              <w:t>21</w:t>
            </w:r>
            <w:r w:rsidR="00C25443">
              <w:rPr>
                <w:rFonts w:ascii="Times New Roman" w:hAnsi="Times New Roman" w:cs="Times New Roman"/>
                <w:sz w:val="20"/>
                <w:szCs w:val="20"/>
              </w:rPr>
              <w:t>66</w:t>
            </w:r>
          </w:p>
        </w:tc>
        <w:tc>
          <w:tcPr>
            <w:tcW w:w="1671" w:type="dxa"/>
            <w:tcBorders>
              <w:top w:val="single" w:sz="3" w:space="0" w:color="000000"/>
              <w:left w:val="nil"/>
              <w:bottom w:val="nil"/>
              <w:right w:val="nil"/>
            </w:tcBorders>
          </w:tcPr>
          <w:p w14:paraId="1C3DD69A" w14:textId="0211753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w:t>
            </w:r>
            <w:r w:rsidR="00C25443" w:rsidRPr="00E04E18">
              <w:rPr>
                <w:rFonts w:ascii="Times New Roman" w:hAnsi="Times New Roman" w:cs="Times New Roman"/>
                <w:sz w:val="20"/>
                <w:szCs w:val="20"/>
              </w:rPr>
              <w:t>6</w:t>
            </w:r>
            <w:r w:rsidR="00C25443">
              <w:rPr>
                <w:rFonts w:ascii="Times New Roman" w:hAnsi="Times New Roman" w:cs="Times New Roman"/>
                <w:sz w:val="20"/>
                <w:szCs w:val="20"/>
              </w:rPr>
              <w:t>277</w:t>
            </w:r>
          </w:p>
        </w:tc>
        <w:tc>
          <w:tcPr>
            <w:tcW w:w="1671" w:type="dxa"/>
            <w:gridSpan w:val="2"/>
            <w:tcBorders>
              <w:top w:val="single" w:sz="3" w:space="0" w:color="000000"/>
              <w:left w:val="nil"/>
              <w:bottom w:val="nil"/>
              <w:right w:val="nil"/>
            </w:tcBorders>
          </w:tcPr>
          <w:p w14:paraId="0EBE4CAE" w14:textId="72C9D2DB"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1</w:t>
            </w:r>
            <w:r w:rsidR="00C25443">
              <w:rPr>
                <w:rFonts w:ascii="Times New Roman" w:hAnsi="Times New Roman" w:cs="Times New Roman"/>
                <w:sz w:val="20"/>
                <w:szCs w:val="20"/>
              </w:rPr>
              <w:t>55.4</w:t>
            </w:r>
          </w:p>
        </w:tc>
      </w:tr>
      <w:tr w:rsidR="00871CAE" w:rsidRPr="004C2F06" w14:paraId="736836B6" w14:textId="77777777" w:rsidTr="00DE496B">
        <w:trPr>
          <w:trHeight w:val="221"/>
        </w:trPr>
        <w:tc>
          <w:tcPr>
            <w:tcW w:w="2676" w:type="dxa"/>
            <w:tcBorders>
              <w:top w:val="nil"/>
              <w:left w:val="nil"/>
              <w:bottom w:val="nil"/>
              <w:right w:val="nil"/>
            </w:tcBorders>
          </w:tcPr>
          <w:p w14:paraId="02A4C365"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1671" w:type="dxa"/>
            <w:tcBorders>
              <w:top w:val="nil"/>
              <w:left w:val="nil"/>
              <w:bottom w:val="nil"/>
              <w:right w:val="nil"/>
            </w:tcBorders>
          </w:tcPr>
          <w:p w14:paraId="59D1E79D"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67251A63" w14:textId="157237C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540D35D4" w14:textId="19D6F942"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gridSpan w:val="2"/>
            <w:tcBorders>
              <w:top w:val="nil"/>
              <w:left w:val="nil"/>
              <w:bottom w:val="nil"/>
              <w:right w:val="nil"/>
            </w:tcBorders>
          </w:tcPr>
          <w:p w14:paraId="37CDF622" w14:textId="4684145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r>
      <w:tr w:rsidR="00871CAE" w:rsidRPr="004C2F06" w14:paraId="63616F5A" w14:textId="77777777" w:rsidTr="000E38E0">
        <w:trPr>
          <w:trHeight w:val="271"/>
        </w:trPr>
        <w:tc>
          <w:tcPr>
            <w:tcW w:w="2676" w:type="dxa"/>
            <w:tcBorders>
              <w:top w:val="nil"/>
              <w:left w:val="nil"/>
              <w:bottom w:val="double" w:sz="3" w:space="0" w:color="000000"/>
              <w:right w:val="nil"/>
            </w:tcBorders>
          </w:tcPr>
          <w:p w14:paraId="0007E573"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1671" w:type="dxa"/>
            <w:tcBorders>
              <w:top w:val="nil"/>
              <w:left w:val="nil"/>
              <w:bottom w:val="double" w:sz="3" w:space="0" w:color="000000"/>
              <w:right w:val="nil"/>
            </w:tcBorders>
          </w:tcPr>
          <w:p w14:paraId="7C306546"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0.840</w:t>
            </w:r>
          </w:p>
        </w:tc>
        <w:tc>
          <w:tcPr>
            <w:tcW w:w="1671" w:type="dxa"/>
            <w:tcBorders>
              <w:top w:val="nil"/>
              <w:left w:val="nil"/>
              <w:bottom w:val="double" w:sz="3" w:space="0" w:color="000000"/>
              <w:right w:val="nil"/>
            </w:tcBorders>
          </w:tcPr>
          <w:p w14:paraId="66F9C68C" w14:textId="1742E3F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0.680</w:t>
            </w:r>
          </w:p>
        </w:tc>
        <w:tc>
          <w:tcPr>
            <w:tcW w:w="1671" w:type="dxa"/>
            <w:tcBorders>
              <w:top w:val="nil"/>
              <w:left w:val="nil"/>
              <w:bottom w:val="double" w:sz="3" w:space="0" w:color="000000"/>
              <w:right w:val="nil"/>
            </w:tcBorders>
          </w:tcPr>
          <w:p w14:paraId="0C2AD1F4" w14:textId="61C53E74"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0.827</w:t>
            </w:r>
          </w:p>
        </w:tc>
        <w:tc>
          <w:tcPr>
            <w:tcW w:w="1671" w:type="dxa"/>
            <w:gridSpan w:val="2"/>
            <w:tcBorders>
              <w:top w:val="nil"/>
              <w:left w:val="nil"/>
              <w:bottom w:val="double" w:sz="3" w:space="0" w:color="000000"/>
              <w:right w:val="nil"/>
            </w:tcBorders>
          </w:tcPr>
          <w:p w14:paraId="22F31B0C" w14:textId="317FBAB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67D4265D"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368DF788"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w:t>
      </w:r>
      <w:r w:rsidR="00C25443">
        <w:rPr>
          <w:rFonts w:ascii="Times New Roman" w:hAnsi="Times New Roman" w:cs="Times New Roman"/>
          <w:sz w:val="20"/>
        </w:rPr>
        <w:t xml:space="preserve"> white</w:t>
      </w:r>
      <w:r w:rsidRPr="004C2F06">
        <w:rPr>
          <w:rFonts w:ascii="Times New Roman" w:hAnsi="Times New Roman" w:cs="Times New Roman"/>
          <w:sz w:val="20"/>
        </w:rPr>
        <w:t xml:space="preserve"> unmarried women teachers</w:t>
      </w:r>
      <w:r w:rsidR="00954953">
        <w:rPr>
          <w:rFonts w:ascii="Times New Roman" w:hAnsi="Times New Roman" w:cs="Times New Roman"/>
          <w:sz w:val="20"/>
        </w:rPr>
        <w:t>’</w:t>
      </w:r>
      <w:r w:rsidRPr="004C2F06">
        <w:rPr>
          <w:rFonts w:ascii="Times New Roman" w:hAnsi="Times New Roman" w:cs="Times New Roman"/>
          <w:sz w:val="20"/>
        </w:rPr>
        <w:t xml:space="preserve">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2861"/>
        <w:gridCol w:w="1697"/>
        <w:gridCol w:w="1645"/>
        <w:gridCol w:w="1700"/>
        <w:gridCol w:w="1457"/>
      </w:tblGrid>
      <w:tr w:rsidR="00132357" w:rsidRPr="004C2F06" w14:paraId="28A85D24" w14:textId="77777777" w:rsidTr="00C80F15">
        <w:trPr>
          <w:trHeight w:val="387"/>
        </w:trPr>
        <w:tc>
          <w:tcPr>
            <w:tcW w:w="2861" w:type="dxa"/>
            <w:vMerge w:val="restart"/>
            <w:tcBorders>
              <w:top w:val="double" w:sz="3" w:space="0" w:color="000000"/>
              <w:left w:val="nil"/>
              <w:bottom w:val="single" w:sz="3" w:space="0" w:color="000000"/>
              <w:right w:val="nil"/>
            </w:tcBorders>
          </w:tcPr>
          <w:p w14:paraId="7BEAE38D" w14:textId="77777777" w:rsidR="00132357" w:rsidRPr="004C2F06" w:rsidRDefault="00132357">
            <w:pPr>
              <w:spacing w:after="160" w:line="259" w:lineRule="auto"/>
              <w:ind w:left="0" w:firstLine="0"/>
              <w:jc w:val="left"/>
              <w:rPr>
                <w:rFonts w:ascii="Times New Roman" w:hAnsi="Times New Roman" w:cs="Times New Roman"/>
              </w:rPr>
            </w:pPr>
          </w:p>
        </w:tc>
        <w:tc>
          <w:tcPr>
            <w:tcW w:w="6499" w:type="dxa"/>
            <w:gridSpan w:val="4"/>
            <w:tcBorders>
              <w:top w:val="double" w:sz="3" w:space="0" w:color="000000"/>
              <w:left w:val="nil"/>
              <w:bottom w:val="single" w:sz="2" w:space="0" w:color="000000"/>
              <w:right w:val="nil"/>
            </w:tcBorders>
          </w:tcPr>
          <w:p w14:paraId="79D2D7A9" w14:textId="515DAD35" w:rsidR="00132357" w:rsidRPr="004C2F06" w:rsidRDefault="00132357" w:rsidP="00132357">
            <w:pPr>
              <w:spacing w:after="160" w:line="259" w:lineRule="auto"/>
              <w:ind w:left="0" w:firstLine="0"/>
              <w:jc w:val="center"/>
              <w:rPr>
                <w:rFonts w:ascii="Times New Roman" w:hAnsi="Times New Roman" w:cs="Times New Roman"/>
              </w:rPr>
            </w:pPr>
            <w:r w:rsidRPr="004C2F06">
              <w:rPr>
                <w:rFonts w:ascii="Times New Roman" w:hAnsi="Times New Roman" w:cs="Times New Roman"/>
                <w:sz w:val="20"/>
              </w:rPr>
              <w:t>Dependent Variable:</w:t>
            </w:r>
          </w:p>
        </w:tc>
      </w:tr>
      <w:tr w:rsidR="003C25C8" w:rsidRPr="004C2F06" w14:paraId="5C06DE35" w14:textId="77777777" w:rsidTr="00E11FF3">
        <w:trPr>
          <w:trHeight w:val="971"/>
        </w:trPr>
        <w:tc>
          <w:tcPr>
            <w:tcW w:w="0" w:type="auto"/>
            <w:vMerge/>
            <w:tcBorders>
              <w:top w:val="nil"/>
              <w:left w:val="nil"/>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right w:val="nil"/>
            </w:tcBorders>
          </w:tcPr>
          <w:p w14:paraId="24CA4076" w14:textId="77777777" w:rsidR="00E11FF3" w:rsidRPr="00E11FF3" w:rsidRDefault="00000000" w:rsidP="00E11FF3">
            <w:pPr>
              <w:pStyle w:val="NoSpacing"/>
              <w:ind w:left="0" w:firstLine="0"/>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3ED0B738" w14:textId="726B989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in</w:t>
            </w:r>
            <w:r w:rsidR="00132357" w:rsidRPr="00E11FF3">
              <w:rPr>
                <w:rFonts w:ascii="Times New Roman" w:hAnsi="Times New Roman" w:cs="Times New Roman"/>
                <w:sz w:val="20"/>
                <w:szCs w:val="20"/>
              </w:rPr>
              <w:t xml:space="preserve">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645" w:type="dxa"/>
            <w:tcBorders>
              <w:top w:val="single" w:sz="2" w:space="0" w:color="000000"/>
              <w:left w:val="nil"/>
              <w:right w:val="nil"/>
            </w:tcBorders>
          </w:tcPr>
          <w:p w14:paraId="6811C120"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0C2AC40A" w14:textId="78EF6DAD"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Teacher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700" w:type="dxa"/>
            <w:tcBorders>
              <w:top w:val="single" w:sz="2" w:space="0" w:color="000000"/>
              <w:left w:val="nil"/>
              <w:right w:val="nil"/>
            </w:tcBorders>
          </w:tcPr>
          <w:p w14:paraId="5FAF7E2F"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79893E78" w14:textId="77777777" w:rsidR="00132357"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Non-Teacher in</w:t>
            </w:r>
          </w:p>
          <w:p w14:paraId="1C47942F" w14:textId="729C8438"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LF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457" w:type="dxa"/>
            <w:tcBorders>
              <w:top w:val="single" w:sz="2" w:space="0" w:color="000000"/>
              <w:left w:val="nil"/>
              <w:right w:val="nil"/>
            </w:tcBorders>
          </w:tcPr>
          <w:p w14:paraId="0D1D569C" w14:textId="77777777" w:rsidR="00E11FF3" w:rsidRPr="00E11FF3" w:rsidRDefault="00000000" w:rsidP="00E11FF3">
            <w:pPr>
              <w:pStyle w:val="NoSpacing"/>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010C9D9A" w14:textId="39905871" w:rsidR="003C25C8" w:rsidRPr="00E11FF3" w:rsidRDefault="00000000" w:rsidP="00E11FF3">
            <w:pPr>
              <w:pStyle w:val="NoSpacing"/>
              <w:jc w:val="center"/>
              <w:rPr>
                <w:rFonts w:ascii="Times New Roman" w:hAnsi="Times New Roman" w:cs="Times New Roman"/>
                <w:sz w:val="20"/>
                <w:szCs w:val="20"/>
              </w:rPr>
            </w:pPr>
            <w:r w:rsidRPr="00E11FF3">
              <w:rPr>
                <w:rFonts w:ascii="Times New Roman" w:hAnsi="Times New Roman" w:cs="Times New Roman"/>
                <w:sz w:val="20"/>
                <w:szCs w:val="20"/>
              </w:rPr>
              <w:t>Not in LF in t)</w:t>
            </w:r>
          </w:p>
        </w:tc>
      </w:tr>
      <w:tr w:rsidR="00E11FF3" w:rsidRPr="004C2F06" w14:paraId="56DDFA90" w14:textId="77777777" w:rsidTr="00E11FF3">
        <w:trPr>
          <w:trHeight w:val="328"/>
        </w:trPr>
        <w:tc>
          <w:tcPr>
            <w:tcW w:w="2861" w:type="dxa"/>
            <w:tcBorders>
              <w:left w:val="nil"/>
              <w:bottom w:val="single" w:sz="4" w:space="0" w:color="auto"/>
              <w:right w:val="nil"/>
            </w:tcBorders>
          </w:tcPr>
          <w:p w14:paraId="6AAF0561" w14:textId="77777777" w:rsidR="00E11FF3" w:rsidRPr="006A1CF0" w:rsidRDefault="00E11FF3">
            <w:pPr>
              <w:spacing w:after="0" w:line="259" w:lineRule="auto"/>
              <w:ind w:left="0" w:firstLine="0"/>
              <w:jc w:val="left"/>
              <w:rPr>
                <w:rFonts w:ascii="Times New Roman" w:hAnsi="Times New Roman" w:cs="Times New Roman"/>
                <w:sz w:val="20"/>
                <w:szCs w:val="20"/>
              </w:rPr>
            </w:pPr>
          </w:p>
        </w:tc>
        <w:tc>
          <w:tcPr>
            <w:tcW w:w="1697" w:type="dxa"/>
            <w:tcBorders>
              <w:left w:val="nil"/>
              <w:bottom w:val="single" w:sz="4" w:space="0" w:color="auto"/>
              <w:right w:val="nil"/>
            </w:tcBorders>
          </w:tcPr>
          <w:p w14:paraId="576E52CD" w14:textId="3322B14B"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645" w:type="dxa"/>
            <w:tcBorders>
              <w:left w:val="nil"/>
              <w:bottom w:val="single" w:sz="4" w:space="0" w:color="auto"/>
              <w:right w:val="nil"/>
            </w:tcBorders>
          </w:tcPr>
          <w:p w14:paraId="3E6B56EB" w14:textId="26A9A5F6"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700" w:type="dxa"/>
            <w:tcBorders>
              <w:left w:val="nil"/>
              <w:bottom w:val="single" w:sz="4" w:space="0" w:color="auto"/>
              <w:right w:val="nil"/>
            </w:tcBorders>
          </w:tcPr>
          <w:p w14:paraId="36F2440C" w14:textId="676CAFAC"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457" w:type="dxa"/>
            <w:tcBorders>
              <w:left w:val="nil"/>
              <w:bottom w:val="single" w:sz="4" w:space="0" w:color="auto"/>
              <w:right w:val="nil"/>
            </w:tcBorders>
          </w:tcPr>
          <w:p w14:paraId="07294F90" w14:textId="352E0068"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(4)</w:t>
            </w:r>
          </w:p>
        </w:tc>
      </w:tr>
      <w:tr w:rsidR="00E11FF3" w:rsidRPr="004C2F06" w14:paraId="6EC2ED76" w14:textId="77777777" w:rsidTr="00E11FF3">
        <w:trPr>
          <w:trHeight w:val="328"/>
        </w:trPr>
        <w:tc>
          <w:tcPr>
            <w:tcW w:w="2861" w:type="dxa"/>
            <w:tcBorders>
              <w:top w:val="single" w:sz="4" w:space="0" w:color="auto"/>
              <w:left w:val="nil"/>
              <w:right w:val="nil"/>
            </w:tcBorders>
          </w:tcPr>
          <w:p w14:paraId="35A723EB" w14:textId="33030FAB" w:rsidR="00E11FF3" w:rsidRPr="004C2F06" w:rsidRDefault="00E11FF3">
            <w:pPr>
              <w:spacing w:after="0" w:line="259" w:lineRule="auto"/>
              <w:ind w:left="0" w:firstLine="0"/>
              <w:jc w:val="left"/>
              <w:rPr>
                <w:rFonts w:ascii="Times New Roman" w:hAnsi="Times New Roman" w:cs="Times New Roman"/>
                <w:sz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97" w:type="dxa"/>
            <w:tcBorders>
              <w:top w:val="single" w:sz="4" w:space="0" w:color="auto"/>
              <w:left w:val="nil"/>
              <w:right w:val="nil"/>
            </w:tcBorders>
          </w:tcPr>
          <w:p w14:paraId="6819B33A" w14:textId="32F2D77D"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0.0165</w:t>
            </w:r>
          </w:p>
        </w:tc>
        <w:tc>
          <w:tcPr>
            <w:tcW w:w="1645" w:type="dxa"/>
            <w:tcBorders>
              <w:top w:val="single" w:sz="4" w:space="0" w:color="auto"/>
              <w:left w:val="nil"/>
              <w:right w:val="nil"/>
            </w:tcBorders>
          </w:tcPr>
          <w:p w14:paraId="3CFDB580" w14:textId="4FC534D0"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top w:val="single" w:sz="4" w:space="0" w:color="auto"/>
              <w:left w:val="nil"/>
              <w:right w:val="nil"/>
            </w:tcBorders>
          </w:tcPr>
          <w:p w14:paraId="6C28CBE2" w14:textId="1FD7BFE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0.0191***</w:t>
            </w:r>
          </w:p>
        </w:tc>
        <w:tc>
          <w:tcPr>
            <w:tcW w:w="1457" w:type="dxa"/>
            <w:tcBorders>
              <w:top w:val="single" w:sz="4" w:space="0" w:color="auto"/>
              <w:left w:val="nil"/>
              <w:right w:val="nil"/>
            </w:tcBorders>
          </w:tcPr>
          <w:p w14:paraId="74229BE1" w14:textId="2462309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0.0089</w:t>
            </w:r>
          </w:p>
        </w:tc>
      </w:tr>
      <w:tr w:rsidR="00E11FF3" w:rsidRPr="004C2F06" w14:paraId="199FFB9C" w14:textId="77777777" w:rsidTr="00E11FF3">
        <w:trPr>
          <w:trHeight w:val="328"/>
        </w:trPr>
        <w:tc>
          <w:tcPr>
            <w:tcW w:w="2861" w:type="dxa"/>
            <w:tcBorders>
              <w:left w:val="nil"/>
              <w:bottom w:val="nil"/>
              <w:right w:val="nil"/>
            </w:tcBorders>
          </w:tcPr>
          <w:p w14:paraId="5FCC4D88" w14:textId="77777777" w:rsidR="00E11FF3" w:rsidRPr="004C2F06" w:rsidRDefault="00E11FF3" w:rsidP="00E11FF3">
            <w:pPr>
              <w:pStyle w:val="NoSpacing"/>
            </w:pPr>
          </w:p>
        </w:tc>
        <w:tc>
          <w:tcPr>
            <w:tcW w:w="1697" w:type="dxa"/>
            <w:tcBorders>
              <w:left w:val="nil"/>
              <w:bottom w:val="nil"/>
              <w:right w:val="nil"/>
            </w:tcBorders>
          </w:tcPr>
          <w:p w14:paraId="3BC756DD" w14:textId="2B12E751"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(0.0112)</w:t>
            </w:r>
          </w:p>
        </w:tc>
        <w:tc>
          <w:tcPr>
            <w:tcW w:w="1645" w:type="dxa"/>
            <w:tcBorders>
              <w:left w:val="nil"/>
              <w:bottom w:val="nil"/>
              <w:right w:val="nil"/>
            </w:tcBorders>
          </w:tcPr>
          <w:p w14:paraId="695C2ACF" w14:textId="41F2013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left w:val="nil"/>
              <w:bottom w:val="nil"/>
              <w:right w:val="nil"/>
            </w:tcBorders>
          </w:tcPr>
          <w:p w14:paraId="0FE32ED4" w14:textId="29FD83E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c>
          <w:tcPr>
            <w:tcW w:w="1457" w:type="dxa"/>
            <w:tcBorders>
              <w:left w:val="nil"/>
              <w:bottom w:val="nil"/>
              <w:right w:val="nil"/>
            </w:tcBorders>
          </w:tcPr>
          <w:p w14:paraId="19883683" w14:textId="2D427C54"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43AB17A4"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w:t>
            </w:r>
            <w:r w:rsidR="00C25443" w:rsidRPr="00E11FF3">
              <w:rPr>
                <w:rFonts w:ascii="Times New Roman" w:hAnsi="Times New Roman" w:cs="Times New Roman"/>
                <w:sz w:val="20"/>
                <w:szCs w:val="20"/>
              </w:rPr>
              <w:t>4</w:t>
            </w:r>
            <w:r w:rsidR="00C25443">
              <w:rPr>
                <w:rFonts w:ascii="Times New Roman" w:hAnsi="Times New Roman" w:cs="Times New Roman"/>
                <w:sz w:val="20"/>
                <w:szCs w:val="20"/>
              </w:rPr>
              <w:t>109</w:t>
            </w:r>
          </w:p>
        </w:tc>
        <w:tc>
          <w:tcPr>
            <w:tcW w:w="1645" w:type="dxa"/>
            <w:tcBorders>
              <w:top w:val="single" w:sz="3" w:space="0" w:color="000000"/>
              <w:left w:val="nil"/>
              <w:bottom w:val="nil"/>
              <w:right w:val="nil"/>
            </w:tcBorders>
          </w:tcPr>
          <w:p w14:paraId="2EB91F3C" w14:textId="15B6D7B5"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w:t>
            </w:r>
            <w:r w:rsidR="00C25443" w:rsidRPr="00E11FF3">
              <w:rPr>
                <w:rFonts w:ascii="Times New Roman" w:hAnsi="Times New Roman" w:cs="Times New Roman"/>
                <w:sz w:val="20"/>
                <w:szCs w:val="20"/>
              </w:rPr>
              <w:t>2</w:t>
            </w:r>
            <w:r w:rsidR="00C25443">
              <w:rPr>
                <w:rFonts w:ascii="Times New Roman" w:hAnsi="Times New Roman" w:cs="Times New Roman"/>
                <w:sz w:val="20"/>
                <w:szCs w:val="20"/>
              </w:rPr>
              <w:t>417</w:t>
            </w:r>
          </w:p>
        </w:tc>
        <w:tc>
          <w:tcPr>
            <w:tcW w:w="1700" w:type="dxa"/>
            <w:tcBorders>
              <w:top w:val="single" w:sz="3" w:space="0" w:color="000000"/>
              <w:left w:val="nil"/>
              <w:bottom w:val="nil"/>
              <w:right w:val="nil"/>
            </w:tcBorders>
          </w:tcPr>
          <w:p w14:paraId="0EF0001D" w14:textId="227DE82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w:t>
            </w:r>
            <w:r w:rsidR="00C25443" w:rsidRPr="00E11FF3">
              <w:rPr>
                <w:rFonts w:ascii="Times New Roman" w:hAnsi="Times New Roman" w:cs="Times New Roman"/>
                <w:sz w:val="20"/>
                <w:szCs w:val="20"/>
              </w:rPr>
              <w:t>0</w:t>
            </w:r>
            <w:r w:rsidR="00C25443">
              <w:rPr>
                <w:rFonts w:ascii="Times New Roman" w:hAnsi="Times New Roman" w:cs="Times New Roman"/>
                <w:sz w:val="20"/>
                <w:szCs w:val="20"/>
              </w:rPr>
              <w:t>874</w:t>
            </w:r>
          </w:p>
        </w:tc>
        <w:tc>
          <w:tcPr>
            <w:tcW w:w="1457" w:type="dxa"/>
            <w:tcBorders>
              <w:top w:val="single" w:sz="3" w:space="0" w:color="000000"/>
              <w:left w:val="nil"/>
              <w:bottom w:val="nil"/>
              <w:right w:val="nil"/>
            </w:tcBorders>
          </w:tcPr>
          <w:p w14:paraId="28411EAB"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645" w:type="dxa"/>
            <w:tcBorders>
              <w:top w:val="nil"/>
              <w:left w:val="nil"/>
              <w:bottom w:val="nil"/>
              <w:right w:val="nil"/>
            </w:tcBorders>
          </w:tcPr>
          <w:p w14:paraId="6595CD0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700" w:type="dxa"/>
            <w:tcBorders>
              <w:top w:val="nil"/>
              <w:left w:val="nil"/>
              <w:bottom w:val="nil"/>
              <w:right w:val="nil"/>
            </w:tcBorders>
          </w:tcPr>
          <w:p w14:paraId="3EE75B7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457" w:type="dxa"/>
            <w:tcBorders>
              <w:top w:val="nil"/>
              <w:left w:val="nil"/>
              <w:bottom w:val="nil"/>
              <w:right w:val="nil"/>
            </w:tcBorders>
          </w:tcPr>
          <w:p w14:paraId="4CAD8AFF"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0.15787</w:t>
            </w:r>
          </w:p>
        </w:tc>
        <w:tc>
          <w:tcPr>
            <w:tcW w:w="1645" w:type="dxa"/>
            <w:tcBorders>
              <w:top w:val="nil"/>
              <w:left w:val="nil"/>
              <w:bottom w:val="double" w:sz="3" w:space="0" w:color="000000"/>
              <w:right w:val="nil"/>
            </w:tcBorders>
          </w:tcPr>
          <w:p w14:paraId="0571A39A"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0.12784</w:t>
            </w:r>
          </w:p>
        </w:tc>
        <w:tc>
          <w:tcPr>
            <w:tcW w:w="1700" w:type="dxa"/>
            <w:tcBorders>
              <w:top w:val="nil"/>
              <w:left w:val="nil"/>
              <w:bottom w:val="double" w:sz="3" w:space="0" w:color="000000"/>
              <w:right w:val="nil"/>
            </w:tcBorders>
          </w:tcPr>
          <w:p w14:paraId="739DF0C8"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0.01006</w:t>
            </w:r>
          </w:p>
        </w:tc>
        <w:tc>
          <w:tcPr>
            <w:tcW w:w="1457" w:type="dxa"/>
            <w:tcBorders>
              <w:top w:val="nil"/>
              <w:left w:val="nil"/>
              <w:bottom w:val="double" w:sz="3" w:space="0" w:color="000000"/>
              <w:right w:val="nil"/>
            </w:tcBorders>
          </w:tcPr>
          <w:p w14:paraId="0D2B1E72"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0.02396</w:t>
            </w:r>
          </w:p>
        </w:tc>
      </w:tr>
    </w:tbl>
    <w:p w14:paraId="02D55BB7" w14:textId="2EA5EE3D" w:rsidR="003C25C8" w:rsidRPr="004C2F06" w:rsidRDefault="00000000" w:rsidP="008C4784">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r w:rsidR="008C4784">
        <w:rPr>
          <w:rFonts w:ascii="Times New Roman" w:hAnsi="Times New Roman" w:cs="Times New Roman"/>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r w:rsidR="00C25443" w:rsidRPr="00C25443">
        <w:rPr>
          <w:rFonts w:ascii="Times New Roman" w:hAnsi="Times New Roman" w:cs="Times New Roman"/>
          <w:sz w:val="17"/>
        </w:rPr>
        <w:t xml:space="preserve"> </w:t>
      </w:r>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lastRenderedPageBreak/>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719F30F2">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66D593A7" w14:textId="3236E475" w:rsidR="003C25C8" w:rsidRPr="00837D71" w:rsidRDefault="00000000" w:rsidP="000B1637">
      <w:pPr>
        <w:spacing w:line="256" w:lineRule="auto"/>
        <w:ind w:left="-5"/>
        <w:rPr>
          <w:rFonts w:ascii="Times New Roman" w:hAnsi="Times New Roman" w:cs="Times New Roman"/>
          <w:sz w:val="20"/>
          <w:szCs w:val="20"/>
        </w:rPr>
      </w:pPr>
      <w:r w:rsidRPr="00837D71">
        <w:rPr>
          <w:rFonts w:ascii="Times New Roman" w:hAnsi="Times New Roman" w:cs="Times New Roman"/>
          <w:i/>
          <w:sz w:val="20"/>
          <w:szCs w:val="20"/>
        </w:rPr>
        <w:t xml:space="preserve">Notes: </w:t>
      </w:r>
      <w:r w:rsidRPr="00837D71">
        <w:rPr>
          <w:rFonts w:ascii="Times New Roman" w:hAnsi="Times New Roman" w:cs="Times New Roman"/>
          <w:sz w:val="20"/>
          <w:szCs w:val="20"/>
        </w:rPr>
        <w:t>Separate distributions are shown for (1) counties in states where marriage bars were prohibited in teaching in the 1930s (KY, NC), and (2) all other counties in the country.</w:t>
      </w:r>
      <w:r w:rsidR="000B1637">
        <w:rPr>
          <w:rFonts w:ascii="Times New Roman" w:hAnsi="Times New Roman" w:cs="Times New Roman"/>
          <w:sz w:val="20"/>
          <w:szCs w:val="20"/>
        </w:rPr>
        <w:t xml:space="preserve"> </w:t>
      </w:r>
      <w:r w:rsidRPr="00837D71">
        <w:rPr>
          <w:rFonts w:ascii="Times New Roman" w:hAnsi="Times New Roman" w:cs="Times New Roman"/>
          <w:sz w:val="20"/>
          <w:szCs w:val="20"/>
        </w:rPr>
        <w:t>Vertical dashed lines represent group means.</w:t>
      </w:r>
      <w:r w:rsidR="000B1637">
        <w:rPr>
          <w:rFonts w:ascii="Times New Roman" w:hAnsi="Times New Roman" w:cs="Times New Roman"/>
          <w:sz w:val="20"/>
          <w:szCs w:val="20"/>
        </w:rPr>
        <w:t xml:space="preserve"> </w:t>
      </w:r>
      <w:r w:rsidRPr="00837D71">
        <w:rPr>
          <w:rFonts w:ascii="Times New Roman" w:hAnsi="Times New Roman" w:cs="Times New Roman"/>
          <w:i/>
          <w:sz w:val="20"/>
          <w:szCs w:val="20"/>
        </w:rPr>
        <w:t xml:space="preserve">Sources: </w:t>
      </w:r>
      <w:r w:rsidRPr="000B1637">
        <w:rPr>
          <w:rFonts w:ascii="Times New Roman" w:hAnsi="Times New Roman" w:cs="Times New Roman"/>
          <w:iCs/>
          <w:sz w:val="20"/>
          <w:szCs w:val="20"/>
        </w:rPr>
        <w:t>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04093E1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07B8EB81" w14:textId="6B435BBC" w:rsidR="003C25C8" w:rsidRPr="00A769EE" w:rsidRDefault="00000000" w:rsidP="00243EE9">
      <w:pPr>
        <w:spacing w:line="256" w:lineRule="auto"/>
        <w:ind w:left="-5"/>
        <w:rPr>
          <w:rFonts w:ascii="Times New Roman" w:hAnsi="Times New Roman" w:cs="Times New Roman"/>
          <w:sz w:val="20"/>
          <w:szCs w:val="20"/>
        </w:rPr>
      </w:pPr>
      <w:r w:rsidRPr="00A769EE">
        <w:rPr>
          <w:rFonts w:ascii="Times New Roman" w:hAnsi="Times New Roman" w:cs="Times New Roman"/>
          <w:i/>
          <w:sz w:val="20"/>
          <w:szCs w:val="20"/>
        </w:rPr>
        <w:t xml:space="preserve">Notes: </w:t>
      </w:r>
      <w:r w:rsidRPr="00A769EE">
        <w:rPr>
          <w:rFonts w:ascii="Times New Roman" w:hAnsi="Times New Roman" w:cs="Times New Roman"/>
          <w:sz w:val="20"/>
          <w:szCs w:val="20"/>
        </w:rPr>
        <w:t>Sample includes KY, NC, and neighboring Southern states. The gender composition of teachers is measured at the county level.</w:t>
      </w:r>
      <w:r w:rsidR="00243EE9">
        <w:rPr>
          <w:rFonts w:ascii="Times New Roman" w:hAnsi="Times New Roman" w:cs="Times New Roman"/>
          <w:sz w:val="20"/>
          <w:szCs w:val="20"/>
        </w:rPr>
        <w:t xml:space="preserve"> </w:t>
      </w:r>
      <w:r w:rsidRPr="00A769EE">
        <w:rPr>
          <w:rFonts w:ascii="Times New Roman" w:hAnsi="Times New Roman" w:cs="Times New Roman"/>
          <w:i/>
          <w:sz w:val="20"/>
          <w:szCs w:val="20"/>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16"/>
          <w:footerReference w:type="default" r:id="rId17"/>
          <w:footerReference w:type="first" r:id="rId18"/>
          <w:pgSz w:w="12240" w:h="15840"/>
          <w:pgMar w:top="1440" w:right="1440" w:bottom="1791" w:left="1440" w:header="720" w:footer="796" w:gutter="0"/>
          <w:cols w:space="720"/>
        </w:sectPr>
      </w:pPr>
    </w:p>
    <w:p w14:paraId="1FE19A3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18A16E18">
            <wp:extent cx="5120640" cy="3200400"/>
            <wp:effectExtent l="0" t="0" r="0"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2CE53806" w14:textId="77777777" w:rsidR="003C25C8" w:rsidRPr="00304ECC" w:rsidRDefault="00000000">
      <w:pPr>
        <w:numPr>
          <w:ilvl w:val="0"/>
          <w:numId w:val="1"/>
        </w:numPr>
        <w:spacing w:after="0" w:line="259" w:lineRule="auto"/>
        <w:ind w:hanging="364"/>
        <w:jc w:val="center"/>
        <w:rPr>
          <w:rFonts w:ascii="Times New Roman" w:hAnsi="Times New Roman" w:cs="Times New Roman"/>
        </w:rPr>
      </w:pPr>
      <w:r w:rsidRPr="00304ECC">
        <w:rPr>
          <w:rFonts w:ascii="Times New Roman" w:hAnsi="Times New Roman" w:cs="Times New Roman"/>
          <w:sz w:val="22"/>
        </w:rPr>
        <w:t>Effects on composition of white teachers.</w:t>
      </w:r>
    </w:p>
    <w:p w14:paraId="70A2F91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drawing>
          <wp:inline distT="0" distB="0" distL="0" distR="0" wp14:anchorId="0B670E2A" wp14:editId="6A45F3A8">
            <wp:extent cx="5120640" cy="3200400"/>
            <wp:effectExtent l="0" t="0" r="0"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0640" cy="3200400"/>
                    </a:xfrm>
                    <a:prstGeom prst="rect">
                      <a:avLst/>
                    </a:prstGeom>
                  </pic:spPr>
                </pic:pic>
              </a:graphicData>
            </a:graphic>
          </wp:inline>
        </w:drawing>
      </w:r>
    </w:p>
    <w:p w14:paraId="6ED917BD" w14:textId="77777777" w:rsidR="00741663" w:rsidRDefault="00000000" w:rsidP="00741663">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7A9A0B04" w14:textId="02A58D0C" w:rsidR="00741663" w:rsidRDefault="00000000" w:rsidP="00741663">
      <w:pPr>
        <w:spacing w:after="205" w:line="259" w:lineRule="auto"/>
        <w:ind w:left="0" w:firstLine="0"/>
        <w:rPr>
          <w:rFonts w:ascii="Times New Roman" w:hAnsi="Times New Roman" w:cs="Times New Roman"/>
        </w:rPr>
      </w:pPr>
      <w:r w:rsidRPr="00741663">
        <w:rPr>
          <w:rFonts w:ascii="Times New Roman" w:hAnsi="Times New Roman" w:cs="Times New Roman"/>
        </w:rPr>
        <w:t>Figure 3: Effects of prohibiting marriage bars in teaching on the gender composition of teachers, by race.</w:t>
      </w:r>
      <w:r w:rsidR="00741663">
        <w:rPr>
          <w:rFonts w:ascii="Times New Roman" w:hAnsi="Times New Roman" w:cs="Times New Roman"/>
        </w:rPr>
        <w:t xml:space="preserve"> </w:t>
      </w:r>
    </w:p>
    <w:p w14:paraId="5114EFE5" w14:textId="35539A5B" w:rsidR="00741663" w:rsidRPr="00BA639D" w:rsidRDefault="00741663" w:rsidP="00741663">
      <w:pPr>
        <w:spacing w:after="205" w:line="259" w:lineRule="auto"/>
        <w:ind w:left="0" w:firstLine="0"/>
        <w:rPr>
          <w:rFonts w:ascii="Times New Roman" w:hAnsi="Times New Roman" w:cs="Times New Roman"/>
          <w:sz w:val="20"/>
          <w:szCs w:val="20"/>
        </w:rPr>
      </w:pPr>
      <w:r w:rsidRPr="00741663">
        <w:rPr>
          <w:rFonts w:ascii="Times New Roman" w:hAnsi="Times New Roman" w:cs="Times New Roman"/>
          <w:i/>
          <w:sz w:val="20"/>
          <w:szCs w:val="20"/>
        </w:rPr>
        <w:t xml:space="preserve">Notes: </w:t>
      </w:r>
      <w:r w:rsidRPr="00741663">
        <w:rPr>
          <w:rFonts w:ascii="Times New Roman" w:hAnsi="Times New Roman" w:cs="Times New Roman"/>
          <w:sz w:val="20"/>
          <w:szCs w:val="20"/>
        </w:rPr>
        <w:t>Sample includes KY, NC, and neighboring Southern states. The gender composition of teachers is measured at the county level.</w:t>
      </w:r>
      <w:r>
        <w:rPr>
          <w:rFonts w:ascii="Times New Roman" w:hAnsi="Times New Roman" w:cs="Times New Roman"/>
          <w:sz w:val="20"/>
          <w:szCs w:val="20"/>
        </w:rPr>
        <w:t xml:space="preserve"> </w:t>
      </w:r>
      <w:r w:rsidRPr="00741663">
        <w:rPr>
          <w:rFonts w:ascii="Times New Roman" w:hAnsi="Times New Roman" w:cs="Times New Roman"/>
          <w:i/>
          <w:sz w:val="20"/>
          <w:szCs w:val="20"/>
        </w:rPr>
        <w:t>Sources:</w:t>
      </w:r>
      <w:r>
        <w:rPr>
          <w:rFonts w:ascii="Times New Roman" w:hAnsi="Times New Roman" w:cs="Times New Roman"/>
          <w:i/>
          <w:sz w:val="20"/>
          <w:szCs w:val="20"/>
        </w:rPr>
        <w:t xml:space="preserve"> </w:t>
      </w:r>
      <w:r w:rsidRPr="00741663">
        <w:rPr>
          <w:rFonts w:ascii="Times New Roman" w:hAnsi="Times New Roman" w:cs="Times New Roman"/>
          <w:sz w:val="20"/>
          <w:szCs w:val="20"/>
        </w:rPr>
        <w:t>1910-1950 decennial censuses.</w:t>
      </w:r>
    </w:p>
    <w:sectPr w:rsidR="00741663" w:rsidRPr="00BA639D" w:rsidSect="00741663">
      <w:footerReference w:type="even" r:id="rId21"/>
      <w:footerReference w:type="default" r:id="rId22"/>
      <w:footerReference w:type="first" r:id="rId23"/>
      <w:pgSz w:w="12240" w:h="15840"/>
      <w:pgMar w:top="1440" w:right="1440" w:bottom="1440" w:left="1440" w:header="72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0A2AD" w14:textId="77777777" w:rsidR="00522A25" w:rsidRDefault="00522A25">
      <w:pPr>
        <w:spacing w:after="0" w:line="240" w:lineRule="auto"/>
      </w:pPr>
      <w:r>
        <w:separator/>
      </w:r>
    </w:p>
  </w:endnote>
  <w:endnote w:type="continuationSeparator" w:id="0">
    <w:p w14:paraId="60911482" w14:textId="77777777" w:rsidR="00522A25" w:rsidRDefault="00522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3755" w14:textId="77777777" w:rsidR="003C25C8" w:rsidRPr="009B4224" w:rsidRDefault="00000000">
    <w:pPr>
      <w:spacing w:after="0" w:line="259" w:lineRule="auto"/>
      <w:ind w:left="0" w:firstLine="0"/>
      <w:jc w:val="center"/>
      <w:rPr>
        <w:rFonts w:ascii="Times New Roman" w:hAnsi="Times New Roman" w:cs="Times New Roman"/>
      </w:rPr>
    </w:pPr>
    <w:r w:rsidRPr="009B4224">
      <w:rPr>
        <w:rFonts w:ascii="Times New Roman" w:hAnsi="Times New Roman" w:cs="Times New Roman"/>
      </w:rPr>
      <w:fldChar w:fldCharType="begin"/>
    </w:r>
    <w:r w:rsidRPr="009B4224">
      <w:rPr>
        <w:rFonts w:ascii="Times New Roman" w:hAnsi="Times New Roman" w:cs="Times New Roman"/>
      </w:rPr>
      <w:instrText xml:space="preserve"> PAGE   \* MERGEFORMAT </w:instrText>
    </w:r>
    <w:r w:rsidRPr="009B4224">
      <w:rPr>
        <w:rFonts w:ascii="Times New Roman" w:hAnsi="Times New Roman" w:cs="Times New Roman"/>
      </w:rPr>
      <w:fldChar w:fldCharType="separate"/>
    </w:r>
    <w:r w:rsidRPr="009B4224">
      <w:rPr>
        <w:rFonts w:ascii="Times New Roman" w:hAnsi="Times New Roman" w:cs="Times New Roman"/>
      </w:rPr>
      <w:t>1</w:t>
    </w:r>
    <w:r w:rsidRPr="009B4224">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55126" w14:textId="77777777" w:rsidR="00522A25" w:rsidRDefault="00522A25">
      <w:pPr>
        <w:spacing w:after="21" w:line="253" w:lineRule="auto"/>
        <w:ind w:left="0" w:firstLine="332"/>
      </w:pPr>
      <w:r>
        <w:separator/>
      </w:r>
    </w:p>
  </w:footnote>
  <w:footnote w:type="continuationSeparator" w:id="0">
    <w:p w14:paraId="71185BFF" w14:textId="77777777" w:rsidR="00522A25" w:rsidRDefault="00522A25">
      <w:pPr>
        <w:spacing w:after="21" w:line="253" w:lineRule="auto"/>
        <w:ind w:left="0" w:firstLine="332"/>
      </w:pPr>
      <w:r>
        <w:continuationSeparator/>
      </w:r>
    </w:p>
  </w:footnote>
  <w:footnote w:id="1">
    <w:p w14:paraId="6E122E46" w14:textId="604B213F" w:rsidR="00906B65" w:rsidRPr="00D4617A" w:rsidRDefault="00906B65" w:rsidP="00546576">
      <w:pPr>
        <w:pStyle w:val="footnotedescription"/>
        <w:spacing w:after="21" w:line="420" w:lineRule="auto"/>
        <w:ind w:firstLine="332"/>
        <w:rPr>
          <w:rFonts w:ascii="Times New Roman" w:hAnsi="Times New Roman" w:cs="Times New Roman"/>
        </w:rPr>
      </w:pPr>
      <w:r>
        <w:rPr>
          <w:rStyle w:val="FootnoteReference"/>
          <w:szCs w:val="20"/>
        </w:rPr>
        <w:t>*</w:t>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B64534E" w14:textId="15C6B651" w:rsidR="00F67189" w:rsidRPr="00D4617A" w:rsidRDefault="00F67189" w:rsidP="00546576">
      <w:pPr>
        <w:pStyle w:val="footnotedescription"/>
        <w:spacing w:line="420" w:lineRule="auto"/>
        <w:ind w:firstLine="341"/>
        <w:rPr>
          <w:rFonts w:ascii="Times New Roman" w:hAnsi="Times New Roman" w:cs="Times New Roman"/>
        </w:rPr>
      </w:pPr>
      <w:r>
        <w:rPr>
          <w:rStyle w:val="FootnoteReference"/>
          <w:szCs w:val="20"/>
        </w:rPr>
        <w:t>†</w:t>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3A743144" w14:textId="1C642007" w:rsidR="00F67189" w:rsidRPr="00D4617A" w:rsidRDefault="00F67189" w:rsidP="00546576">
      <w:pPr>
        <w:pStyle w:val="footnotedescription"/>
        <w:spacing w:after="13" w:line="420" w:lineRule="auto"/>
        <w:ind w:right="195" w:firstLine="0"/>
        <w:jc w:val="center"/>
        <w:rPr>
          <w:rFonts w:ascii="Times New Roman" w:hAnsi="Times New Roman" w:cs="Times New Roman"/>
        </w:rPr>
      </w:pPr>
      <w:r>
        <w:rPr>
          <w:rStyle w:val="FootnoteReference"/>
          <w:szCs w:val="20"/>
        </w:rPr>
        <w:t>‡</w:t>
      </w:r>
      <w:r w:rsidRPr="00D4617A">
        <w:rPr>
          <w:rFonts w:ascii="Times New Roman" w:hAnsi="Times New Roman" w:cs="Times New Roman"/>
        </w:rPr>
        <w:t xml:space="preserve"> Microsoft Research, Economics and Computation, 300 Lafayette St, New York, New York, 10012. Email:</w:t>
      </w:r>
    </w:p>
    <w:p w14:paraId="1692DFF0" w14:textId="77777777" w:rsidR="00F67189" w:rsidRDefault="00F67189" w:rsidP="00546576">
      <w:pPr>
        <w:pStyle w:val="footnotedescription"/>
        <w:spacing w:line="420" w:lineRule="auto"/>
        <w:ind w:firstLine="0"/>
        <w:jc w:val="left"/>
      </w:pPr>
      <w:r w:rsidRPr="00D4617A">
        <w:rPr>
          <w:rFonts w:ascii="Times New Roman" w:hAnsi="Times New Roman" w:cs="Times New Roman"/>
          <w:color w:val="0000FF"/>
        </w:rPr>
        <w:t>carolyntsao@microsoft.com</w:t>
      </w:r>
    </w:p>
  </w:footnote>
  <w:footnote w:id="4">
    <w:p w14:paraId="70582BCB" w14:textId="5D7440C6" w:rsidR="003C25C8" w:rsidRPr="00D4617A" w:rsidRDefault="00000000" w:rsidP="0076222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2F096F">
        <w:rPr>
          <w:rFonts w:ascii="Times New Roman" w:hAnsi="Times New Roman" w:cs="Times New Roman"/>
        </w:rPr>
        <w:t xml:space="preserve"> </w:t>
      </w:r>
      <w:r w:rsidR="002F096F" w:rsidRPr="004C2F06">
        <w:rPr>
          <w:rFonts w:ascii="Times New Roman" w:hAnsi="Times New Roman" w:cs="Times New Roman"/>
        </w:rPr>
        <w:t xml:space="preserve">(Costa </w:t>
      </w:r>
      <w:r w:rsidR="002F096F" w:rsidRPr="004C2F06">
        <w:rPr>
          <w:rFonts w:ascii="Times New Roman" w:hAnsi="Times New Roman" w:cs="Times New Roman"/>
          <w:color w:val="0000FF"/>
        </w:rPr>
        <w:t>2000</w:t>
      </w:r>
      <w:r w:rsidR="002F096F">
        <w:rPr>
          <w:rFonts w:ascii="Times New Roman" w:hAnsi="Times New Roman" w:cs="Times New Roman"/>
          <w:color w:val="0000FF"/>
        </w:rPr>
        <w:t>).</w:t>
      </w:r>
    </w:p>
  </w:footnote>
  <w:footnote w:id="5">
    <w:p w14:paraId="01950C73" w14:textId="288EDC0E" w:rsidR="003C25C8" w:rsidRPr="00D4617A" w:rsidRDefault="00000000" w:rsidP="001B3489">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taking into account how the protections may have impacted schools’ labor demand as well as married women’s labor supply. Our data preclude us from separating these two channels. That said, the lack of coverage of these specific laws prohibiting marriage bars in teaching in local </w:t>
      </w:r>
      <w:r w:rsidR="00F146DC">
        <w:rPr>
          <w:rFonts w:ascii="Times New Roman" w:hAnsi="Times New Roman" w:cs="Times New Roman"/>
        </w:rPr>
        <w:t>newspapers</w:t>
      </w:r>
      <w:r w:rsidR="00F146DC" w:rsidRPr="00D4617A">
        <w:rPr>
          <w:rFonts w:ascii="Times New Roman" w:hAnsi="Times New Roman" w:cs="Times New Roman"/>
        </w:rPr>
        <w:t xml:space="preserve"> </w:t>
      </w:r>
      <w:r w:rsidR="00F146DC">
        <w:rPr>
          <w:rFonts w:ascii="Times New Roman" w:hAnsi="Times New Roman" w:cs="Times New Roman"/>
        </w:rPr>
        <w:t xml:space="preserve">(based on a detailed search of historical newspaper archives) </w:t>
      </w:r>
      <w:r w:rsidRPr="00D4617A">
        <w:rPr>
          <w:rFonts w:ascii="Times New Roman" w:hAnsi="Times New Roman" w:cs="Times New Roman"/>
        </w:rPr>
        <w:t>suggest that the average married woman would have had limited awareness of the policy, indicating that changes in schools’ labor demand likely played the more central role.</w:t>
      </w:r>
    </w:p>
  </w:footnote>
  <w:footnote w:id="6">
    <w:p w14:paraId="24BFB25B"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7">
    <w:p w14:paraId="692A03C1"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8">
    <w:p w14:paraId="0BDEF3E2" w14:textId="77777777" w:rsidR="003C25C8" w:rsidRPr="00636E57" w:rsidRDefault="00000000" w:rsidP="00641660">
      <w:pPr>
        <w:pStyle w:val="footnotedescription"/>
        <w:spacing w:line="420" w:lineRule="auto"/>
        <w:ind w:firstLine="274"/>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9">
    <w:p w14:paraId="033EE6BE" w14:textId="77777777" w:rsidR="003C25C8" w:rsidRDefault="00000000" w:rsidP="00641660">
      <w:pPr>
        <w:pStyle w:val="footnotedescription"/>
        <w:spacing w:line="420" w:lineRule="auto"/>
        <w:ind w:firstLine="274"/>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0">
    <w:p w14:paraId="27C468BE" w14:textId="77777777" w:rsidR="00BD613F" w:rsidRPr="009C7F72" w:rsidRDefault="00BD613F" w:rsidP="00BD613F">
      <w:pPr>
        <w:spacing w:line="420" w:lineRule="auto"/>
        <w:ind w:left="-5"/>
        <w:rPr>
          <w:rFonts w:ascii="Times New Roman" w:hAnsi="Times New Roman" w:cs="Times New Roman"/>
          <w:sz w:val="20"/>
          <w:szCs w:val="20"/>
        </w:rPr>
      </w:pPr>
      <w:r w:rsidRPr="009C7F72">
        <w:rPr>
          <w:rStyle w:val="FootnoteReference"/>
          <w:sz w:val="20"/>
          <w:szCs w:val="20"/>
        </w:rPr>
        <w:footnoteRef/>
      </w:r>
      <w:r w:rsidRPr="009C7F72">
        <w:rPr>
          <w:sz w:val="20"/>
          <w:szCs w:val="20"/>
        </w:rPr>
        <w:t xml:space="preserve"> Authors’ calculation using the 1940 census full count dataset from </w:t>
      </w:r>
      <w:r w:rsidRPr="009C7F72">
        <w:rPr>
          <w:rFonts w:ascii="Times New Roman" w:hAnsi="Times New Roman" w:cs="Times New Roman"/>
          <w:sz w:val="20"/>
          <w:szCs w:val="20"/>
        </w:rPr>
        <w:t xml:space="preserve">(Ruggles, Nelson, Sobek, et al. </w:t>
      </w:r>
      <w:r w:rsidRPr="009C7F72">
        <w:rPr>
          <w:rFonts w:ascii="Times New Roman" w:hAnsi="Times New Roman" w:cs="Times New Roman"/>
          <w:color w:val="0000FF"/>
          <w:sz w:val="20"/>
          <w:szCs w:val="20"/>
        </w:rPr>
        <w:t>2024).</w:t>
      </w:r>
    </w:p>
    <w:p w14:paraId="14095656" w14:textId="34F2F64C" w:rsidR="00BD613F" w:rsidRDefault="00BD613F">
      <w:pPr>
        <w:pStyle w:val="FootnoteText"/>
      </w:pPr>
    </w:p>
  </w:footnote>
  <w:footnote w:id="11">
    <w:p w14:paraId="4332249F" w14:textId="77777777" w:rsidR="005773FE" w:rsidRPr="005773FE" w:rsidRDefault="00000000" w:rsidP="005773FE">
      <w:pPr>
        <w:spacing w:after="6" w:line="420" w:lineRule="auto"/>
        <w:ind w:left="-5" w:firstLine="259"/>
        <w:rPr>
          <w:rFonts w:ascii="Times New Roman" w:hAnsi="Times New Roman" w:cs="Times New Roman"/>
          <w:sz w:val="20"/>
          <w:szCs w:val="20"/>
        </w:rPr>
      </w:pPr>
      <w:r w:rsidRPr="005773FE">
        <w:rPr>
          <w:rStyle w:val="footnotemark"/>
          <w:rFonts w:ascii="Times New Roman" w:hAnsi="Times New Roman" w:cs="Times New Roman"/>
          <w:szCs w:val="20"/>
        </w:rPr>
        <w:footnoteRef/>
      </w:r>
      <w:r w:rsidRPr="005773FE">
        <w:rPr>
          <w:rFonts w:ascii="Times New Roman" w:hAnsi="Times New Roman" w:cs="Times New Roman"/>
          <w:sz w:val="20"/>
          <w:szCs w:val="20"/>
        </w:rPr>
        <w:t xml:space="preserve"> We found no newspaper articles referencing the legislation in NC and only one article mentioning the</w:t>
      </w:r>
      <w:r w:rsidR="005773FE" w:rsidRPr="005773FE">
        <w:rPr>
          <w:rFonts w:ascii="Times New Roman" w:hAnsi="Times New Roman" w:cs="Times New Roman"/>
          <w:sz w:val="20"/>
          <w:szCs w:val="20"/>
        </w:rPr>
        <w:t xml:space="preserve"> legislation passed in KY (</w:t>
      </w:r>
      <w:r w:rsidR="005773FE" w:rsidRPr="005773FE">
        <w:rPr>
          <w:rFonts w:ascii="Times New Roman" w:hAnsi="Times New Roman" w:cs="Times New Roman"/>
          <w:i/>
          <w:sz w:val="20"/>
          <w:szCs w:val="20"/>
        </w:rPr>
        <w:t xml:space="preserve">Courier Journal, </w:t>
      </w:r>
      <w:r w:rsidR="005773FE" w:rsidRPr="005773FE">
        <w:rPr>
          <w:rFonts w:ascii="Times New Roman" w:hAnsi="Times New Roman" w:cs="Times New Roman"/>
          <w:sz w:val="20"/>
          <w:szCs w:val="20"/>
        </w:rPr>
        <w:t>1938).</w:t>
      </w:r>
    </w:p>
    <w:p w14:paraId="75B3AD5E" w14:textId="77777777" w:rsidR="005773FE" w:rsidRDefault="005773FE" w:rsidP="005773FE">
      <w:pPr>
        <w:spacing w:after="6" w:line="420" w:lineRule="auto"/>
        <w:ind w:left="-15" w:firstLine="269"/>
        <w:rPr>
          <w:rFonts w:ascii="Times New Roman" w:hAnsi="Times New Roman" w:cs="Times New Roman"/>
          <w:sz w:val="20"/>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090EE58A" w14:textId="77777777" w:rsidR="005773FE" w:rsidRPr="00CF4068" w:rsidRDefault="005773FE" w:rsidP="005773FE">
      <w:pPr>
        <w:spacing w:after="6" w:line="420" w:lineRule="auto"/>
        <w:ind w:left="-15" w:firstLine="190"/>
        <w:rPr>
          <w:rFonts w:ascii="Times New Roman" w:hAnsi="Times New Roman" w:cs="Times New Roman"/>
        </w:rPr>
      </w:pPr>
      <w:r w:rsidRPr="00CF4068">
        <w:rPr>
          <w:rFonts w:ascii="Times New Roman" w:hAnsi="Times New Roman" w:cs="Times New Roman"/>
          <w:sz w:val="20"/>
          <w:vertAlign w:val="superscript"/>
        </w:rPr>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1F26BEFF" w14:textId="1B889250" w:rsidR="003C25C8" w:rsidRPr="000F1F48" w:rsidRDefault="003C25C8">
      <w:pPr>
        <w:pStyle w:val="footnotedescription"/>
        <w:spacing w:line="259" w:lineRule="auto"/>
        <w:ind w:firstLine="0"/>
        <w:jc w:val="right"/>
        <w:rPr>
          <w:rFonts w:ascii="Times New Roman" w:hAnsi="Times New Roman" w:cs="Times New Roman"/>
        </w:rPr>
      </w:pPr>
    </w:p>
  </w:footnote>
  <w:footnote w:id="12">
    <w:p w14:paraId="6CAC0904" w14:textId="35D0B513" w:rsidR="00841B65" w:rsidRPr="00C45109" w:rsidRDefault="00841B65" w:rsidP="00841B65">
      <w:pPr>
        <w:pStyle w:val="FootnoteText"/>
        <w:rPr>
          <w:lang w:val="en-CA"/>
        </w:rPr>
      </w:pPr>
      <w:r>
        <w:rPr>
          <w:rStyle w:val="FootnoteReference"/>
        </w:rPr>
        <w:footnoteRef/>
      </w:r>
      <w:r>
        <w:t xml:space="preserve"> </w:t>
      </w:r>
      <w:r w:rsidRPr="004C2F06">
        <w:rPr>
          <w:rFonts w:ascii="Times New Roman" w:hAnsi="Times New Roman" w:cs="Times New Roman"/>
        </w:rPr>
        <w:t xml:space="preserve">Linkage rates are provided in Online Appendix </w:t>
      </w:r>
      <w:r>
        <w:rPr>
          <w:rFonts w:ascii="Times New Roman" w:hAnsi="Times New Roman" w:cs="Times New Roman"/>
        </w:rPr>
        <w:t xml:space="preserve">Table B1, and discussed further in Online Appendix </w:t>
      </w:r>
      <w:r w:rsidR="002F1986">
        <w:rPr>
          <w:rFonts w:ascii="Times New Roman" w:hAnsi="Times New Roman" w:cs="Times New Roman"/>
        </w:rPr>
        <w:t>E</w:t>
      </w:r>
      <w:r>
        <w:rPr>
          <w:rFonts w:ascii="Times New Roman" w:hAnsi="Times New Roman" w:cs="Times New Roman"/>
        </w:rPr>
        <w:t xml:space="preserve">. </w:t>
      </w:r>
    </w:p>
  </w:footnote>
  <w:footnote w:id="13">
    <w:p w14:paraId="2C7A0A6B" w14:textId="1384525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w:t>
      </w:r>
      <w:r w:rsidR="00B01099">
        <w:rPr>
          <w:rFonts w:ascii="Times New Roman" w:hAnsi="Times New Roman" w:cs="Times New Roman"/>
        </w:rPr>
        <w:t>-</w:t>
      </w:r>
      <w:r w:rsidRPr="0057478F">
        <w:rPr>
          <w:rFonts w:ascii="Times New Roman" w:hAnsi="Times New Roman" w:cs="Times New Roman"/>
        </w:rPr>
        <w: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4">
    <w:p w14:paraId="60EE63D1"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5">
    <w:p w14:paraId="34782490" w14:textId="77777777" w:rsidR="003C25C8" w:rsidRPr="000B70F8" w:rsidRDefault="00000000">
      <w:pPr>
        <w:pStyle w:val="footnotedescription"/>
        <w:spacing w:line="268" w:lineRule="auto"/>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Although treatment timing is staggered in our setting (1933 for NC and 1938 for KY), implementing the estimators recommended in the recent literature on difference-in-differences for such environments (Roth et al. </w:t>
      </w:r>
      <w:r w:rsidRPr="000B70F8">
        <w:rPr>
          <w:rFonts w:ascii="Times New Roman" w:hAnsi="Times New Roman" w:cs="Times New Roman"/>
          <w:color w:val="0000FF"/>
        </w:rPr>
        <w:t>2023</w:t>
      </w:r>
      <w:r w:rsidRPr="000B70F8">
        <w:rPr>
          <w:rFonts w:ascii="Times New Roman" w:hAnsi="Times New Roman" w:cs="Times New Roman"/>
        </w:rPr>
        <w:t xml:space="preserve">; Sun and Abraham </w:t>
      </w:r>
      <w:r w:rsidRPr="000B70F8">
        <w:rPr>
          <w:rFonts w:ascii="Times New Roman" w:hAnsi="Times New Roman" w:cs="Times New Roman"/>
          <w:color w:val="0000FF"/>
        </w:rPr>
        <w:t>2021</w:t>
      </w:r>
      <w:r w:rsidRPr="000B70F8">
        <w:rPr>
          <w:rFonts w:ascii="Times New Roman" w:hAnsi="Times New Roman" w:cs="Times New Roman"/>
        </w:rPr>
        <w:t>) requires more frequent observations (for example, yearly) before and after treatment than our data contain.</w:t>
      </w:r>
    </w:p>
  </w:footnote>
  <w:footnote w:id="16">
    <w:p w14:paraId="001F87C6"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In our state-level analysis in Online Appendix D we also show results for NC and KY separately. Our findings are not being disproportionately driven by one state; in fact, point estimates are remarkably similar for both states.</w:t>
      </w:r>
    </w:p>
  </w:footnote>
  <w:footnote w:id="17">
    <w:p w14:paraId="54A87A24"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18">
    <w:p w14:paraId="5E628E4B" w14:textId="77777777" w:rsidR="003C25C8" w:rsidRDefault="00000000">
      <w:pPr>
        <w:pStyle w:val="footnotedescription"/>
        <w:spacing w:line="252" w:lineRule="auto"/>
      </w:pPr>
      <w:r w:rsidRPr="000B70F8">
        <w:rPr>
          <w:rStyle w:val="footnotemark"/>
          <w:rFonts w:ascii="Times New Roman" w:hAnsi="Times New Roman" w:cs="Times New Roman"/>
        </w:rPr>
        <w:footnoteRef/>
      </w:r>
      <w:r w:rsidRPr="000B70F8">
        <w:rPr>
          <w:rFonts w:ascii="Times New Roman" w:hAnsi="Times New Roman" w:cs="Times New Roman"/>
        </w:rP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sidRPr="000B70F8">
        <w:rPr>
          <w:rFonts w:ascii="Times New Roman" w:hAnsi="Times New Roman" w:cs="Times New Roman"/>
          <w:color w:val="0000FF"/>
        </w:rPr>
        <w:t>2021</w:t>
      </w:r>
      <w:r w:rsidRPr="000B70F8">
        <w:rPr>
          <w:rFonts w:ascii="Times New Roman" w:hAnsi="Times New Roman" w:cs="Times New Roman"/>
        </w:rPr>
        <w:t xml:space="preserve">; Roth et al. </w:t>
      </w:r>
      <w:r w:rsidRPr="000B70F8">
        <w:rPr>
          <w:rFonts w:ascii="Times New Roman" w:hAnsi="Times New Roman" w:cs="Times New Roman"/>
          <w:color w:val="0000FF"/>
        </w:rPr>
        <w:t>2023</w:t>
      </w:r>
      <w:r w:rsidRPr="000B70F8">
        <w:rPr>
          <w:rFonts w:ascii="Times New Roman" w:hAnsi="Times New Roman" w:cs="Times New Roman"/>
        </w:rP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9">
    <w:p w14:paraId="05F9CBF6"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20">
    <w:p w14:paraId="5B124161" w14:textId="77777777" w:rsidR="003C25C8" w:rsidRPr="000D593C" w:rsidRDefault="00000000">
      <w:pPr>
        <w:pStyle w:val="footnotedescription"/>
        <w:spacing w:line="257"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1">
    <w:p w14:paraId="66631C19"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The only change that occurred was that Virginia, one of our control states, required one more year of compulsory schooling in the 1920s, which would have led to increased demand for teachers and bias our estimates downwards.</w:t>
      </w:r>
    </w:p>
  </w:footnote>
  <w:footnote w:id="22">
    <w:p w14:paraId="0339E093" w14:textId="77777777" w:rsidR="003C25C8" w:rsidRDefault="00000000">
      <w:pPr>
        <w:pStyle w:val="footnotedescription"/>
        <w:spacing w:line="257" w:lineRule="auto"/>
      </w:pPr>
      <w:r w:rsidRPr="000D593C">
        <w:rPr>
          <w:rStyle w:val="footnotemark"/>
          <w:rFonts w:ascii="Times New Roman" w:hAnsi="Times New Roman" w:cs="Times New Roman"/>
        </w:rPr>
        <w:footnoteRef/>
      </w:r>
      <w:r w:rsidRPr="000D593C">
        <w:rPr>
          <w:rFonts w:ascii="Times New Roman" w:hAnsi="Times New Roman" w:cs="Times New Roman"/>
        </w:rP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3">
    <w:p w14:paraId="5E6913AF" w14:textId="77777777" w:rsidR="003C25C8" w:rsidRPr="000D593C" w:rsidRDefault="00000000">
      <w:pPr>
        <w:pStyle w:val="footnotedescription"/>
        <w:spacing w:line="293"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Similarly, while prior work finds that birthrates decreased during the Great Depression (Schaller, Fishback, and Marquardt </w:t>
      </w:r>
      <w:r w:rsidRPr="000D593C">
        <w:rPr>
          <w:rFonts w:ascii="Times New Roman" w:hAnsi="Times New Roman" w:cs="Times New Roman"/>
          <w:color w:val="0000FF"/>
        </w:rPr>
        <w:t>2020</w:t>
      </w:r>
      <w:r w:rsidRPr="000D593C">
        <w:rPr>
          <w:rFonts w:ascii="Times New Roman" w:hAnsi="Times New Roman" w:cs="Times New Roman"/>
        </w:rPr>
        <w:t xml:space="preserve">), the New Deal countered these effects by decreasing infant mortality and increasing birthrates (Fishback, Haines, and Kantor </w:t>
      </w:r>
      <w:r w:rsidRPr="000D593C">
        <w:rPr>
          <w:rFonts w:ascii="Times New Roman" w:hAnsi="Times New Roman" w:cs="Times New Roman"/>
          <w:color w:val="0000FF"/>
        </w:rPr>
        <w:t>2007</w:t>
      </w:r>
      <w:r w:rsidRPr="000D593C">
        <w:rPr>
          <w:rFonts w:ascii="Times New Roman" w:hAnsi="Times New Roman" w:cs="Times New Roman"/>
        </w:rPr>
        <w:t>).</w:t>
      </w:r>
    </w:p>
  </w:footnote>
  <w:footnote w:id="24">
    <w:p w14:paraId="002507D5" w14:textId="77777777" w:rsidR="003C25C8" w:rsidRPr="00A476D1" w:rsidRDefault="00000000">
      <w:pPr>
        <w:pStyle w:val="footnotedescription"/>
        <w:spacing w:line="252" w:lineRule="auto"/>
        <w:rPr>
          <w:rFonts w:ascii="Times New Roman" w:hAnsi="Times New Roman" w:cs="Times New Roman"/>
        </w:rPr>
      </w:pPr>
      <w:r w:rsidRPr="00A476D1">
        <w:rPr>
          <w:rStyle w:val="footnotemark"/>
          <w:rFonts w:ascii="Times New Roman" w:hAnsi="Times New Roman" w:cs="Times New Roman"/>
        </w:rPr>
        <w:footnoteRef/>
      </w:r>
      <w:r w:rsidRPr="00A476D1">
        <w:rPr>
          <w:rFonts w:ascii="Times New Roman" w:hAnsi="Times New Roman" w:cs="Times New Roman"/>
        </w:rPr>
        <w:t xml:space="preserve"> Note that sample sizes differ across columns of Table </w:t>
      </w:r>
      <w:r w:rsidRPr="00A476D1">
        <w:rPr>
          <w:rFonts w:ascii="Times New Roman" w:hAnsi="Times New Roman" w:cs="Times New Roman"/>
          <w:color w:val="0000FF"/>
        </w:rPr>
        <w:t xml:space="preserve">2 </w:t>
      </w:r>
      <w:r w:rsidRPr="00A476D1">
        <w:rPr>
          <w:rFonts w:ascii="Times New Roman" w:hAnsi="Times New Roman" w:cs="Times New Roman"/>
        </w:rP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25">
    <w:p w14:paraId="27AA2609" w14:textId="77777777" w:rsidR="003C25C8" w:rsidRPr="00330127" w:rsidRDefault="00000000">
      <w:pPr>
        <w:pStyle w:val="footnotedescription"/>
        <w:spacing w:line="271" w:lineRule="auto"/>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In addition, in Online Appendix Table B4, we examine outcomes for other working women. We restrict our linked samples of unmarried women to be between the ages of 8 and 40 (16-40 for teachers) in </w:t>
      </w:r>
      <w:r w:rsidRPr="00330127">
        <w:rPr>
          <w:rFonts w:ascii="Times New Roman" w:hAnsi="Times New Roman" w:cs="Times New Roman"/>
          <w:i/>
        </w:rPr>
        <w:t>t</w:t>
      </w:r>
      <w:r w:rsidRPr="00330127">
        <w:rPr>
          <w:rFonts w:ascii="Times New Roman" w:hAnsi="Times New Roman" w:cs="Times New Roman"/>
        </w:rPr>
        <w:t xml:space="preserve">−10, and we restrict our linked samples of married women to be between the ages of 18 and 50 in </w:t>
      </w:r>
      <w:r w:rsidRPr="00330127">
        <w:rPr>
          <w:rFonts w:ascii="Times New Roman" w:hAnsi="Times New Roman" w:cs="Times New Roman"/>
          <w:i/>
        </w:rPr>
        <w:t xml:space="preserve">t </w:t>
      </w:r>
      <w:r w:rsidRPr="00330127">
        <w:rPr>
          <w:rFonts w:ascii="Times New Roman" w:hAnsi="Times New Roman" w:cs="Times New Roman"/>
        </w:rPr>
        <w:t>− 10, to focus on the populations for whom the decisions to marry and work were the most relevant. Our results are robust to alternate cutoffs.</w:t>
      </w:r>
    </w:p>
  </w:footnote>
  <w:footnote w:id="26">
    <w:p w14:paraId="4581EED4" w14:textId="77777777" w:rsidR="003C25C8" w:rsidRPr="00330127" w:rsidRDefault="00000000" w:rsidP="00603F01">
      <w:pPr>
        <w:pStyle w:val="footnotedescription"/>
        <w:spacing w:line="420" w:lineRule="auto"/>
        <w:ind w:firstLine="187"/>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sidRPr="00330127">
        <w:rPr>
          <w:rFonts w:ascii="Times New Roman" w:hAnsi="Times New Roman" w:cs="Times New Roman"/>
          <w:i/>
        </w:rPr>
        <w:t xml:space="preserve">t </w:t>
      </w:r>
      <w:r w:rsidRPr="00330127">
        <w:rPr>
          <w:rFonts w:ascii="Times New Roman" w:hAnsi="Times New Roman" w:cs="Times New Roman"/>
        </w:rPr>
        <w:t xml:space="preserve">− 10 had children by </w:t>
      </w:r>
      <w:r w:rsidRPr="00330127">
        <w:rPr>
          <w:rFonts w:ascii="Times New Roman" w:hAnsi="Times New Roman" w:cs="Times New Roman"/>
          <w:i/>
        </w:rPr>
        <w:t>t</w:t>
      </w:r>
      <w:r w:rsidRPr="00330127">
        <w:rPr>
          <w:rFonts w:ascii="Times New Roman" w:hAnsi="Times New Roman" w:cs="Times New Roman"/>
        </w:rPr>
        <w:t>.</w:t>
      </w:r>
    </w:p>
  </w:footnote>
  <w:footnote w:id="27">
    <w:p w14:paraId="24B40ECA" w14:textId="77777777" w:rsidR="003C25C8" w:rsidRDefault="00000000">
      <w:pPr>
        <w:pStyle w:val="footnotedescription"/>
        <w:spacing w:line="255" w:lineRule="auto"/>
      </w:pPr>
      <w:r w:rsidRPr="003A33D5">
        <w:rPr>
          <w:rStyle w:val="footnotemark"/>
          <w:rFonts w:ascii="Times New Roman" w:hAnsi="Times New Roman" w:cs="Times New Roman"/>
        </w:rPr>
        <w:footnoteRef/>
      </w:r>
      <w:r w:rsidRPr="003A33D5">
        <w:rPr>
          <w:rFonts w:ascii="Times New Roman" w:hAnsi="Times New Roman" w:cs="Times New Roman"/>
        </w:rPr>
        <w:t xml:space="preserve"> While women who were unmarried and outside the labor force in </w:t>
      </w:r>
      <w:r w:rsidRPr="003A33D5">
        <w:rPr>
          <w:rFonts w:ascii="Times New Roman" w:hAnsi="Times New Roman" w:cs="Times New Roman"/>
          <w:i/>
        </w:rPr>
        <w:t>t</w:t>
      </w:r>
      <w:r w:rsidRPr="003A33D5">
        <w:rPr>
          <w:rFonts w:ascii="Times New Roman" w:hAnsi="Times New Roman" w:cs="Times New Roman"/>
        </w:rP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sidRPr="003A33D5">
        <w:rPr>
          <w:rFonts w:ascii="Times New Roman" w:hAnsi="Times New Roman" w:cs="Times New Roman"/>
          <w:i/>
        </w:rPr>
        <w:t xml:space="preserve">t </w:t>
      </w:r>
      <w:r w:rsidRPr="003A33D5">
        <w:rPr>
          <w:rFonts w:ascii="Times New Roman" w:hAnsi="Times New Roman" w:cs="Times New Roman"/>
        </w:rPr>
        <w:t xml:space="preserve">− 10, a much larger number will get married by </w:t>
      </w:r>
      <w:r w:rsidRPr="003A33D5">
        <w:rPr>
          <w:rFonts w:ascii="Times New Roman" w:hAnsi="Times New Roman" w:cs="Times New Roman"/>
          <w:i/>
        </w:rPr>
        <w:t xml:space="preserve">t </w:t>
      </w:r>
      <w:r w:rsidRPr="003A33D5">
        <w:rPr>
          <w:rFonts w:ascii="Times New Roman" w:hAnsi="Times New Roman" w:cs="Times New Roman"/>
        </w:rPr>
        <w:t xml:space="preserve">than become teachers by </w:t>
      </w:r>
      <w:r w:rsidRPr="003A33D5">
        <w:rPr>
          <w:rFonts w:ascii="Times New Roman" w:hAnsi="Times New Roman" w:cs="Times New Roman"/>
          <w:i/>
        </w:rPr>
        <w:t>t</w:t>
      </w:r>
      <w:r w:rsidRPr="003A33D5">
        <w:rPr>
          <w:rFonts w:ascii="Times New Roman" w:hAnsi="Times New Roman" w:cs="Times New Roman"/>
        </w:rPr>
        <w:t xml:space="preserve">; hence, if the percentage </w:t>
      </w:r>
      <w:r>
        <w:t xml:space="preserve">point effect sizes are similar </w:t>
      </w:r>
      <w:r w:rsidRPr="00331D23">
        <w:rPr>
          <w:rFonts w:ascii="Times New Roman" w:hAnsi="Times New Roman" w:cs="Times New Roman"/>
        </w:rPr>
        <w:t>in magnitude, then the effect of the prohibitions on unmarried women outside of labor force will likely be driven by hiring effects.</w:t>
      </w:r>
    </w:p>
  </w:footnote>
  <w:footnote w:id="28">
    <w:p w14:paraId="25AF99C1" w14:textId="77777777" w:rsidR="009B4224" w:rsidRPr="009B4224" w:rsidRDefault="00000000" w:rsidP="009B4224">
      <w:pPr>
        <w:spacing w:after="6" w:line="257" w:lineRule="auto"/>
        <w:ind w:left="-5"/>
        <w:rPr>
          <w:rFonts w:ascii="Times New Roman" w:hAnsi="Times New Roman" w:cs="Times New Roman"/>
          <w:sz w:val="20"/>
          <w:szCs w:val="20"/>
        </w:rPr>
      </w:pPr>
      <w:r w:rsidRPr="009B4224">
        <w:rPr>
          <w:rStyle w:val="footnotemark"/>
          <w:rFonts w:ascii="Times New Roman" w:hAnsi="Times New Roman" w:cs="Times New Roman"/>
          <w:szCs w:val="20"/>
        </w:rPr>
        <w:footnoteRef/>
      </w:r>
      <w:r w:rsidRPr="009B4224">
        <w:rPr>
          <w:rFonts w:ascii="Times New Roman" w:hAnsi="Times New Roman" w:cs="Times New Roman"/>
          <w:sz w:val="20"/>
          <w:szCs w:val="20"/>
        </w:rPr>
        <w:t xml:space="preserve"> We also consider the possibility that the prohibitions reduced the number of unmarried teachers by</w:t>
      </w:r>
      <w:r w:rsidR="009B4224" w:rsidRPr="009B4224">
        <w:rPr>
          <w:rFonts w:ascii="Times New Roman" w:hAnsi="Times New Roman" w:cs="Times New Roman"/>
          <w:sz w:val="20"/>
          <w:szCs w:val="20"/>
        </w:rPr>
        <w:t xml:space="preserve"> affecting the number of young women who </w:t>
      </w:r>
      <w:r w:rsidR="009B4224" w:rsidRPr="009B4224">
        <w:rPr>
          <w:rFonts w:ascii="Times New Roman" w:hAnsi="Times New Roman" w:cs="Times New Roman"/>
          <w:i/>
          <w:sz w:val="20"/>
          <w:szCs w:val="20"/>
        </w:rPr>
        <w:t xml:space="preserve">became </w:t>
      </w:r>
      <w:r w:rsidR="009B4224" w:rsidRPr="009B4224">
        <w:rPr>
          <w:rFonts w:ascii="Times New Roman" w:hAnsi="Times New Roman" w:cs="Times New Roman"/>
          <w:sz w:val="20"/>
          <w:szCs w:val="20"/>
        </w:rPr>
        <w:t>teachers, but find no evidence that this was the case. Online Appendix Table B7 shows that the prohibitions had no effect on the likelihood of unmarried women entering teaching and stayed unmarried.</w:t>
      </w:r>
    </w:p>
    <w:p w14:paraId="2AA811B5" w14:textId="5CAA5495" w:rsidR="003C25C8" w:rsidRPr="009B4224" w:rsidRDefault="003C25C8" w:rsidP="009B4224">
      <w:pPr>
        <w:pStyle w:val="footnotedescription"/>
        <w:spacing w:line="259" w:lineRule="auto"/>
        <w:ind w:firstLine="0"/>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027EB"/>
    <w:rsid w:val="00027A9A"/>
    <w:rsid w:val="000A0A02"/>
    <w:rsid w:val="000B1637"/>
    <w:rsid w:val="000B70F8"/>
    <w:rsid w:val="000B779F"/>
    <w:rsid w:val="000D4CAB"/>
    <w:rsid w:val="000D593C"/>
    <w:rsid w:val="000F0F9E"/>
    <w:rsid w:val="000F1F48"/>
    <w:rsid w:val="00121D2B"/>
    <w:rsid w:val="00123F44"/>
    <w:rsid w:val="00125AF1"/>
    <w:rsid w:val="00127928"/>
    <w:rsid w:val="00132357"/>
    <w:rsid w:val="00145ED6"/>
    <w:rsid w:val="00183A9F"/>
    <w:rsid w:val="001920CF"/>
    <w:rsid w:val="001B3489"/>
    <w:rsid w:val="001C0C16"/>
    <w:rsid w:val="001F31E3"/>
    <w:rsid w:val="001F4E4B"/>
    <w:rsid w:val="00217A45"/>
    <w:rsid w:val="002322AE"/>
    <w:rsid w:val="00243EE9"/>
    <w:rsid w:val="00264FA6"/>
    <w:rsid w:val="002A097D"/>
    <w:rsid w:val="002F096F"/>
    <w:rsid w:val="002F1986"/>
    <w:rsid w:val="00304ECC"/>
    <w:rsid w:val="00305FBB"/>
    <w:rsid w:val="00311F1B"/>
    <w:rsid w:val="00330127"/>
    <w:rsid w:val="00331D23"/>
    <w:rsid w:val="00381BFC"/>
    <w:rsid w:val="003A33D5"/>
    <w:rsid w:val="003A34BB"/>
    <w:rsid w:val="003A5C66"/>
    <w:rsid w:val="003A7EAB"/>
    <w:rsid w:val="003C25C8"/>
    <w:rsid w:val="003F62F7"/>
    <w:rsid w:val="003F6452"/>
    <w:rsid w:val="00401D74"/>
    <w:rsid w:val="00401E7C"/>
    <w:rsid w:val="0041249B"/>
    <w:rsid w:val="00433995"/>
    <w:rsid w:val="00476C91"/>
    <w:rsid w:val="004A0F77"/>
    <w:rsid w:val="004C2F06"/>
    <w:rsid w:val="004E2DB5"/>
    <w:rsid w:val="004E6068"/>
    <w:rsid w:val="004F2C4B"/>
    <w:rsid w:val="004F3915"/>
    <w:rsid w:val="0052102D"/>
    <w:rsid w:val="00522A25"/>
    <w:rsid w:val="0052338B"/>
    <w:rsid w:val="005411B6"/>
    <w:rsid w:val="00546576"/>
    <w:rsid w:val="005571D6"/>
    <w:rsid w:val="00572696"/>
    <w:rsid w:val="0057478F"/>
    <w:rsid w:val="005773FE"/>
    <w:rsid w:val="00597D98"/>
    <w:rsid w:val="005A268E"/>
    <w:rsid w:val="005C12BC"/>
    <w:rsid w:val="005D1524"/>
    <w:rsid w:val="00600F31"/>
    <w:rsid w:val="00603F01"/>
    <w:rsid w:val="00636E57"/>
    <w:rsid w:val="00641660"/>
    <w:rsid w:val="006563FC"/>
    <w:rsid w:val="006A0209"/>
    <w:rsid w:val="006A1CF0"/>
    <w:rsid w:val="006E6DD3"/>
    <w:rsid w:val="007116AE"/>
    <w:rsid w:val="007316CE"/>
    <w:rsid w:val="00741663"/>
    <w:rsid w:val="00750FB4"/>
    <w:rsid w:val="00754742"/>
    <w:rsid w:val="0076222D"/>
    <w:rsid w:val="00780FAA"/>
    <w:rsid w:val="007D5FD1"/>
    <w:rsid w:val="007E0625"/>
    <w:rsid w:val="00837D71"/>
    <w:rsid w:val="00841B65"/>
    <w:rsid w:val="00855116"/>
    <w:rsid w:val="00871CAE"/>
    <w:rsid w:val="00873C19"/>
    <w:rsid w:val="00875BCE"/>
    <w:rsid w:val="00880328"/>
    <w:rsid w:val="008C3C5B"/>
    <w:rsid w:val="008C4784"/>
    <w:rsid w:val="008D6048"/>
    <w:rsid w:val="008E5084"/>
    <w:rsid w:val="008F1F7A"/>
    <w:rsid w:val="00906B65"/>
    <w:rsid w:val="00947162"/>
    <w:rsid w:val="00952D70"/>
    <w:rsid w:val="00953557"/>
    <w:rsid w:val="00954953"/>
    <w:rsid w:val="00977213"/>
    <w:rsid w:val="00977880"/>
    <w:rsid w:val="009A5EA3"/>
    <w:rsid w:val="009B4224"/>
    <w:rsid w:val="009C1D29"/>
    <w:rsid w:val="009C7F72"/>
    <w:rsid w:val="009E49FD"/>
    <w:rsid w:val="009F421F"/>
    <w:rsid w:val="00A466D0"/>
    <w:rsid w:val="00A46E78"/>
    <w:rsid w:val="00A476D1"/>
    <w:rsid w:val="00A62D41"/>
    <w:rsid w:val="00A769EE"/>
    <w:rsid w:val="00A77DDA"/>
    <w:rsid w:val="00A8583E"/>
    <w:rsid w:val="00A93550"/>
    <w:rsid w:val="00AA7D23"/>
    <w:rsid w:val="00AC0ED5"/>
    <w:rsid w:val="00AD02DC"/>
    <w:rsid w:val="00B01099"/>
    <w:rsid w:val="00B16A1A"/>
    <w:rsid w:val="00B30590"/>
    <w:rsid w:val="00B46761"/>
    <w:rsid w:val="00B61ED3"/>
    <w:rsid w:val="00B87157"/>
    <w:rsid w:val="00BA639D"/>
    <w:rsid w:val="00BB23AF"/>
    <w:rsid w:val="00BD613F"/>
    <w:rsid w:val="00C137EF"/>
    <w:rsid w:val="00C25443"/>
    <w:rsid w:val="00C94655"/>
    <w:rsid w:val="00CC2B10"/>
    <w:rsid w:val="00CF4068"/>
    <w:rsid w:val="00D04F96"/>
    <w:rsid w:val="00D4617A"/>
    <w:rsid w:val="00D66303"/>
    <w:rsid w:val="00D73CF8"/>
    <w:rsid w:val="00DA6949"/>
    <w:rsid w:val="00DD50BC"/>
    <w:rsid w:val="00DE42DB"/>
    <w:rsid w:val="00E04E18"/>
    <w:rsid w:val="00E072F6"/>
    <w:rsid w:val="00E11FF3"/>
    <w:rsid w:val="00E16703"/>
    <w:rsid w:val="00E22B8D"/>
    <w:rsid w:val="00E44FF8"/>
    <w:rsid w:val="00E855C6"/>
    <w:rsid w:val="00EA79E6"/>
    <w:rsid w:val="00EC148F"/>
    <w:rsid w:val="00ED1F02"/>
    <w:rsid w:val="00F02C36"/>
    <w:rsid w:val="00F07FDE"/>
    <w:rsid w:val="00F146DC"/>
    <w:rsid w:val="00F25925"/>
    <w:rsid w:val="00F4303B"/>
    <w:rsid w:val="00F658E3"/>
    <w:rsid w:val="00F67189"/>
    <w:rsid w:val="00FB3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 w:type="paragraph" w:styleId="NoSpacing">
    <w:name w:val="No Spacing"/>
    <w:uiPriority w:val="1"/>
    <w:qFormat/>
    <w:rsid w:val="006A1CF0"/>
    <w:pPr>
      <w:ind w:left="98" w:hanging="10"/>
      <w:jc w:val="both"/>
    </w:pPr>
    <w:rPr>
      <w:rFonts w:ascii="Cambria" w:eastAsia="Cambria" w:hAnsi="Cambria" w:cs="Cambria"/>
      <w:color w:val="000000"/>
    </w:rPr>
  </w:style>
  <w:style w:type="character" w:styleId="CommentReference">
    <w:name w:val="annotation reference"/>
    <w:basedOn w:val="DefaultParagraphFont"/>
    <w:uiPriority w:val="99"/>
    <w:semiHidden/>
    <w:unhideWhenUsed/>
    <w:rsid w:val="00B61ED3"/>
    <w:rPr>
      <w:sz w:val="16"/>
      <w:szCs w:val="16"/>
    </w:rPr>
  </w:style>
  <w:style w:type="paragraph" w:styleId="CommentText">
    <w:name w:val="annotation text"/>
    <w:basedOn w:val="Normal"/>
    <w:link w:val="CommentTextChar"/>
    <w:uiPriority w:val="99"/>
    <w:semiHidden/>
    <w:unhideWhenUsed/>
    <w:rsid w:val="00B61ED3"/>
    <w:pPr>
      <w:spacing w:line="240" w:lineRule="auto"/>
    </w:pPr>
    <w:rPr>
      <w:sz w:val="20"/>
      <w:szCs w:val="20"/>
    </w:rPr>
  </w:style>
  <w:style w:type="character" w:customStyle="1" w:styleId="CommentTextChar">
    <w:name w:val="Comment Text Char"/>
    <w:basedOn w:val="DefaultParagraphFont"/>
    <w:link w:val="CommentText"/>
    <w:uiPriority w:val="99"/>
    <w:semiHidden/>
    <w:rsid w:val="00B61ED3"/>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B61ED3"/>
    <w:rPr>
      <w:b/>
      <w:bCs/>
    </w:rPr>
  </w:style>
  <w:style w:type="character" w:customStyle="1" w:styleId="CommentSubjectChar">
    <w:name w:val="Comment Subject Char"/>
    <w:basedOn w:val="CommentTextChar"/>
    <w:link w:val="CommentSubject"/>
    <w:uiPriority w:val="99"/>
    <w:semiHidden/>
    <w:rsid w:val="00B61ED3"/>
    <w:rPr>
      <w:rFonts w:ascii="Cambria" w:eastAsia="Cambria" w:hAnsi="Cambria" w:cs="Cambri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2.xml"/><Relationship Id="rId10"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49</Pages>
  <Words>12886</Words>
  <Characters>73451</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Amy Kim</cp:lastModifiedBy>
  <cp:revision>3</cp:revision>
  <dcterms:created xsi:type="dcterms:W3CDTF">2025-12-22T21:33:00Z</dcterms:created>
  <dcterms:modified xsi:type="dcterms:W3CDTF">2025-12-24T03:37:00Z</dcterms:modified>
</cp:coreProperties>
</file>