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77777777"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20th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married women teachers by 3.5 p.p. (20%), partly by leading unmarried women to </w:t>
      </w:r>
      <w:r w:rsidR="00977880" w:rsidRPr="004C2F06">
        <w:rPr>
          <w:rFonts w:ascii="Times New Roman" w:hAnsi="Times New Roman" w:cs="Times New Roman"/>
          <w:sz w:val="22"/>
        </w:rPr>
        <w:t xml:space="preserve">switch from teaching to </w:t>
      </w:r>
      <w:r w:rsidRPr="004C2F06">
        <w:rPr>
          <w:rFonts w:ascii="Times New Roman" w:hAnsi="Times New Roman" w:cs="Times New Roman"/>
          <w:sz w:val="22"/>
        </w:rPr>
        <w:t>other occupations.</w:t>
      </w:r>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we 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62FA69B0"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4.0 percentage point (p.p.) increase between 1930 and 1940 (a 26% increase) in the share of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The likelihood that a married woman worked as a teacher also increased by 17% between 1930 and 1940 in treated counties relative to control ones. Our estimates thus squarely reject the null hypothesis that policy changes aimed at prohibiting employer discrimination against married women had no effect on 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w:t>
      </w:r>
      <w:r w:rsidRPr="004C2F06">
        <w:rPr>
          <w:rFonts w:ascii="Times New Roman" w:hAnsi="Times New Roman" w:cs="Times New Roman"/>
        </w:rPr>
        <w:lastRenderedPageBreak/>
        <w:t xml:space="preserve">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w:t>
      </w:r>
      <w:proofErr w:type="spellStart"/>
      <w:r w:rsidRPr="004C2F06">
        <w:rPr>
          <w:rFonts w:ascii="Times New Roman" w:hAnsi="Times New Roman" w:cs="Times New Roman"/>
        </w:rPr>
        <w:t>towomen</w:t>
      </w:r>
      <w:proofErr w:type="spellEnd"/>
      <w:r w:rsidRPr="004C2F06">
        <w:rPr>
          <w:rFonts w:ascii="Times New Roman" w:hAnsi="Times New Roman" w:cs="Times New Roman"/>
        </w:rPr>
        <w:t xml:space="preserve">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unmarried women from later becoming teachers. Instead, we find evidence that the laws led to unmarried women who were already teachers to switch into other occupations, without affecting their earnings as proxied by occupational scores. In addition, we show that the laws increased overall LFP among unmarried women who were already teachers, where the increase was entirely </w:t>
      </w:r>
      <w:r w:rsidRPr="004C2F06">
        <w:rPr>
          <w:rFonts w:ascii="Times New Roman" w:hAnsi="Times New Roman" w:cs="Times New Roman"/>
        </w:rPr>
        <w:lastRenderedPageBreak/>
        <w:t>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r w:rsidRPr="004C2F06">
        <w:rPr>
          <w:rFonts w:ascii="Times New Roman" w:hAnsi="Times New Roman" w:cs="Times New Roman"/>
          <w:color w:val="0000FF"/>
          <w:vertAlign w:val="superscript"/>
        </w:rPr>
        <w:footnoteReference w:id="6"/>
      </w:r>
    </w:p>
    <w:p w14:paraId="4BEDB19C" w14:textId="77777777"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 Our findings also serve as a cautionary tale: in the presence of gendered social attitudes, the costs of such policies may be borne by other women who are reshuffled to other occupations. However, in our setting, we find an overall positive effect of prohibiting marriage bars on white women’s LFP and earnings.</w:t>
      </w:r>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who documents the use of marriage bars in the early 1900s U.S. and explores employers’ economic justifications for using these discriminatory practices.</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Motivated by these findings, we study how the prohibition of marriage bars impacted married women’s LFP in the first half of the century. Our findings suggest that the prohibition of marriage bars had sizeable effects on married women’s LFP in the short run, </w:t>
      </w:r>
      <w:r w:rsidRPr="004C2F06">
        <w:rPr>
          <w:rFonts w:ascii="Times New Roman" w:hAnsi="Times New Roman" w:cs="Times New Roman"/>
        </w:rPr>
        <w:lastRenderedPageBreak/>
        <w:t>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17311268"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Our paper provides new evidence of another example of an anti-discrimination policy with unintended consequences: while prohibiting marriage bars led married women’s employment 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lastRenderedPageBreak/>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In practice, marriage bars were implemented in two ways: married women were either not hired due to their marital status (“hire bars”), or single working women who got married were fired or expected to quit upon marriage (“retain bars”). Employers practiced one or both forms of 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w:t>
      </w:r>
      <w:r w:rsidRPr="004C2F06">
        <w:rPr>
          <w:rFonts w:ascii="Times New Roman" w:hAnsi="Times New Roman" w:cs="Times New Roman"/>
        </w:rPr>
        <w:lastRenderedPageBreak/>
        <w:t xml:space="preserve">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it was believed that due to their household responsibilities, married women were less efficient workers than unmarried women and men (“the married women </w:t>
      </w:r>
      <w:proofErr w:type="gramStart"/>
      <w:r w:rsidRPr="004C2F06">
        <w:rPr>
          <w:rFonts w:ascii="Times New Roman" w:hAnsi="Times New Roman" w:cs="Times New Roman"/>
        </w:rPr>
        <w:t>lacks</w:t>
      </w:r>
      <w:proofErr w:type="gramEnd"/>
      <w:r w:rsidRPr="004C2F06">
        <w:rPr>
          <w:rFonts w:ascii="Times New Roman" w:hAnsi="Times New Roman" w:cs="Times New Roman"/>
        </w:rPr>
        <w:t xml:space="preserve">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1951 (Goldin </w:t>
      </w:r>
      <w:r w:rsidRPr="004C2F06">
        <w:rPr>
          <w:rFonts w:ascii="Times New Roman" w:hAnsi="Times New Roman" w:cs="Times New Roman"/>
          <w:color w:val="0000FF"/>
        </w:rPr>
        <w:t>2021</w:t>
      </w:r>
      <w:r w:rsidRPr="004C2F06">
        <w:rPr>
          <w:rFonts w:ascii="Times New Roman" w:hAnsi="Times New Roman" w:cs="Times New Roman"/>
        </w:rPr>
        <w:t xml:space="preserve">). The surveys show that marriage bar use in schools increased over the course of the Great Depression, a trend that has been attributed to rising unemployment and scarcity of </w:t>
      </w:r>
      <w:r w:rsidRPr="004C2F06">
        <w:rPr>
          <w:rFonts w:ascii="Times New Roman" w:hAnsi="Times New Roman" w:cs="Times New Roman"/>
        </w:rPr>
        <w:lastRenderedPageBreak/>
        <w:t>jobs for men, then dropped significantly throughout the 1940s.</w:t>
      </w:r>
      <w:r w:rsidRPr="004C2F06">
        <w:rPr>
          <w:rFonts w:ascii="Times New Roman" w:hAnsi="Times New Roman" w:cs="Times New Roman"/>
          <w:color w:val="0000FF"/>
          <w:vertAlign w:val="superscript"/>
        </w:rPr>
        <w:footnoteReference w:id="9"/>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As such, marriage bar use in the US quickly declined and largely ended by the 1950s and 1960s.</w:t>
      </w:r>
      <w:r w:rsidRPr="004C2F06">
        <w:rPr>
          <w:rFonts w:ascii="Times New Roman" w:hAnsi="Times New Roman" w:cs="Times New Roman"/>
          <w:color w:val="0000FF"/>
          <w:vertAlign w:val="superscript"/>
        </w:rPr>
        <w:footnoteReference w:id="10"/>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7A34499A"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women</w:t>
      </w:r>
      <w:r w:rsidR="00305FBB">
        <w:rPr>
          <w:rFonts w:ascii="Times New Roman" w:hAnsi="Times New Roman" w:cs="Times New Roman"/>
        </w:rPr>
        <w:t>-</w:t>
      </w:r>
      <w:r w:rsidRPr="004C2F06">
        <w:rPr>
          <w:rFonts w:ascii="Times New Roman" w:hAnsi="Times New Roman" w:cs="Times New Roman"/>
        </w:rPr>
        <w:t xml:space="preserve">dominated occupation and one of the few socially-accepted occupations for educated women at the time: in 1940, 31% of married women in the workforce with any college were teachers. </w:t>
      </w:r>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 xml:space="preserve">of marriage bars. However, unlike in other occupations, discriminatory hiring policies in teaching were contested nationwide in debates over tenure protection for teachers from the 1910s onward. </w:t>
      </w:r>
      <w:r w:rsidRPr="004C2F06">
        <w:rPr>
          <w:rFonts w:ascii="Times New Roman" w:hAnsi="Times New Roman" w:cs="Times New Roman"/>
        </w:rPr>
        <w:lastRenderedPageBreak/>
        <w:t>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61F8AA7A"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suggests that the laws may have been more salient to school districts that were wary of being sued </w:t>
      </w:r>
      <w:r w:rsidRPr="004C2F06">
        <w:rPr>
          <w:rFonts w:ascii="Times New Roman" w:hAnsi="Times New Roman" w:cs="Times New Roman"/>
        </w:rPr>
        <w:lastRenderedPageBreak/>
        <w:t>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7552FF19" w14:textId="635303C7"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years of U.S. Censuses from 1910 to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To retain as many observations as possible, we only link between adjacent Censuses. We also drop the few linkages for which the sex or race is different between Censuses, or for which the implied year of birth varies by more than five years. Linkage rates are provided in Online Appendix E.</w:t>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11F370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76755670" w:rsidR="008E5084" w:rsidRPr="008E5084" w:rsidRDefault="00000000" w:rsidP="004E2DB5">
      <w:pPr>
        <w:pStyle w:val="Heading1"/>
        <w:spacing w:after="358" w:line="420" w:lineRule="auto"/>
        <w:ind w:left="0" w:right="14" w:firstLine="453"/>
        <w:rPr>
          <w:rFonts w:ascii="Times New Roman" w:hAnsi="Times New Roman" w:cs="Times New Roman"/>
          <w:b w:val="0"/>
          <w:bCs/>
          <w:sz w:val="24"/>
        </w:rPr>
      </w:pPr>
      <w:r w:rsidRPr="008E5084">
        <w:rPr>
          <w:rFonts w:ascii="Times New Roman" w:hAnsi="Times New Roman" w:cs="Times New Roman"/>
          <w:b w:val="0"/>
          <w:bCs/>
          <w:sz w:val="24"/>
        </w:rPr>
        <w:lastRenderedPageBreak/>
        <w:t>Our main analysis sample includes all 220 counties in treated states and all 320 counties in the neighboring Southern states. In parts of our analysis where we examine county</w:t>
      </w:r>
      <w:r w:rsidR="00600F31">
        <w:rPr>
          <w:rFonts w:ascii="Times New Roman" w:hAnsi="Times New Roman" w:cs="Times New Roman"/>
          <w:b w:val="0"/>
          <w:bCs/>
          <w:sz w:val="24"/>
        </w:rPr>
        <w:t>-</w:t>
      </w:r>
      <w:r w:rsidRPr="008E5084">
        <w:rPr>
          <w:rFonts w:ascii="Times New Roman" w:hAnsi="Times New Roman" w:cs="Times New Roman"/>
          <w:b w:val="0"/>
          <w:bCs/>
          <w:sz w:val="24"/>
        </w:rPr>
        <w:t>level outcomes (rather than individual-level outcomes), we restrict to a balanced sample consisting of 217 treated counties and 310 neighboring Southern control counties.</w:t>
      </w:r>
      <w:r w:rsidRPr="008E5084">
        <w:rPr>
          <w:rFonts w:ascii="Times New Roman" w:hAnsi="Times New Roman" w:cs="Times New Roman"/>
          <w:b w:val="0"/>
          <w:bCs/>
          <w:color w:val="0000FF"/>
          <w:sz w:val="24"/>
          <w:vertAlign w:val="superscript"/>
        </w:rPr>
        <w:footnoteReference w:id="13"/>
      </w:r>
      <w:r w:rsidRPr="008E5084">
        <w:rPr>
          <w:rFonts w:ascii="Times New Roman" w:hAnsi="Times New Roman" w:cs="Times New Roman"/>
          <w:b w:val="0"/>
          <w:bCs/>
          <w:color w:val="0000FF"/>
          <w:sz w:val="24"/>
          <w:vertAlign w:val="superscript"/>
        </w:rPr>
        <w:t xml:space="preserve"> </w:t>
      </w:r>
      <w:r w:rsidRPr="008E5084">
        <w:rPr>
          <w:rFonts w:ascii="Times New Roman" w:hAnsi="Times New Roman" w:cs="Times New Roman"/>
          <w:b w:val="0"/>
          <w:bCs/>
          <w:sz w:val="24"/>
        </w:rPr>
        <w:t>We make two further restrictions for analyses by race: when we examine county-level outcomes for white teachers, we exclude one control county with fewer than ten white teachers in 1930 or 1940; similarly, when we examine county-level outcomes for Black teachers, we exclude 109 treated and 129 control counties with fewer than ten Black teachers in 1930 or 1940.</w:t>
      </w:r>
      <w:r w:rsidR="0057478F" w:rsidRPr="008E5084">
        <w:rPr>
          <w:rFonts w:ascii="Times New Roman" w:hAnsi="Times New Roman" w:cs="Times New Roman"/>
          <w:b w:val="0"/>
          <w:bCs/>
          <w:sz w:val="24"/>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t>
      </w:r>
      <w:r w:rsidRPr="004C2F06">
        <w:rPr>
          <w:rFonts w:ascii="Times New Roman" w:hAnsi="Times New Roman" w:cs="Times New Roman"/>
        </w:rPr>
        <w:lastRenderedPageBreak/>
        <w:t>wide policy changes on the composition of the teacher workforce and on men’s and women’s employment.</w:t>
      </w:r>
      <w:r w:rsidRPr="004C2F06">
        <w:rPr>
          <w:rFonts w:ascii="Times New Roman" w:hAnsi="Times New Roman" w:cs="Times New Roman"/>
          <w:color w:val="0000FF"/>
          <w:vertAlign w:val="superscript"/>
        </w:rPr>
        <w:footnoteReference w:id="14"/>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5"/>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level outcomes (such as the likelihood that an unmarried woman in 1930 becomes a married woman 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3252F187"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w:proofErr w:type="spellStart"/>
      <w:r w:rsidRPr="004C2F06">
        <w:rPr>
          <w:rFonts w:ascii="Times New Roman" w:hAnsi="Times New Roman" w:cs="Times New Roman"/>
          <w:i/>
        </w:rPr>
        <w:t>y</w:t>
      </w:r>
      <w:r w:rsidRPr="004C2F06">
        <w:rPr>
          <w:rFonts w:ascii="Times New Roman" w:hAnsi="Times New Roman" w:cs="Times New Roman"/>
          <w:i/>
          <w:vertAlign w:val="subscript"/>
        </w:rPr>
        <w:t>ct</w:t>
      </w:r>
      <w:proofErr w:type="spellEnd"/>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 of interest is</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oMath>
      <w:r w:rsidRPr="004C2F06">
        <w:rPr>
          <w:rFonts w:ascii="Times New Roman" w:hAnsi="Times New Roman" w:cs="Times New Roman"/>
        </w:rPr>
        <w:t xml:space="preserve">which, under certain assumptions, captures the effect of being in a treated state in year </w:t>
      </w:r>
      <w:r w:rsidRPr="004C2F06">
        <w:rPr>
          <w:rFonts w:ascii="Times New Roman" w:hAnsi="Times New Roman" w:cs="Times New Roman"/>
          <w:i/>
        </w:rPr>
        <w:t xml:space="preserve">k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7"/>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lastRenderedPageBreak/>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indexes individual and the notation follow from the county-level specification above. As above, we include county and year fixed effects and cluster standard errors at the county level. We 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in using occupational scores, which 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 xml:space="preserve">In this section, we present three pieces of evidence that suggest the parallel trends assumption reasonably holds in our setting. We then discuss how the assumption is affected by the Great </w:t>
      </w:r>
      <w:r w:rsidRPr="004C2F06">
        <w:rPr>
          <w:rFonts w:ascii="Times New Roman" w:hAnsi="Times New Roman" w:cs="Times New Roman"/>
        </w:rPr>
        <w:lastRenderedPageBreak/>
        <w:t>Depression and New Deal, and how we approach the biases these economic and policy changes may introduce in our analysis.</w:t>
      </w:r>
    </w:p>
    <w:p w14:paraId="0C86FE2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 xml:space="preserve">First, we find that there are no differential pre-trends in our outcomes of interest between the treated and control counties until 1930. While a lack of </w:t>
      </w:r>
      <w:proofErr w:type="spellStart"/>
      <w:r w:rsidRPr="004C2F06">
        <w:rPr>
          <w:rFonts w:ascii="Times New Roman" w:hAnsi="Times New Roman" w:cs="Times New Roman"/>
        </w:rPr>
        <w:t>pretrends</w:t>
      </w:r>
      <w:proofErr w:type="spellEnd"/>
      <w:r w:rsidRPr="004C2F06">
        <w:rPr>
          <w:rFonts w:ascii="Times New Roman" w:hAnsi="Times New Roman" w:cs="Times New Roman"/>
        </w:rPr>
        <w:t xml:space="preserve"> is neither necessary nor sufficient evidence that the parallel trends assumption holds, it is re-assuring for our 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4C2F06">
        <w:rPr>
          <w:rFonts w:ascii="Times New Roman" w:hAnsi="Times New Roman" w:cs="Times New Roman"/>
        </w:rPr>
        <w:t>s.e.</w:t>
      </w:r>
      <w:proofErr w:type="spellEnd"/>
      <w:r w:rsidRPr="004C2F06">
        <w:rPr>
          <w:rFonts w:ascii="Times New Roman" w:hAnsi="Times New Roman" w:cs="Times New Roman"/>
        </w:rPr>
        <w:t xml:space="preserve"> 4.9%) compared to respondents in TN and WV (27.9%, </w:t>
      </w:r>
      <w:proofErr w:type="spellStart"/>
      <w:r w:rsidRPr="004C2F06">
        <w:rPr>
          <w:rFonts w:ascii="Times New Roman" w:hAnsi="Times New Roman" w:cs="Times New Roman"/>
        </w:rPr>
        <w:t>s.e.</w:t>
      </w:r>
      <w:proofErr w:type="spellEnd"/>
      <w:r w:rsidRPr="004C2F06">
        <w:rPr>
          <w:rFonts w:ascii="Times New Roman" w:hAnsi="Times New Roman" w:cs="Times New Roman"/>
        </w:rPr>
        <w:t xml:space="preserve"> 5.9%), but that the gap is statistically indistinguishable from zero at the 90% confidence level (t-statistic: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 xml:space="preserve">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w:t>
      </w:r>
      <w:r w:rsidRPr="004C2F06">
        <w:rPr>
          <w:rFonts w:ascii="Times New Roman" w:hAnsi="Times New Roman" w:cs="Times New Roman"/>
        </w:rPr>
        <w:lastRenderedPageBreak/>
        <w:t>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1934, 1938). Furthermore, KY and NC were not the only states in which bills protecting married women against dismissal were introduced. In 1932, a Mrs. Emma Lee White introduced a similar bill to the 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first difference is that the average treated county experienced a more severe economic downturn and a more muted recovery than the average control county during the Great </w:t>
      </w:r>
      <w:r w:rsidRPr="004C2F06">
        <w:rPr>
          <w:rFonts w:ascii="Times New Roman" w:hAnsi="Times New Roman" w:cs="Times New Roman"/>
        </w:rPr>
        <w:lastRenderedPageBreak/>
        <w:t>Depression.</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2"/>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second notable difference between treated and control states was their exposure to New Deal policies. A large number of control counties in TN, but only a small number of treated counties, 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 xml:space="preserve">Notably, the effect of the prohibitions on married women’s participation in teaching in treated states was relatively short-lived. By 1950, the gap between treated and control counties in the share </w:t>
      </w:r>
      <w:r w:rsidRPr="004C2F06">
        <w:rPr>
          <w:rFonts w:ascii="Times New Roman" w:hAnsi="Times New Roman" w:cs="Times New Roman"/>
        </w:rPr>
        <w:lastRenderedPageBreak/>
        <w:t>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What are the mechanisms driving our main effect? Did the prohibitions pull married women into the labor force (an ‘extensive margin’ effect), or did the prohibitions only affect women who would 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4"/>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w:t>
      </w:r>
      <w:r w:rsidRPr="004C2F06">
        <w:rPr>
          <w:rFonts w:ascii="Times New Roman" w:hAnsi="Times New Roman" w:cs="Times New Roman"/>
        </w:rPr>
        <w:lastRenderedPageBreak/>
        <w:t xml:space="preserve">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5"/>
      </w:r>
    </w:p>
    <w:p w14:paraId="6E0C573C" w14:textId="77777777" w:rsidR="003C25C8" w:rsidRPr="004C2F06" w:rsidRDefault="00000000" w:rsidP="004E2DB5">
      <w:pPr>
        <w:spacing w:line="420" w:lineRule="auto"/>
        <w:ind w:left="-15" w:firstLine="468"/>
        <w:rPr>
          <w:rFonts w:ascii="Times New Roman" w:hAnsi="Times New Roman" w:cs="Times New Roman"/>
        </w:rPr>
      </w:pPr>
      <w:proofErr w:type="gramStart"/>
      <w:r w:rsidRPr="004C2F06">
        <w:rPr>
          <w:rFonts w:ascii="Times New Roman" w:hAnsi="Times New Roman" w:cs="Times New Roman"/>
        </w:rPr>
        <w:t>Next</w:t>
      </w:r>
      <w:proofErr w:type="gramEnd"/>
      <w:r w:rsidRPr="004C2F06">
        <w:rPr>
          <w:rFonts w:ascii="Times New Roman" w:hAnsi="Times New Roman" w:cs="Times New Roman"/>
        </w:rPr>
        <w:t xml:space="preserve">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 xml:space="preserve">Interestingly, Column (3) seems to suggest that the prohibitions weakly increased the likelihood that married women worked in non-teaching jobs as well. The magnitude of the effect </w:t>
      </w:r>
      <w:r w:rsidRPr="004C2F06">
        <w:rPr>
          <w:rFonts w:ascii="Times New Roman" w:hAnsi="Times New Roman" w:cs="Times New Roman"/>
        </w:rPr>
        <w:lastRenderedPageBreak/>
        <w:t>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6"/>
      </w: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lastRenderedPageBreak/>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77777777"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increased occupational scores and labor force participation on average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w:t>
      </w:r>
      <w:proofErr w:type="spellStart"/>
      <w:r w:rsidRPr="004C2F06">
        <w:rPr>
          <w:rFonts w:ascii="Times New Roman" w:hAnsi="Times New Roman" w:cs="Times New Roman"/>
        </w:rPr>
        <w:t>to</w:t>
      </w:r>
      <w:proofErr w:type="spellEnd"/>
      <w:r w:rsidRPr="004C2F06">
        <w:rPr>
          <w:rFonts w:ascii="Times New Roman" w:hAnsi="Times New Roman" w:cs="Times New Roman"/>
        </w:rPr>
        <w:t xml:space="preserve"> occupations that paid similarly to teaching. Similarly, although the prohibitions increased movement out of state on average across all incumbent unmarried women teachers (Column 6), we find that this difference is almost entirely </w:t>
      </w:r>
      <w:r w:rsidRPr="004C2F06">
        <w:rPr>
          <w:rFonts w:ascii="Times New Roman" w:hAnsi="Times New Roman" w:cs="Times New Roman"/>
        </w:rPr>
        <w:lastRenderedPageBreak/>
        <w:t>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7"/>
      </w:r>
    </w:p>
    <w:p w14:paraId="3535950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Finally, we detect no effect of the prohibitions on the overall LFP of women, as shown in Online Appendix Table B8. However, this result is unsurprising, given that the prohibitions only targeted teaching, and—despite teaching being an important occupation for women—teachers comprised only a small share of all women (2.2% of working-age women in 1930).</w:t>
      </w:r>
    </w:p>
    <w:p w14:paraId="63A29FFB"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Taken together, our results suggest that the prohibitions increased women’s LFP and weakly increased women’s earnings, albeit only in the occupation that the prohibitions targeted. Unmarried women teachers who stayed unmarried maintained the same rate of LFP, either in teaching or in jobs that paid similarly to teaching (Online Appendix Table B5, Columns 2 and 4). However, unmarried women teachers who got married became significantly more likely to stay in the labor force, and thus earned significantly more than they would have otherwise (Online Appendix Table B5, Columns 3 and 5).</w:t>
      </w: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 xml:space="preserve">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w:t>
      </w:r>
      <w:r w:rsidRPr="004C2F06">
        <w:rPr>
          <w:rFonts w:ascii="Times New Roman" w:hAnsi="Times New Roman" w:cs="Times New Roman"/>
        </w:rPr>
        <w:lastRenderedPageBreak/>
        <w:t>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 xml:space="preserve">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w:t>
      </w:r>
      <w:r w:rsidRPr="004C2F06">
        <w:rPr>
          <w:rFonts w:ascii="Times New Roman" w:hAnsi="Times New Roman" w:cs="Times New Roman"/>
        </w:rPr>
        <w:lastRenderedPageBreak/>
        <w:t>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w:t>
      </w:r>
      <w:r w:rsidRPr="004C2F06">
        <w:rPr>
          <w:rFonts w:ascii="Times New Roman" w:hAnsi="Times New Roman" w:cs="Times New Roman"/>
        </w:rPr>
        <w:lastRenderedPageBreak/>
        <w:t>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w:t>
      </w:r>
      <w:r w:rsidRPr="004C2F06">
        <w:rPr>
          <w:rFonts w:ascii="Times New Roman" w:hAnsi="Times New Roman" w:cs="Times New Roman"/>
        </w:rPr>
        <w:lastRenderedPageBreak/>
        <w:t>teaching to other similar-paying occupations. Overall, our findings suggest that while the policy did displace some unmarried women, the net effect on white women’s LFP was positive, as the policy pulled white married women into teaching who would have otherwise not been in the labor force.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lastRenderedPageBreak/>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475339A"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172216A1"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6F5DA35"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lastRenderedPageBreak/>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C7A59B2"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2622323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lastRenderedPageBreak/>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46456" style="width:590.315pt;height:2.39101pt;mso-position-horizontal-relative:char;mso-position-vertical-relative:line" coordsize="74970,303">
                <v:shape id="Shape 2381" style="position:absolute;width:74970;height:0;left:0;top:0;" coordsize="7497001,0" path="m0,0l7497001,0">
                  <v:stroke weight="0.398pt" endcap="flat" joinstyle="miter" miterlimit="10" on="true" color="#000000"/>
                  <v:fill on="false" color="#000000" opacity="0"/>
                </v:shape>
                <v:shape id="Shape 2382" style="position:absolute;width:74970;height:0;left:0;top:303;" coordsize="7497001,0" path="m0,0l7497001,0">
                  <v:stroke weight="0.398pt" endcap="flat" joinstyle="miter" miterlimit="10" on="true" color="#000000"/>
                  <v:fill on="false" color="#000000" opacity="0"/>
                </v:shape>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All teachers</w:t>
      </w:r>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1"/>
          <w:footerReference w:type="default" r:id="rId12"/>
          <w:footerReference w:type="first" r:id="rId13"/>
          <w:pgSz w:w="15840" w:h="12240" w:orient="landscape"/>
          <w:pgMar w:top="1440" w:right="2017" w:bottom="1440" w:left="2017" w:header="720" w:footer="720" w:gutter="0"/>
          <w:cols w:space="720"/>
        </w:sectPr>
      </w:pPr>
    </w:p>
    <w:p w14:paraId="1E21CF1D" w14:textId="77777777"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r w:rsidRPr="004C2F06">
              <w:rPr>
                <w:rFonts w:ascii="Times New Roman" w:hAnsi="Times New Roman" w:cs="Times New Roman"/>
                <w:sz w:val="17"/>
              </w:rPr>
              <w:t xml:space="preserve">Pr(Married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1C72C5B4"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0.1775</w:t>
            </w:r>
          </w:p>
        </w:tc>
        <w:tc>
          <w:tcPr>
            <w:tcW w:w="1671" w:type="dxa"/>
            <w:tcBorders>
              <w:top w:val="single" w:sz="3" w:space="0" w:color="000000"/>
              <w:left w:val="nil"/>
              <w:bottom w:val="nil"/>
              <w:right w:val="nil"/>
            </w:tcBorders>
          </w:tcPr>
          <w:p w14:paraId="4422F28E" w14:textId="0BBFF939"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0.2185</w:t>
            </w:r>
          </w:p>
        </w:tc>
        <w:tc>
          <w:tcPr>
            <w:tcW w:w="1671" w:type="dxa"/>
            <w:tcBorders>
              <w:top w:val="single" w:sz="3" w:space="0" w:color="000000"/>
              <w:left w:val="nil"/>
              <w:bottom w:val="nil"/>
              <w:right w:val="nil"/>
            </w:tcBorders>
          </w:tcPr>
          <w:p w14:paraId="1C3DD69A" w14:textId="0B5E850D"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0.604</w:t>
            </w:r>
          </w:p>
        </w:tc>
        <w:tc>
          <w:tcPr>
            <w:tcW w:w="1671" w:type="dxa"/>
            <w:gridSpan w:val="2"/>
            <w:tcBorders>
              <w:top w:val="single" w:sz="3" w:space="0" w:color="000000"/>
              <w:left w:val="nil"/>
              <w:bottom w:val="nil"/>
              <w:right w:val="nil"/>
            </w:tcBorders>
          </w:tcPr>
          <w:p w14:paraId="0EBE4CAE" w14:textId="43A140C0"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188.2</w:t>
            </w:r>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77777777"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04EA92CB"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0.4244</w:t>
            </w:r>
          </w:p>
        </w:tc>
        <w:tc>
          <w:tcPr>
            <w:tcW w:w="1645" w:type="dxa"/>
            <w:tcBorders>
              <w:top w:val="single" w:sz="3" w:space="0" w:color="000000"/>
              <w:left w:val="nil"/>
              <w:bottom w:val="nil"/>
              <w:right w:val="nil"/>
            </w:tcBorders>
          </w:tcPr>
          <w:p w14:paraId="2EB91F3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0.2520</w:t>
            </w:r>
          </w:p>
        </w:tc>
        <w:tc>
          <w:tcPr>
            <w:tcW w:w="1700" w:type="dxa"/>
            <w:tcBorders>
              <w:top w:val="single" w:sz="3" w:space="0" w:color="000000"/>
              <w:left w:val="nil"/>
              <w:bottom w:val="nil"/>
              <w:right w:val="nil"/>
            </w:tcBorders>
          </w:tcPr>
          <w:p w14:paraId="0EF0001D"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0.0907</w:t>
            </w:r>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56C0BFAC"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4FEB9297">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4"/>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56AC726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5"/>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16"/>
          <w:footerReference w:type="default" r:id="rId17"/>
          <w:footerReference w:type="first" r:id="rId18"/>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73C7068F">
            <wp:extent cx="5125576"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19"/>
                    <a:stretch>
                      <a:fillRect/>
                    </a:stretch>
                  </pic:blipFill>
                  <pic:spPr>
                    <a:xfrm>
                      <a:off x="0" y="0"/>
                      <a:ext cx="5125576"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1D9B438">
            <wp:extent cx="5120640" cy="3200400"/>
            <wp:effectExtent l="0" t="0" r="381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0"/>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1"/>
      <w:footerReference w:type="default" r:id="rId22"/>
      <w:footerReference w:type="first" r:id="rId23"/>
      <w:pgSz w:w="12240" w:h="15840"/>
      <w:pgMar w:top="1440" w:right="1440" w:bottom="1440" w:left="1440" w:header="72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F6ECA" w14:textId="77777777" w:rsidR="00FA15C9" w:rsidRDefault="00FA15C9">
      <w:pPr>
        <w:spacing w:after="0" w:line="240" w:lineRule="auto"/>
      </w:pPr>
      <w:r>
        <w:separator/>
      </w:r>
    </w:p>
  </w:endnote>
  <w:endnote w:type="continuationSeparator" w:id="0">
    <w:p w14:paraId="67448320" w14:textId="77777777" w:rsidR="00FA15C9" w:rsidRDefault="00FA1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7FDFE" w14:textId="77777777" w:rsidR="00FA15C9" w:rsidRDefault="00FA15C9">
      <w:pPr>
        <w:spacing w:after="21" w:line="253" w:lineRule="auto"/>
        <w:ind w:left="0" w:firstLine="332"/>
      </w:pPr>
      <w:r>
        <w:separator/>
      </w:r>
    </w:p>
  </w:footnote>
  <w:footnote w:type="continuationSeparator" w:id="0">
    <w:p w14:paraId="726452F2" w14:textId="77777777" w:rsidR="00FA15C9" w:rsidRDefault="00FA15C9">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77777777"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media suggest that the average married woman would have had limited awareness of the policy, indicating that changes in schools’ labor demand likely played the more central role.</w:t>
      </w:r>
    </w:p>
  </w:footnote>
  <w:footnote w:id="6">
    <w:p w14:paraId="4E0B5B70" w14:textId="77777777" w:rsidR="003C25C8" w:rsidRPr="00D4617A" w:rsidRDefault="00000000" w:rsidP="009E49F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That said, we detect no effect of the prohibitions on all women’s LFP. This is unsurprising, given that that the prohibitions targeted teaching specifically and only a small share of women were teachers.</w:t>
      </w:r>
    </w:p>
  </w:footnote>
  <w:footnote w:id="7">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8">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9">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10">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2C7A0A6B" w14:textId="7777777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3">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4">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5">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6">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7">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8">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19">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0">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1">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2">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3">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4">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5">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6">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7">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A0A02"/>
    <w:rsid w:val="000B1637"/>
    <w:rsid w:val="000B70F8"/>
    <w:rsid w:val="000B779F"/>
    <w:rsid w:val="000D4CAB"/>
    <w:rsid w:val="000D593C"/>
    <w:rsid w:val="000F0F9E"/>
    <w:rsid w:val="000F1F48"/>
    <w:rsid w:val="00127928"/>
    <w:rsid w:val="00132357"/>
    <w:rsid w:val="00145ED6"/>
    <w:rsid w:val="00183A9F"/>
    <w:rsid w:val="001920CF"/>
    <w:rsid w:val="001B3489"/>
    <w:rsid w:val="001C0C16"/>
    <w:rsid w:val="001F4E4B"/>
    <w:rsid w:val="00217A45"/>
    <w:rsid w:val="00243EE9"/>
    <w:rsid w:val="002A097D"/>
    <w:rsid w:val="002F096F"/>
    <w:rsid w:val="00304ECC"/>
    <w:rsid w:val="00305FBB"/>
    <w:rsid w:val="00311F1B"/>
    <w:rsid w:val="00330127"/>
    <w:rsid w:val="00331D23"/>
    <w:rsid w:val="003A33D5"/>
    <w:rsid w:val="003A5C66"/>
    <w:rsid w:val="003C25C8"/>
    <w:rsid w:val="00401D74"/>
    <w:rsid w:val="00401E7C"/>
    <w:rsid w:val="0041249B"/>
    <w:rsid w:val="00433995"/>
    <w:rsid w:val="00476C91"/>
    <w:rsid w:val="004C2F06"/>
    <w:rsid w:val="004E2DB5"/>
    <w:rsid w:val="004E6068"/>
    <w:rsid w:val="004F2C4B"/>
    <w:rsid w:val="004F3915"/>
    <w:rsid w:val="0052102D"/>
    <w:rsid w:val="0052338B"/>
    <w:rsid w:val="005411B6"/>
    <w:rsid w:val="00546576"/>
    <w:rsid w:val="0057478F"/>
    <w:rsid w:val="005773FE"/>
    <w:rsid w:val="00597D98"/>
    <w:rsid w:val="005A268E"/>
    <w:rsid w:val="005C12BC"/>
    <w:rsid w:val="005D1524"/>
    <w:rsid w:val="00600F31"/>
    <w:rsid w:val="00603F01"/>
    <w:rsid w:val="00636E57"/>
    <w:rsid w:val="00641660"/>
    <w:rsid w:val="006563FC"/>
    <w:rsid w:val="006A0209"/>
    <w:rsid w:val="006A1CF0"/>
    <w:rsid w:val="007116AE"/>
    <w:rsid w:val="007316CE"/>
    <w:rsid w:val="00741663"/>
    <w:rsid w:val="00750FB4"/>
    <w:rsid w:val="00754742"/>
    <w:rsid w:val="0076222D"/>
    <w:rsid w:val="00780FAA"/>
    <w:rsid w:val="007E0625"/>
    <w:rsid w:val="00837D71"/>
    <w:rsid w:val="00871CAE"/>
    <w:rsid w:val="00875BCE"/>
    <w:rsid w:val="00880328"/>
    <w:rsid w:val="008C3C5B"/>
    <w:rsid w:val="008C4784"/>
    <w:rsid w:val="008D6048"/>
    <w:rsid w:val="008E5084"/>
    <w:rsid w:val="008F1F7A"/>
    <w:rsid w:val="00906B65"/>
    <w:rsid w:val="00947162"/>
    <w:rsid w:val="00953557"/>
    <w:rsid w:val="00954953"/>
    <w:rsid w:val="00977213"/>
    <w:rsid w:val="00977880"/>
    <w:rsid w:val="009A5EA3"/>
    <w:rsid w:val="009B4224"/>
    <w:rsid w:val="009C1D29"/>
    <w:rsid w:val="009E49FD"/>
    <w:rsid w:val="00A46E78"/>
    <w:rsid w:val="00A476D1"/>
    <w:rsid w:val="00A62D41"/>
    <w:rsid w:val="00A769EE"/>
    <w:rsid w:val="00A77DDA"/>
    <w:rsid w:val="00A93550"/>
    <w:rsid w:val="00AC0ED5"/>
    <w:rsid w:val="00AD02DC"/>
    <w:rsid w:val="00B30590"/>
    <w:rsid w:val="00B87157"/>
    <w:rsid w:val="00BA3E40"/>
    <w:rsid w:val="00BA639D"/>
    <w:rsid w:val="00BB23AF"/>
    <w:rsid w:val="00C137EF"/>
    <w:rsid w:val="00C94655"/>
    <w:rsid w:val="00CF4068"/>
    <w:rsid w:val="00D4617A"/>
    <w:rsid w:val="00D73CF8"/>
    <w:rsid w:val="00DD50BC"/>
    <w:rsid w:val="00E04E18"/>
    <w:rsid w:val="00E11FF3"/>
    <w:rsid w:val="00E16703"/>
    <w:rsid w:val="00E22B8D"/>
    <w:rsid w:val="00E44FF8"/>
    <w:rsid w:val="00E855C6"/>
    <w:rsid w:val="00EA79E6"/>
    <w:rsid w:val="00F02C36"/>
    <w:rsid w:val="00F07FDE"/>
    <w:rsid w:val="00F25925"/>
    <w:rsid w:val="00F4303B"/>
    <w:rsid w:val="00F67189"/>
    <w:rsid w:val="00FA15C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2.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48</Pages>
  <Words>12536</Words>
  <Characters>71457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2</cp:revision>
  <dcterms:created xsi:type="dcterms:W3CDTF">2025-11-21T20:44:00Z</dcterms:created>
  <dcterms:modified xsi:type="dcterms:W3CDTF">2025-11-21T20:44:00Z</dcterms:modified>
</cp:coreProperties>
</file>