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77777777"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20th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married women teachers by 3.5 p.p. (20%), partly by leading unmarried women to </w:t>
      </w:r>
      <w:r w:rsidR="00977880" w:rsidRPr="004C2F06">
        <w:rPr>
          <w:rFonts w:ascii="Times New Roman" w:hAnsi="Times New Roman" w:cs="Times New Roman"/>
          <w:sz w:val="22"/>
        </w:rPr>
        <w:t xml:space="preserve">switch from teaching to </w:t>
      </w:r>
      <w:r w:rsidRPr="004C2F06">
        <w:rPr>
          <w:rFonts w:ascii="Times New Roman" w:hAnsi="Times New Roman" w:cs="Times New Roman"/>
          <w:sz w:val="22"/>
        </w:rPr>
        <w:t>other occupations.</w:t>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we 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62FA69B0"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4.0 percentage point (p.p.) increase between 1930 and 1940 (a 26% increase) in the share of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The likelihood that a married woman worked as a teacher also increased by 17% between 1930 and 1940 in treated counties relative to control ones. Our estimates thus squarely reject the null hypothesis that policy changes aimed at prohibiting employer discrimination against married women had no effect on 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w:t>
      </w:r>
      <w:r w:rsidRPr="004C2F06">
        <w:rPr>
          <w:rFonts w:ascii="Times New Roman" w:hAnsi="Times New Roman" w:cs="Times New Roman"/>
        </w:rPr>
        <w:lastRenderedPageBreak/>
        <w:t xml:space="preserve">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unmarried women from later becoming teachers. Instead, we find evidence that the laws led to unmarried women who were already teachers to switch into other occupations, without affecting their earnings as proxied by occupational scores. In addition, we show that the laws increased overall LFP among unmarried women who were already teachers, where the increase was entirely </w:t>
      </w:r>
      <w:r w:rsidRPr="004C2F06">
        <w:rPr>
          <w:rFonts w:ascii="Times New Roman" w:hAnsi="Times New Roman" w:cs="Times New Roman"/>
        </w:rPr>
        <w:lastRenderedPageBreak/>
        <w:t>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r w:rsidRPr="004C2F06">
        <w:rPr>
          <w:rFonts w:ascii="Times New Roman" w:hAnsi="Times New Roman" w:cs="Times New Roman"/>
          <w:color w:val="0000FF"/>
          <w:vertAlign w:val="superscript"/>
        </w:rPr>
        <w:footnoteReference w:id="6"/>
      </w:r>
    </w:p>
    <w:p w14:paraId="4BEDB19C" w14:textId="77777777"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 Our findings also serve as a cautionary tale: in the presence of gendered social attitudes, the costs of such policies may be borne by other women who are reshuffled to other occupations. However, in our setting, we find an overall positive effect of prohibiting marriage bars on white women’s LFP and earnings.</w:t>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who documents the use of marriage bars in the early 1900s U.S. and explores employers’ economic justifications for using these discriminatory practices.</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Motivated by these findings, we study how the prohibition of marriage bars impacted married women’s LFP in the first half of the century. Our findings suggest that the prohibition of marriage bars had sizeable effects on married women’s LFP in the short run, </w:t>
      </w:r>
      <w:r w:rsidRPr="004C2F06">
        <w:rPr>
          <w:rFonts w:ascii="Times New Roman" w:hAnsi="Times New Roman" w:cs="Times New Roman"/>
        </w:rPr>
        <w:lastRenderedPageBreak/>
        <w:t>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Our paper provides new evidence of another example of an anti-discrimination policy with unintended consequences: while prohibiting marriage bars led married women’s employment 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lastRenderedPageBreak/>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In practice, marriage bars were implemented in two ways: married women were either not hired due to their marital status (“hire bars”), or single working women who got married were fired or expected to quit upon marriage (“retain bars”). Employers practiced one or both forms of 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w:t>
      </w:r>
      <w:r w:rsidRPr="004C2F06">
        <w:rPr>
          <w:rFonts w:ascii="Times New Roman" w:hAnsi="Times New Roman" w:cs="Times New Roman"/>
        </w:rPr>
        <w:lastRenderedPageBreak/>
        <w:t xml:space="preserve">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1951 (Goldin </w:t>
      </w:r>
      <w:r w:rsidRPr="004C2F06">
        <w:rPr>
          <w:rFonts w:ascii="Times New Roman" w:hAnsi="Times New Roman" w:cs="Times New Roman"/>
          <w:color w:val="0000FF"/>
        </w:rPr>
        <w:t>2021</w:t>
      </w:r>
      <w:r w:rsidRPr="004C2F06">
        <w:rPr>
          <w:rFonts w:ascii="Times New Roman" w:hAnsi="Times New Roman" w:cs="Times New Roman"/>
        </w:rPr>
        <w:t xml:space="preserve">). The surveys show that marriage bar use in schools increased over the course of the Great Depression, a trend that has been attributed to rising unemployment and scarcity of </w:t>
      </w:r>
      <w:r w:rsidRPr="004C2F06">
        <w:rPr>
          <w:rFonts w:ascii="Times New Roman" w:hAnsi="Times New Roman" w:cs="Times New Roman"/>
        </w:rPr>
        <w:lastRenderedPageBreak/>
        <w:t>jobs for men, then dropped significantly throughout the 1940s.</w:t>
      </w:r>
      <w:r w:rsidRPr="004C2F06">
        <w:rPr>
          <w:rFonts w:ascii="Times New Roman" w:hAnsi="Times New Roman" w:cs="Times New Roman"/>
          <w:color w:val="0000FF"/>
          <w:vertAlign w:val="superscript"/>
        </w:rPr>
        <w:footnoteReference w:id="9"/>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As such, marriage bar use in the US quickly declined and largely ended by the 1950s and 1960s.</w:t>
      </w:r>
      <w:r w:rsidRPr="004C2F06">
        <w:rPr>
          <w:rFonts w:ascii="Times New Roman" w:hAnsi="Times New Roman" w:cs="Times New Roman"/>
          <w:color w:val="0000FF"/>
          <w:vertAlign w:val="superscript"/>
        </w:rPr>
        <w:footnoteReference w:id="10"/>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11A8D294"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 xml:space="preserve">dominated occupation and one of the few socially-accepted occupations for educated women at the time: in 1940, 31% of married women in the workforce with any college were teachers. </w:t>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 xml:space="preserve">of marriage bars. However, unlike in other occupations, discriminatory hiring policies in teaching were contested nationwide in debates over tenure protection for teachers from the 1910s onward. </w:t>
      </w:r>
      <w:r w:rsidRPr="004C2F06">
        <w:rPr>
          <w:rFonts w:ascii="Times New Roman" w:hAnsi="Times New Roman" w:cs="Times New Roman"/>
        </w:rPr>
        <w:lastRenderedPageBreak/>
        <w:t>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suggests that the laws may have been more salient to school districts that were wary of being sued </w:t>
      </w:r>
      <w:r w:rsidRPr="004C2F06">
        <w:rPr>
          <w:rFonts w:ascii="Times New Roman" w:hAnsi="Times New Roman" w:cs="Times New Roman"/>
        </w:rPr>
        <w:lastRenderedPageBreak/>
        <w:t>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7552FF19" w14:textId="24222F4D"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We also drop the few linkages for which the sex or race is different between Censuses, or for which the implied year of birth varies by more than five years. Linkage rates are provided in Online Appendix </w:t>
      </w:r>
      <w:r w:rsidR="0041249B">
        <w:rPr>
          <w:rFonts w:ascii="Times New Roman" w:hAnsi="Times New Roman" w:cs="Times New Roman"/>
        </w:rPr>
        <w:t>Table B1</w:t>
      </w:r>
      <w:r w:rsidRPr="004C2F06">
        <w:rPr>
          <w:rFonts w:ascii="Times New Roman" w:hAnsi="Times New Roman" w:cs="Times New Roman"/>
        </w:rPr>
        <w:t>.</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3"/>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4"/>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5"/>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64D9291F"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 of interest is</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oMath>
      <w:r w:rsidRPr="004C2F06">
        <w:rPr>
          <w:rFonts w:ascii="Times New Roman" w:hAnsi="Times New Roman" w:cs="Times New Roman"/>
        </w:rPr>
        <w:t xml:space="preserve">which, under certain assumptions, captures the effect of being in a treated state in year </w:t>
      </w:r>
      <w:r w:rsidRPr="004C2F06">
        <w:rPr>
          <w:rFonts w:ascii="Times New Roman" w:hAnsi="Times New Roman" w:cs="Times New Roman"/>
          <w:i/>
        </w:rPr>
        <w:t xml:space="preserve">k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7"/>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2"/>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4"/>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5"/>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w:t>
      </w:r>
      <w:r w:rsidR="00000000" w:rsidRPr="004C2F06">
        <w:rPr>
          <w:rFonts w:ascii="Times New Roman" w:hAnsi="Times New Roman" w:cs="Times New Roman"/>
        </w:rPr>
        <w:t xml:space="preserve">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6"/>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0798143D"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(Columns 2 and 3), LFP (Columns 4 and 5), and mobility (Columns 6 and 7) of unmarried women teachers, where occupational scores function as a proxy for earnings given income was not collected in the Census prior to 1940. Although the prohibitions increased occupational scores and labor force participation on average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7"/>
      </w:r>
    </w:p>
    <w:p w14:paraId="3535950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Finally, we detect no effect of the prohibitions on the overall LFP of women, as shown in Online Appendix Table B8. However, this result is unsurprising, given that the prohibitions only targeted teaching, and—despite teaching being an important occupation for women—teachers comprised only a small share of all women (2.2% of working-age women in 1930).</w:t>
      </w:r>
    </w:p>
    <w:p w14:paraId="63A29FFB"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Taken together, our results suggest that the prohibitions increased women’s LFP and weakly increased women’s earnings, albeit only in the occupation that the prohibitions targeted. Unmarried women teachers who stayed unmarried maintained the same rate of LFP, either in teaching or in jobs that paid similarly to teaching (Online Appendix Table B5, Columns 2 and 4). However, unmarried women teachers who got married became significantly more likely to stay in the labor force, and thus earned significantly more than they would have otherwise (Online Appendix Table B5, Columns 3 and 5).</w:t>
      </w: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suggest that while the policy did displace some unmarried women, the net effect on white women’s LFP was positive, as the policy pulled white married women into teaching who would have otherwise not been in the labor force.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lastRenderedPageBreak/>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lastRenderedPageBreak/>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lastRenderedPageBreak/>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475339A"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172216A1"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lastRenderedPageBreak/>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6F5DA35"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C7A59B2"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2622323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lastRenderedPageBreak/>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46456" style="width:590.315pt;height:2.39101pt;mso-position-horizontal-relative:char;mso-position-vertical-relative:line" coordsize="74970,303">
                <v:shape id="Shape 2381" style="position:absolute;width:74970;height:0;left:0;top:0;" coordsize="7497001,0" path="m0,0l7497001,0">
                  <v:stroke weight="0.398pt" endcap="flat" joinstyle="miter" miterlimit="10" on="true" color="#000000"/>
                  <v:fill on="false" color="#000000" opacity="0"/>
                </v:shape>
                <v:shape id="Shape 2382" style="position:absolute;width:74970;height:0;left:0;top:303;" coordsize="7497001,0" path="m0,0l7497001,0">
                  <v:stroke weight="0.398pt" endcap="flat" joinstyle="miter" miterlimit="10" on="true" color="#000000"/>
                  <v:fill on="false" color="#000000" opacity="0"/>
                </v:shape>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All teachers</w:t>
      </w:r>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r w:rsidRPr="004C2F06">
              <w:rPr>
                <w:rFonts w:ascii="Times New Roman" w:hAnsi="Times New Roman" w:cs="Times New Roman"/>
                <w:sz w:val="17"/>
              </w:rPr>
              <w:t xml:space="preserve">Pr(Married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1C72C5B4"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0.1775</w:t>
            </w:r>
          </w:p>
        </w:tc>
        <w:tc>
          <w:tcPr>
            <w:tcW w:w="1671" w:type="dxa"/>
            <w:tcBorders>
              <w:top w:val="single" w:sz="3" w:space="0" w:color="000000"/>
              <w:left w:val="nil"/>
              <w:bottom w:val="nil"/>
              <w:right w:val="nil"/>
            </w:tcBorders>
          </w:tcPr>
          <w:p w14:paraId="4422F28E" w14:textId="0BBFF93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0.2185</w:t>
            </w:r>
          </w:p>
        </w:tc>
        <w:tc>
          <w:tcPr>
            <w:tcW w:w="1671" w:type="dxa"/>
            <w:tcBorders>
              <w:top w:val="single" w:sz="3" w:space="0" w:color="000000"/>
              <w:left w:val="nil"/>
              <w:bottom w:val="nil"/>
              <w:right w:val="nil"/>
            </w:tcBorders>
          </w:tcPr>
          <w:p w14:paraId="1C3DD69A" w14:textId="0B5E850D"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0.604</w:t>
            </w:r>
          </w:p>
        </w:tc>
        <w:tc>
          <w:tcPr>
            <w:tcW w:w="1671" w:type="dxa"/>
            <w:gridSpan w:val="2"/>
            <w:tcBorders>
              <w:top w:val="single" w:sz="3" w:space="0" w:color="000000"/>
              <w:left w:val="nil"/>
              <w:bottom w:val="nil"/>
              <w:right w:val="nil"/>
            </w:tcBorders>
          </w:tcPr>
          <w:p w14:paraId="0EBE4CAE" w14:textId="43A140C0"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188.2</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04EA92CB"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0.4244</w:t>
            </w:r>
          </w:p>
        </w:tc>
        <w:tc>
          <w:tcPr>
            <w:tcW w:w="1645" w:type="dxa"/>
            <w:tcBorders>
              <w:top w:val="single" w:sz="3" w:space="0" w:color="000000"/>
              <w:left w:val="nil"/>
              <w:bottom w:val="nil"/>
              <w:right w:val="nil"/>
            </w:tcBorders>
          </w:tcPr>
          <w:p w14:paraId="2EB91F3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0.2520</w:t>
            </w:r>
          </w:p>
        </w:tc>
        <w:tc>
          <w:tcPr>
            <w:tcW w:w="1700" w:type="dxa"/>
            <w:tcBorders>
              <w:top w:val="single" w:sz="3" w:space="0" w:color="000000"/>
              <w:left w:val="nil"/>
              <w:bottom w:val="nil"/>
              <w:right w:val="nil"/>
            </w:tcBorders>
          </w:tcPr>
          <w:p w14:paraId="0EF0001D"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0.0907</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56C0BFAC"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73C7068F">
            <wp:extent cx="5125576"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a:stretch>
                      <a:fillRect/>
                    </a:stretch>
                  </pic:blipFill>
                  <pic:spPr>
                    <a:xfrm>
                      <a:off x="0" y="0"/>
                      <a:ext cx="5125576"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1D9B438">
            <wp:extent cx="5120640" cy="3200400"/>
            <wp:effectExtent l="0" t="0" r="381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B9AB8" w14:textId="77777777" w:rsidR="00381BFC" w:rsidRDefault="00381BFC">
      <w:pPr>
        <w:spacing w:after="0" w:line="240" w:lineRule="auto"/>
      </w:pPr>
      <w:r>
        <w:separator/>
      </w:r>
    </w:p>
  </w:endnote>
  <w:endnote w:type="continuationSeparator" w:id="0">
    <w:p w14:paraId="39D1AA86" w14:textId="77777777" w:rsidR="00381BFC" w:rsidRDefault="00381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9A961" w14:textId="77777777" w:rsidR="00381BFC" w:rsidRDefault="00381BFC">
      <w:pPr>
        <w:spacing w:after="21" w:line="253" w:lineRule="auto"/>
        <w:ind w:left="0" w:firstLine="332"/>
      </w:pPr>
      <w:r>
        <w:separator/>
      </w:r>
    </w:p>
  </w:footnote>
  <w:footnote w:type="continuationSeparator" w:id="0">
    <w:p w14:paraId="1064803D" w14:textId="77777777" w:rsidR="00381BFC" w:rsidRDefault="00381BFC">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77777777"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media suggest that the average married woman would have had limited awareness of the policy, indicating that changes in schools’ labor demand likely played the more central role.</w:t>
      </w:r>
    </w:p>
  </w:footnote>
  <w:footnote w:id="6">
    <w:p w14:paraId="4E0B5B70" w14:textId="77777777" w:rsidR="003C25C8" w:rsidRPr="00D4617A" w:rsidRDefault="00000000" w:rsidP="009E49F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That said, we detect no effect of the prohibitions on all women’s LFP. This is unsurprising, given that that the prohibitions targeted teaching specifically and only a small share of women were teachers.</w:t>
      </w:r>
    </w:p>
  </w:footnote>
  <w:footnote w:id="7">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8">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9">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10">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2C7A0A6B" w14:textId="7777777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3">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4">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5">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6">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7">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8">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19">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0">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1">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2">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3">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4">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5">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6">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7">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A0A02"/>
    <w:rsid w:val="000B1637"/>
    <w:rsid w:val="000B70F8"/>
    <w:rsid w:val="000B779F"/>
    <w:rsid w:val="000D4CAB"/>
    <w:rsid w:val="000D593C"/>
    <w:rsid w:val="000F0F9E"/>
    <w:rsid w:val="000F1F48"/>
    <w:rsid w:val="00127928"/>
    <w:rsid w:val="00132357"/>
    <w:rsid w:val="00145ED6"/>
    <w:rsid w:val="00183A9F"/>
    <w:rsid w:val="001920CF"/>
    <w:rsid w:val="001B3489"/>
    <w:rsid w:val="001C0C16"/>
    <w:rsid w:val="001F4E4B"/>
    <w:rsid w:val="00217A45"/>
    <w:rsid w:val="00243EE9"/>
    <w:rsid w:val="002A097D"/>
    <w:rsid w:val="002F096F"/>
    <w:rsid w:val="00304ECC"/>
    <w:rsid w:val="00305FBB"/>
    <w:rsid w:val="00311F1B"/>
    <w:rsid w:val="00330127"/>
    <w:rsid w:val="00331D23"/>
    <w:rsid w:val="00381BFC"/>
    <w:rsid w:val="003A33D5"/>
    <w:rsid w:val="003A5C66"/>
    <w:rsid w:val="003C25C8"/>
    <w:rsid w:val="00401D74"/>
    <w:rsid w:val="00401E7C"/>
    <w:rsid w:val="0041249B"/>
    <w:rsid w:val="00433995"/>
    <w:rsid w:val="00476C91"/>
    <w:rsid w:val="004C2F06"/>
    <w:rsid w:val="004E2DB5"/>
    <w:rsid w:val="004E6068"/>
    <w:rsid w:val="004F2C4B"/>
    <w:rsid w:val="004F3915"/>
    <w:rsid w:val="0052102D"/>
    <w:rsid w:val="0052338B"/>
    <w:rsid w:val="005411B6"/>
    <w:rsid w:val="0054657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E0625"/>
    <w:rsid w:val="00837D71"/>
    <w:rsid w:val="00871CAE"/>
    <w:rsid w:val="00875BCE"/>
    <w:rsid w:val="00880328"/>
    <w:rsid w:val="008C3C5B"/>
    <w:rsid w:val="008C4784"/>
    <w:rsid w:val="008D6048"/>
    <w:rsid w:val="008E5084"/>
    <w:rsid w:val="008F1F7A"/>
    <w:rsid w:val="00906B65"/>
    <w:rsid w:val="00947162"/>
    <w:rsid w:val="00953557"/>
    <w:rsid w:val="00954953"/>
    <w:rsid w:val="00977213"/>
    <w:rsid w:val="00977880"/>
    <w:rsid w:val="009A5EA3"/>
    <w:rsid w:val="009B4224"/>
    <w:rsid w:val="009C1D29"/>
    <w:rsid w:val="009E49FD"/>
    <w:rsid w:val="00A46E78"/>
    <w:rsid w:val="00A476D1"/>
    <w:rsid w:val="00A62D41"/>
    <w:rsid w:val="00A769EE"/>
    <w:rsid w:val="00A77DDA"/>
    <w:rsid w:val="00A93550"/>
    <w:rsid w:val="00AC0ED5"/>
    <w:rsid w:val="00AD02DC"/>
    <w:rsid w:val="00B30590"/>
    <w:rsid w:val="00B87157"/>
    <w:rsid w:val="00BA639D"/>
    <w:rsid w:val="00BB23AF"/>
    <w:rsid w:val="00C137EF"/>
    <w:rsid w:val="00C94655"/>
    <w:rsid w:val="00CF4068"/>
    <w:rsid w:val="00D4617A"/>
    <w:rsid w:val="00D73CF8"/>
    <w:rsid w:val="00DD50BC"/>
    <w:rsid w:val="00E04E18"/>
    <w:rsid w:val="00E11FF3"/>
    <w:rsid w:val="00E16703"/>
    <w:rsid w:val="00E22B8D"/>
    <w:rsid w:val="00E44FF8"/>
    <w:rsid w:val="00E855C6"/>
    <w:rsid w:val="00EA79E6"/>
    <w:rsid w:val="00F02C36"/>
    <w:rsid w:val="00F07FDE"/>
    <w:rsid w:val="00F25925"/>
    <w:rsid w:val="00F4303B"/>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48</Pages>
  <Words>12540</Words>
  <Characters>71479</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2</cp:revision>
  <dcterms:created xsi:type="dcterms:W3CDTF">2025-11-21T20:43:00Z</dcterms:created>
  <dcterms:modified xsi:type="dcterms:W3CDTF">2025-11-21T20:43:00Z</dcterms:modified>
</cp:coreProperties>
</file>