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D4698A" w14:textId="7B98C0CF" w:rsidR="00703961" w:rsidRPr="00C30207" w:rsidRDefault="00496CE8" w:rsidP="00171348">
      <w:pPr>
        <w:spacing w:line="360" w:lineRule="auto"/>
      </w:pPr>
      <w:r>
        <w:rPr>
          <w:b/>
        </w:rPr>
        <w:t>S</w:t>
      </w:r>
      <w:r w:rsidR="00703961" w:rsidRPr="00703961">
        <w:rPr>
          <w:b/>
        </w:rPr>
        <w:t>1 Appendix.</w:t>
      </w:r>
      <w:r w:rsidR="00703961">
        <w:rPr>
          <w:b/>
        </w:rPr>
        <w:t xml:space="preserve"> Rationale for logical rules in prevalence algorithms used on UK</w:t>
      </w:r>
      <w:r w:rsidR="00B353BC">
        <w:rPr>
          <w:b/>
        </w:rPr>
        <w:t xml:space="preserve"> Biobank </w:t>
      </w:r>
      <w:r w:rsidR="00703961">
        <w:rPr>
          <w:b/>
        </w:rPr>
        <w:t xml:space="preserve">recruitment questionnaire data. </w:t>
      </w:r>
      <w:r w:rsidR="00703961">
        <w:t>TS=participants entered data themselves via electronic touch screen, NI=data accrued from individual nurse interview, GDM=gestational diabetes mellitus.</w:t>
      </w:r>
      <w:r w:rsidR="00703961" w:rsidRPr="0021454E">
        <w:t xml:space="preserve"> </w:t>
      </w:r>
    </w:p>
    <w:tbl>
      <w:tblPr>
        <w:tblStyle w:val="TableGrid"/>
        <w:tblW w:w="0" w:type="auto"/>
        <w:tblLook w:val="04A0" w:firstRow="1" w:lastRow="0" w:firstColumn="1" w:lastColumn="0" w:noHBand="0" w:noVBand="1"/>
      </w:tblPr>
      <w:tblGrid>
        <w:gridCol w:w="696"/>
        <w:gridCol w:w="3293"/>
        <w:gridCol w:w="5253"/>
      </w:tblGrid>
      <w:tr w:rsidR="00703961" w14:paraId="4EFFB6B6" w14:textId="77777777" w:rsidTr="00F770C2">
        <w:tc>
          <w:tcPr>
            <w:tcW w:w="0" w:type="auto"/>
          </w:tcPr>
          <w:p w14:paraId="79E18482" w14:textId="77777777" w:rsidR="00703961" w:rsidRPr="00C80FC2" w:rsidRDefault="00703961" w:rsidP="00F770C2">
            <w:pPr>
              <w:rPr>
                <w:b/>
              </w:rPr>
            </w:pPr>
            <w:r w:rsidRPr="00C80FC2">
              <w:rPr>
                <w:b/>
              </w:rPr>
              <w:t>Rule</w:t>
            </w:r>
          </w:p>
        </w:tc>
        <w:tc>
          <w:tcPr>
            <w:tcW w:w="0" w:type="auto"/>
          </w:tcPr>
          <w:p w14:paraId="5BA563F7" w14:textId="77777777" w:rsidR="00703961" w:rsidRPr="00C80FC2" w:rsidRDefault="00703961" w:rsidP="00F770C2">
            <w:pPr>
              <w:rPr>
                <w:b/>
              </w:rPr>
            </w:pPr>
            <w:r>
              <w:rPr>
                <w:b/>
              </w:rPr>
              <w:t>Purpose</w:t>
            </w:r>
          </w:p>
        </w:tc>
        <w:tc>
          <w:tcPr>
            <w:tcW w:w="0" w:type="auto"/>
          </w:tcPr>
          <w:p w14:paraId="72F8D491" w14:textId="77777777" w:rsidR="00703961" w:rsidRPr="00C80FC2" w:rsidRDefault="00703961" w:rsidP="00F770C2">
            <w:pPr>
              <w:rPr>
                <w:b/>
              </w:rPr>
            </w:pPr>
            <w:r w:rsidRPr="00C80FC2">
              <w:rPr>
                <w:b/>
              </w:rPr>
              <w:t>Rationale</w:t>
            </w:r>
          </w:p>
        </w:tc>
      </w:tr>
      <w:tr w:rsidR="00703961" w14:paraId="07773232" w14:textId="77777777" w:rsidTr="00F770C2">
        <w:tc>
          <w:tcPr>
            <w:tcW w:w="0" w:type="auto"/>
            <w:gridSpan w:val="3"/>
          </w:tcPr>
          <w:p w14:paraId="43113DA8" w14:textId="77777777" w:rsidR="00703961" w:rsidRPr="00C80FC2" w:rsidRDefault="00703961" w:rsidP="00F770C2">
            <w:pPr>
              <w:rPr>
                <w:b/>
              </w:rPr>
            </w:pPr>
            <w:r w:rsidRPr="00C80FC2">
              <w:rPr>
                <w:b/>
              </w:rPr>
              <w:t>Prevalence algorithm 1</w:t>
            </w:r>
            <w:r>
              <w:rPr>
                <w:b/>
              </w:rPr>
              <w:t xml:space="preserve"> – Distinguishes between diabetes presence/absence </w:t>
            </w:r>
          </w:p>
        </w:tc>
      </w:tr>
      <w:tr w:rsidR="00703961" w14:paraId="762B263E" w14:textId="77777777" w:rsidTr="00F770C2">
        <w:tc>
          <w:tcPr>
            <w:tcW w:w="0" w:type="auto"/>
          </w:tcPr>
          <w:p w14:paraId="02CD6BAE" w14:textId="77777777" w:rsidR="00703961" w:rsidRPr="00C80FC2" w:rsidRDefault="00703961" w:rsidP="00F770C2">
            <w:pPr>
              <w:rPr>
                <w:b/>
              </w:rPr>
            </w:pPr>
            <w:r w:rsidRPr="00C80FC2">
              <w:rPr>
                <w:b/>
              </w:rPr>
              <w:t>1.1</w:t>
            </w:r>
          </w:p>
        </w:tc>
        <w:tc>
          <w:tcPr>
            <w:tcW w:w="0" w:type="auto"/>
          </w:tcPr>
          <w:p w14:paraId="1DA89894" w14:textId="77777777" w:rsidR="00703961" w:rsidRDefault="00703961" w:rsidP="00F770C2">
            <w:r>
              <w:t>Identifies participants in whom diabetes unlikely</w:t>
            </w:r>
          </w:p>
        </w:tc>
        <w:tc>
          <w:tcPr>
            <w:tcW w:w="0" w:type="auto"/>
          </w:tcPr>
          <w:p w14:paraId="67F2193E" w14:textId="77777777" w:rsidR="00703961" w:rsidRPr="00373E20" w:rsidRDefault="00703961" w:rsidP="00F770C2">
            <w:pPr>
              <w:ind w:left="60"/>
            </w:pPr>
            <w:r>
              <w:t>Based on</w:t>
            </w:r>
            <w:r w:rsidRPr="00373E20">
              <w:t xml:space="preserve"> </w:t>
            </w:r>
            <w:r>
              <w:t>absence</w:t>
            </w:r>
            <w:r w:rsidRPr="00373E20">
              <w:t xml:space="preserve"> of </w:t>
            </w:r>
            <w:r>
              <w:t xml:space="preserve">self-reported </w:t>
            </w:r>
            <w:r w:rsidRPr="00373E20">
              <w:t>d</w:t>
            </w:r>
            <w:r>
              <w:t>iabetes diagnoses or medication. The</w:t>
            </w:r>
            <w:r w:rsidRPr="00373E20">
              <w:t xml:space="preserve"> exception </w:t>
            </w:r>
            <w:r>
              <w:t>was</w:t>
            </w:r>
            <w:r w:rsidRPr="00373E20">
              <w:t xml:space="preserve"> diabetes</w:t>
            </w:r>
            <w:r>
              <w:t xml:space="preserve"> (non-GDM) report</w:t>
            </w:r>
            <w:r w:rsidRPr="00373E20">
              <w:t xml:space="preserve"> by TS alone (n=1,025)</w:t>
            </w:r>
            <w:r>
              <w:t>, which was not used to indicate possible diabetes, since only 3% (36/1,025) reported other markers of diabetes, compared with 73% (18,572/25,383) of those with diabetes diagnoses by TS and NI, and 16% (35/217) of those with NI diagnoses alone.</w:t>
            </w:r>
          </w:p>
          <w:p w14:paraId="4DBF4833" w14:textId="77777777" w:rsidR="00703961" w:rsidRDefault="00703961" w:rsidP="00F770C2">
            <w:pPr>
              <w:rPr>
                <w:color w:val="FF0000"/>
              </w:rPr>
            </w:pPr>
          </w:p>
          <w:p w14:paraId="3E419CDA" w14:textId="77777777" w:rsidR="00703961" w:rsidRPr="00373E20" w:rsidRDefault="00703961" w:rsidP="00F770C2">
            <w:r w:rsidRPr="00373E20">
              <w:t>Presence of diabetes complications was not used to rule in/ out cases, due to low prevalence (0.3%)</w:t>
            </w:r>
            <w:r>
              <w:t>.</w:t>
            </w:r>
          </w:p>
        </w:tc>
      </w:tr>
      <w:tr w:rsidR="00703961" w14:paraId="5E03B369" w14:textId="77777777" w:rsidTr="00F770C2">
        <w:tc>
          <w:tcPr>
            <w:tcW w:w="0" w:type="auto"/>
          </w:tcPr>
          <w:p w14:paraId="53D25E1B" w14:textId="03879F81" w:rsidR="00703961" w:rsidRPr="00C80FC2" w:rsidRDefault="00703961" w:rsidP="00F770C2">
            <w:pPr>
              <w:rPr>
                <w:b/>
              </w:rPr>
            </w:pPr>
            <w:r w:rsidRPr="00C80FC2">
              <w:rPr>
                <w:b/>
              </w:rPr>
              <w:t>1.</w:t>
            </w:r>
            <w:r w:rsidR="00B353BC">
              <w:rPr>
                <w:b/>
              </w:rPr>
              <w:t>2</w:t>
            </w:r>
          </w:p>
        </w:tc>
        <w:tc>
          <w:tcPr>
            <w:tcW w:w="0" w:type="auto"/>
          </w:tcPr>
          <w:p w14:paraId="48710AD3" w14:textId="77777777" w:rsidR="00703961" w:rsidRDefault="00703961" w:rsidP="00F770C2">
            <w:r>
              <w:t>Identifies possible GDM only</w:t>
            </w:r>
          </w:p>
        </w:tc>
        <w:tc>
          <w:tcPr>
            <w:tcW w:w="0" w:type="auto"/>
          </w:tcPr>
          <w:p w14:paraId="33B91266" w14:textId="77777777" w:rsidR="00703961" w:rsidRPr="00FB7E18" w:rsidRDefault="00703961" w:rsidP="00F770C2">
            <w:pPr>
              <w:ind w:left="60"/>
            </w:pPr>
            <w:r w:rsidRPr="007E7224">
              <w:t xml:space="preserve">Based on TS or NI self-report of GDM. </w:t>
            </w:r>
            <w:r>
              <w:t>Participants</w:t>
            </w:r>
            <w:r w:rsidRPr="007E7224">
              <w:t xml:space="preserve"> excluded at this step did not have any evidence of current diabetes</w:t>
            </w:r>
            <w:r>
              <w:t xml:space="preserve"> (</w:t>
            </w:r>
            <w:r w:rsidRPr="007E7224">
              <w:t>medication or self-report of other types of diabetes</w:t>
            </w:r>
            <w:r>
              <w:t>), i.e.</w:t>
            </w:r>
            <w:r w:rsidRPr="007E7224">
              <w:t xml:space="preserve"> </w:t>
            </w:r>
            <w:r>
              <w:t>those</w:t>
            </w:r>
            <w:r w:rsidRPr="007E7224">
              <w:t xml:space="preserve"> who may</w:t>
            </w:r>
            <w:r>
              <w:t xml:space="preserve"> have had pre -existing diabetes</w:t>
            </w:r>
            <w:r w:rsidRPr="007E7224">
              <w:t xml:space="preserve"> </w:t>
            </w:r>
            <w:r>
              <w:t>or</w:t>
            </w:r>
            <w:r w:rsidRPr="007E7224">
              <w:t xml:space="preserve"> developed type </w:t>
            </w:r>
            <w:r>
              <w:t xml:space="preserve">1 or </w:t>
            </w:r>
            <w:r w:rsidRPr="007E7224">
              <w:t>2 diabetes subsequent to GDM continue in the algorithm.</w:t>
            </w:r>
            <w:r>
              <w:t xml:space="preserve"> This included a total of 338/1072 (32%) women reporting GDM by TS and 41/23</w:t>
            </w:r>
            <w:bookmarkStart w:id="0" w:name="_GoBack"/>
            <w:bookmarkEnd w:id="0"/>
            <w:r>
              <w:t xml:space="preserve">4 (18%) by NI with evidence of current diabetes who were not currently pregnant. In addition, 22 women who reported age at GDM diagnosis of ≥50 years also continued in the algorithm (i.e. were </w:t>
            </w:r>
            <w:r w:rsidRPr="00E20483">
              <w:rPr>
                <w:b/>
              </w:rPr>
              <w:t>not</w:t>
            </w:r>
            <w:r>
              <w:t xml:space="preserve"> assigned possible GDM status).</w:t>
            </w:r>
          </w:p>
        </w:tc>
      </w:tr>
      <w:tr w:rsidR="00703961" w14:paraId="23ADC9C2" w14:textId="77777777" w:rsidTr="00F770C2">
        <w:tc>
          <w:tcPr>
            <w:tcW w:w="0" w:type="auto"/>
          </w:tcPr>
          <w:p w14:paraId="4F06B39C" w14:textId="04FEBA1C" w:rsidR="00703961" w:rsidRPr="00C80FC2" w:rsidRDefault="00703961" w:rsidP="00F770C2">
            <w:pPr>
              <w:rPr>
                <w:b/>
              </w:rPr>
            </w:pPr>
            <w:r w:rsidRPr="00C80FC2">
              <w:rPr>
                <w:b/>
              </w:rPr>
              <w:t>1.</w:t>
            </w:r>
            <w:r w:rsidR="00B353BC">
              <w:rPr>
                <w:b/>
              </w:rPr>
              <w:t>3</w:t>
            </w:r>
          </w:p>
        </w:tc>
        <w:tc>
          <w:tcPr>
            <w:tcW w:w="0" w:type="auto"/>
          </w:tcPr>
          <w:p w14:paraId="4F255A29" w14:textId="77777777" w:rsidR="00703961" w:rsidRDefault="00703961" w:rsidP="00F770C2">
            <w:r>
              <w:t>Identifies possible type 2 diabetes from use of non-metformin oral anti-diabetic drugs</w:t>
            </w:r>
          </w:p>
        </w:tc>
        <w:tc>
          <w:tcPr>
            <w:tcW w:w="0" w:type="auto"/>
          </w:tcPr>
          <w:p w14:paraId="6700C5B6" w14:textId="77777777" w:rsidR="00703961" w:rsidRPr="00C479C9" w:rsidRDefault="00703961" w:rsidP="00F770C2">
            <w:pPr>
              <w:ind w:left="60"/>
              <w:rPr>
                <w:color w:val="FF0000"/>
              </w:rPr>
            </w:pPr>
            <w:r w:rsidRPr="007E7224">
              <w:t>Use of this type of medication likely to be exclusive to type 2 diabetes.</w:t>
            </w:r>
          </w:p>
        </w:tc>
      </w:tr>
      <w:tr w:rsidR="00703961" w14:paraId="0ADE15BA" w14:textId="77777777" w:rsidTr="00F770C2">
        <w:tc>
          <w:tcPr>
            <w:tcW w:w="0" w:type="auto"/>
          </w:tcPr>
          <w:p w14:paraId="5D21EDDE" w14:textId="3B367806" w:rsidR="00703961" w:rsidRPr="00C80FC2" w:rsidRDefault="00703961" w:rsidP="00F770C2">
            <w:pPr>
              <w:rPr>
                <w:b/>
              </w:rPr>
            </w:pPr>
            <w:r w:rsidRPr="00C80FC2">
              <w:rPr>
                <w:b/>
              </w:rPr>
              <w:t>1.</w:t>
            </w:r>
            <w:r w:rsidR="00B353BC">
              <w:rPr>
                <w:b/>
              </w:rPr>
              <w:t>4</w:t>
            </w:r>
          </w:p>
        </w:tc>
        <w:tc>
          <w:tcPr>
            <w:tcW w:w="0" w:type="auto"/>
          </w:tcPr>
          <w:p w14:paraId="79AF480B" w14:textId="77777777" w:rsidR="00703961" w:rsidRDefault="00703961" w:rsidP="00F770C2">
            <w:r>
              <w:t>Identifies possible type 2 diabetes from ethnicity-specific age at diagnosis</w:t>
            </w:r>
          </w:p>
        </w:tc>
        <w:tc>
          <w:tcPr>
            <w:tcW w:w="0" w:type="auto"/>
          </w:tcPr>
          <w:p w14:paraId="466AD0EE" w14:textId="6AE393FC" w:rsidR="00703961" w:rsidRPr="00C479C9" w:rsidRDefault="00703961" w:rsidP="00703961">
            <w:pPr>
              <w:ind w:left="60"/>
              <w:rPr>
                <w:color w:val="FF0000"/>
              </w:rPr>
            </w:pPr>
            <w:r>
              <w:t xml:space="preserve">Age of onset of diabetes is younger in the UK’s largest ethnic minority groups; South Asians and African Caribbeans. We applied a priori-determined ethnic-specific cut-points to define older vs. younger age at diagnosis – indicating higher likelihood of type 2 vs. type 1 diagnoses respectively. Age of onset was </w:t>
            </w:r>
            <w:r w:rsidRPr="00075DD8">
              <w:rPr>
                <w:kern w:val="24"/>
                <w:szCs w:val="20"/>
              </w:rPr>
              <w:t>taken from NI data i</w:t>
            </w:r>
            <w:r>
              <w:rPr>
                <w:kern w:val="24"/>
                <w:szCs w:val="20"/>
              </w:rPr>
              <w:t xml:space="preserve">f NI and TS data were available, and </w:t>
            </w:r>
            <w:r w:rsidRPr="00075DD8">
              <w:rPr>
                <w:kern w:val="24"/>
                <w:szCs w:val="20"/>
              </w:rPr>
              <w:t xml:space="preserve">taken from TS data if NI data </w:t>
            </w:r>
            <w:r>
              <w:rPr>
                <w:kern w:val="24"/>
                <w:szCs w:val="20"/>
              </w:rPr>
              <w:t xml:space="preserve">were </w:t>
            </w:r>
            <w:r w:rsidRPr="00075DD8">
              <w:rPr>
                <w:kern w:val="24"/>
                <w:szCs w:val="20"/>
              </w:rPr>
              <w:t>not available, 1243</w:t>
            </w:r>
            <w:r>
              <w:rPr>
                <w:kern w:val="24"/>
                <w:szCs w:val="20"/>
              </w:rPr>
              <w:t xml:space="preserve"> participants</w:t>
            </w:r>
            <w:r w:rsidRPr="00075DD8">
              <w:rPr>
                <w:kern w:val="24"/>
                <w:szCs w:val="20"/>
              </w:rPr>
              <w:t xml:space="preserve"> with no age data </w:t>
            </w:r>
            <w:r>
              <w:rPr>
                <w:kern w:val="24"/>
                <w:szCs w:val="20"/>
              </w:rPr>
              <w:t>went</w:t>
            </w:r>
            <w:r w:rsidRPr="00075DD8">
              <w:rPr>
                <w:kern w:val="24"/>
                <w:szCs w:val="20"/>
              </w:rPr>
              <w:t xml:space="preserve"> into </w:t>
            </w:r>
            <w:r>
              <w:rPr>
                <w:kern w:val="24"/>
                <w:szCs w:val="20"/>
              </w:rPr>
              <w:t>the "possible type 2 diabetes"</w:t>
            </w:r>
            <w:r w:rsidRPr="00075DD8">
              <w:rPr>
                <w:kern w:val="24"/>
                <w:szCs w:val="20"/>
              </w:rPr>
              <w:t xml:space="preserve"> arm</w:t>
            </w:r>
            <w:r>
              <w:rPr>
                <w:kern w:val="24"/>
                <w:szCs w:val="20"/>
              </w:rPr>
              <w:t>.</w:t>
            </w:r>
          </w:p>
        </w:tc>
      </w:tr>
      <w:tr w:rsidR="00703961" w14:paraId="55808F02" w14:textId="77777777" w:rsidTr="00F770C2">
        <w:tc>
          <w:tcPr>
            <w:tcW w:w="0" w:type="auto"/>
          </w:tcPr>
          <w:p w14:paraId="04F43D31" w14:textId="33A74C55" w:rsidR="00703961" w:rsidRPr="00C80FC2" w:rsidRDefault="00703961" w:rsidP="00F770C2">
            <w:pPr>
              <w:rPr>
                <w:b/>
              </w:rPr>
            </w:pPr>
            <w:r w:rsidRPr="00C80FC2">
              <w:rPr>
                <w:b/>
              </w:rPr>
              <w:t>1.</w:t>
            </w:r>
            <w:r w:rsidR="00B353BC">
              <w:rPr>
                <w:b/>
              </w:rPr>
              <w:t>5</w:t>
            </w:r>
          </w:p>
        </w:tc>
        <w:tc>
          <w:tcPr>
            <w:tcW w:w="0" w:type="auto"/>
          </w:tcPr>
          <w:p w14:paraId="28DC3241" w14:textId="77777777" w:rsidR="00703961" w:rsidRDefault="00703961" w:rsidP="00F770C2">
            <w:r>
              <w:t xml:space="preserve">Identifies possible type 1 diabetes from either insulin use </w:t>
            </w:r>
            <w:r>
              <w:lastRenderedPageBreak/>
              <w:t>(TS or NI), insulin commencement within 1 year of diagnosis, or self-report of type 1 diabetes (NI)</w:t>
            </w:r>
          </w:p>
        </w:tc>
        <w:tc>
          <w:tcPr>
            <w:tcW w:w="0" w:type="auto"/>
          </w:tcPr>
          <w:p w14:paraId="2280BCF5" w14:textId="77777777" w:rsidR="00703961" w:rsidRPr="001A6393" w:rsidRDefault="00703961" w:rsidP="00F770C2">
            <w:r w:rsidRPr="001A6393">
              <w:lastRenderedPageBreak/>
              <w:t xml:space="preserve">Almost all participants with type 1 diabetes will be on insulin; coupled with a lack of non-metformin </w:t>
            </w:r>
            <w:r w:rsidRPr="001A6393">
              <w:lastRenderedPageBreak/>
              <w:t>oral anti-diabetic drugs and a younger age at onset (see rules 1.4 and 1.5), specificity for type 1 diabetes is increased.</w:t>
            </w:r>
          </w:p>
          <w:p w14:paraId="3FDDD893" w14:textId="77777777" w:rsidR="00703961" w:rsidRPr="001A6393" w:rsidRDefault="00703961" w:rsidP="00F770C2"/>
          <w:p w14:paraId="3CCA4383" w14:textId="28FC7DCC" w:rsidR="00703961" w:rsidRPr="001A6393" w:rsidRDefault="00703961" w:rsidP="00F770C2">
            <w:r w:rsidRPr="001A6393">
              <w:t xml:space="preserve">Immediate commencement of insulin after diagnosis is obligatory </w:t>
            </w:r>
            <w:r>
              <w:t xml:space="preserve">for </w:t>
            </w:r>
            <w:r w:rsidRPr="001A6393">
              <w:t xml:space="preserve">type 1diabetes. We included </w:t>
            </w:r>
            <w:r>
              <w:t>the</w:t>
            </w:r>
            <w:r w:rsidRPr="001A6393">
              <w:t xml:space="preserve"> criterion</w:t>
            </w:r>
            <w:r>
              <w:t xml:space="preserve"> of commencement of insulin at less than 12 months post-diagnosis</w:t>
            </w:r>
            <w:r w:rsidRPr="001A6393">
              <w:t xml:space="preserve"> in addition to current insulin use as 96 people entering rule 1.6 reported insulin use at less than 12 months but no current insulin. These people are then carried forward to the next flowchart for </w:t>
            </w:r>
            <w:r w:rsidR="004A0700">
              <w:t xml:space="preserve">finalising </w:t>
            </w:r>
            <w:r w:rsidRPr="001A6393">
              <w:t>type 1</w:t>
            </w:r>
            <w:r>
              <w:t xml:space="preserve"> </w:t>
            </w:r>
            <w:r w:rsidRPr="001A6393">
              <w:t>diabetes</w:t>
            </w:r>
            <w:r w:rsidR="004A0700">
              <w:t xml:space="preserve"> status</w:t>
            </w:r>
            <w:r w:rsidRPr="001A6393">
              <w:t>, and are labelled as "possible type 1</w:t>
            </w:r>
            <w:r>
              <w:t xml:space="preserve"> </w:t>
            </w:r>
            <w:r w:rsidRPr="001A6393">
              <w:t>diabetes". Otherwise they would be excluded, but it is possible to have been on insulin initially and not currently, e.g. due to pancreatic transplant/ incorrect diagnosis.</w:t>
            </w:r>
          </w:p>
          <w:p w14:paraId="368CD6B3" w14:textId="77777777" w:rsidR="00703961" w:rsidRPr="001A6393" w:rsidRDefault="00703961" w:rsidP="00F770C2"/>
          <w:p w14:paraId="54157043" w14:textId="77777777" w:rsidR="00703961" w:rsidRPr="00C479C9" w:rsidRDefault="00703961" w:rsidP="00F770C2">
            <w:pPr>
              <w:rPr>
                <w:color w:val="FF0000"/>
              </w:rPr>
            </w:pPr>
            <w:r>
              <w:t>Characteristics of participants self-reporting (NI) type 1 diabetes at this stage in the algorithm appear to be congruent with the diagnosis – their average age at diagnosis was 21±9 years, 98% (TS, 273/278) or 95% (NI, 265/278) were on current insulin, only 10% (30/278) were on metformin and 92% (194/211) started insulin within 1 year of diagnosis. However, due to the low number of participants specifying this diagnosis at NI overall 0.09% (428/502,665), we sought other evidence of type 1 diabetes in addition. NB: there was no option to specify diabetes type on TS self-report.</w:t>
            </w:r>
          </w:p>
        </w:tc>
      </w:tr>
      <w:tr w:rsidR="00703961" w14:paraId="2086508A" w14:textId="77777777" w:rsidTr="00F770C2">
        <w:tc>
          <w:tcPr>
            <w:tcW w:w="0" w:type="auto"/>
            <w:gridSpan w:val="3"/>
          </w:tcPr>
          <w:p w14:paraId="3FFB234E" w14:textId="77777777" w:rsidR="00703961" w:rsidRPr="00C479C9" w:rsidRDefault="00703961" w:rsidP="00F770C2">
            <w:pPr>
              <w:rPr>
                <w:b/>
                <w:color w:val="FF0000"/>
              </w:rPr>
            </w:pPr>
            <w:r w:rsidRPr="00C479C9">
              <w:rPr>
                <w:b/>
              </w:rPr>
              <w:lastRenderedPageBreak/>
              <w:t>Prevalence algorithm 2</w:t>
            </w:r>
            <w:r>
              <w:rPr>
                <w:b/>
              </w:rPr>
              <w:t>. Interrogates type 1 diabetes categorisation and distinguishes probable from possible</w:t>
            </w:r>
          </w:p>
        </w:tc>
      </w:tr>
      <w:tr w:rsidR="00703961" w14:paraId="75151614" w14:textId="77777777" w:rsidTr="00F770C2">
        <w:tc>
          <w:tcPr>
            <w:tcW w:w="0" w:type="auto"/>
          </w:tcPr>
          <w:p w14:paraId="5BCC7282" w14:textId="77777777" w:rsidR="00703961" w:rsidRPr="00C80FC2" w:rsidRDefault="00703961" w:rsidP="00F770C2">
            <w:pPr>
              <w:rPr>
                <w:b/>
              </w:rPr>
            </w:pPr>
            <w:r w:rsidRPr="00C80FC2">
              <w:rPr>
                <w:b/>
              </w:rPr>
              <w:t>2.1</w:t>
            </w:r>
          </w:p>
        </w:tc>
        <w:tc>
          <w:tcPr>
            <w:tcW w:w="0" w:type="auto"/>
          </w:tcPr>
          <w:p w14:paraId="4D51BDCB" w14:textId="77777777" w:rsidR="00703961" w:rsidRDefault="00703961" w:rsidP="00F770C2">
            <w:r>
              <w:t>Identifies probable type 1 diabetes from self-report of type 1 diabetes, nurse interview</w:t>
            </w:r>
          </w:p>
        </w:tc>
        <w:tc>
          <w:tcPr>
            <w:tcW w:w="0" w:type="auto"/>
          </w:tcPr>
          <w:p w14:paraId="53EAE30C" w14:textId="77777777" w:rsidR="00703961" w:rsidRPr="00C479C9" w:rsidRDefault="00703961" w:rsidP="00F770C2">
            <w:pPr>
              <w:rPr>
                <w:color w:val="FF0000"/>
              </w:rPr>
            </w:pPr>
            <w:r>
              <w:t>Deemed to indicate probable type 1 diabetes – see above. NB - 10 participants co-reported type 1 and type 2 diabetes at NI, these were re-classified as non-specific diabetes.</w:t>
            </w:r>
          </w:p>
        </w:tc>
      </w:tr>
      <w:tr w:rsidR="00703961" w14:paraId="35C7282C" w14:textId="77777777" w:rsidTr="00F770C2">
        <w:tc>
          <w:tcPr>
            <w:tcW w:w="0" w:type="auto"/>
          </w:tcPr>
          <w:p w14:paraId="44FCEB7C" w14:textId="77777777" w:rsidR="00703961" w:rsidRPr="00C80FC2" w:rsidRDefault="00703961" w:rsidP="00F770C2">
            <w:pPr>
              <w:rPr>
                <w:b/>
              </w:rPr>
            </w:pPr>
            <w:r w:rsidRPr="00C80FC2">
              <w:rPr>
                <w:b/>
              </w:rPr>
              <w:t>2.2</w:t>
            </w:r>
          </w:p>
        </w:tc>
        <w:tc>
          <w:tcPr>
            <w:tcW w:w="0" w:type="auto"/>
          </w:tcPr>
          <w:p w14:paraId="35E2D561" w14:textId="51D8FE50" w:rsidR="00703961" w:rsidRDefault="00703961" w:rsidP="000F0AEA">
            <w:r>
              <w:t>Identifies probable type 1 diabetes from insulin commencement within 1 year of diagnosis</w:t>
            </w:r>
            <w:r w:rsidR="000F0AEA">
              <w:t xml:space="preserve"> and current insulin use.</w:t>
            </w:r>
          </w:p>
        </w:tc>
        <w:tc>
          <w:tcPr>
            <w:tcW w:w="0" w:type="auto"/>
          </w:tcPr>
          <w:p w14:paraId="5A20C234" w14:textId="6C7A826B" w:rsidR="00703961" w:rsidRPr="009440E5" w:rsidRDefault="00C133F2" w:rsidP="00E83428">
            <w:r>
              <w:t xml:space="preserve">Of those 1441 entering this algorithm without nurse report of type 1 diabetes, 1121 (78%) received insulin within a year of diagnosis, 1394 (97%) self reported current insulin use on touchscreen, and 1373 (95%) reported current insulin use to the nurse.  </w:t>
            </w:r>
            <w:r w:rsidR="00DB4345">
              <w:t xml:space="preserve">Metformin use was reported in 52% of those with “possible” </w:t>
            </w:r>
            <w:r w:rsidR="00E83428">
              <w:t xml:space="preserve">versus </w:t>
            </w:r>
            <w:r w:rsidR="00DB4345">
              <w:t xml:space="preserve">11% of those with “probable” type 1 diabetes.  Similarly, proportions </w:t>
            </w:r>
            <w:r w:rsidR="00434815" w:rsidRPr="00E83428">
              <w:t xml:space="preserve">co-reporting </w:t>
            </w:r>
            <w:r w:rsidR="00703961" w:rsidRPr="00E83428">
              <w:t>type 2 diabetes</w:t>
            </w:r>
            <w:r w:rsidR="00E83428" w:rsidRPr="00E83428">
              <w:t xml:space="preserve"> were 9% in people with “possible” </w:t>
            </w:r>
            <w:r w:rsidR="00E83428">
              <w:t xml:space="preserve">versus </w:t>
            </w:r>
            <w:r w:rsidR="00E83428" w:rsidRPr="00E83428">
              <w:t>0.5% in people with “probable” type 1 diabetes</w:t>
            </w:r>
            <w:r w:rsidR="00703961" w:rsidRPr="00E83428">
              <w:t>.</w:t>
            </w:r>
            <w:r w:rsidR="00703961">
              <w:t xml:space="preserve"> </w:t>
            </w:r>
          </w:p>
        </w:tc>
      </w:tr>
      <w:tr w:rsidR="00703961" w14:paraId="6C08DAEB" w14:textId="77777777" w:rsidTr="00F770C2">
        <w:tc>
          <w:tcPr>
            <w:tcW w:w="0" w:type="auto"/>
            <w:gridSpan w:val="3"/>
          </w:tcPr>
          <w:p w14:paraId="345CED50" w14:textId="77777777" w:rsidR="00703961" w:rsidRPr="00C479C9" w:rsidRDefault="00703961" w:rsidP="00F770C2">
            <w:pPr>
              <w:rPr>
                <w:b/>
                <w:color w:val="FF0000"/>
              </w:rPr>
            </w:pPr>
            <w:r w:rsidRPr="00C479C9">
              <w:rPr>
                <w:b/>
              </w:rPr>
              <w:t>Prevalence algorithm 3</w:t>
            </w:r>
            <w:r>
              <w:rPr>
                <w:b/>
              </w:rPr>
              <w:t>. Interrogates type 2 diabetes categorisation and distinguishes probable from possible</w:t>
            </w:r>
          </w:p>
        </w:tc>
      </w:tr>
      <w:tr w:rsidR="00703961" w14:paraId="21275FC1" w14:textId="77777777" w:rsidTr="00F770C2">
        <w:tc>
          <w:tcPr>
            <w:tcW w:w="0" w:type="auto"/>
          </w:tcPr>
          <w:p w14:paraId="2AC366CD" w14:textId="77777777" w:rsidR="00703961" w:rsidRPr="00C80FC2" w:rsidRDefault="00703961" w:rsidP="00F770C2">
            <w:pPr>
              <w:rPr>
                <w:b/>
              </w:rPr>
            </w:pPr>
            <w:r w:rsidRPr="00C80FC2">
              <w:rPr>
                <w:b/>
              </w:rPr>
              <w:t>3.1</w:t>
            </w:r>
          </w:p>
        </w:tc>
        <w:tc>
          <w:tcPr>
            <w:tcW w:w="0" w:type="auto"/>
          </w:tcPr>
          <w:p w14:paraId="254BA303" w14:textId="77777777" w:rsidR="00703961" w:rsidRDefault="00703961" w:rsidP="00F770C2">
            <w:r>
              <w:t xml:space="preserve">Identifies participants whose </w:t>
            </w:r>
            <w:r>
              <w:lastRenderedPageBreak/>
              <w:t>only diabetic medication is metformin</w:t>
            </w:r>
          </w:p>
        </w:tc>
        <w:tc>
          <w:tcPr>
            <w:tcW w:w="0" w:type="auto"/>
          </w:tcPr>
          <w:p w14:paraId="61B96A14" w14:textId="77777777" w:rsidR="00703961" w:rsidRPr="0055627A" w:rsidRDefault="00703961" w:rsidP="00F770C2">
            <w:r w:rsidRPr="0055627A">
              <w:lastRenderedPageBreak/>
              <w:t>Metformin can be used to treat</w:t>
            </w:r>
            <w:r>
              <w:t xml:space="preserve"> conditions other </w:t>
            </w:r>
            <w:r>
              <w:lastRenderedPageBreak/>
              <w:t>than diabetes, e.g. polycystic ovarian syndrome, therefore treatment with metformin only is less specific for diabetes than if used in conjunction with other anti-diabetic drugs.</w:t>
            </w:r>
          </w:p>
        </w:tc>
      </w:tr>
      <w:tr w:rsidR="00703961" w14:paraId="1AF4957E" w14:textId="77777777" w:rsidTr="00F770C2">
        <w:tc>
          <w:tcPr>
            <w:tcW w:w="0" w:type="auto"/>
          </w:tcPr>
          <w:p w14:paraId="7E912475" w14:textId="77777777" w:rsidR="00703961" w:rsidRPr="00C80FC2" w:rsidRDefault="00703961" w:rsidP="00F770C2">
            <w:pPr>
              <w:rPr>
                <w:b/>
              </w:rPr>
            </w:pPr>
            <w:r w:rsidRPr="00C80FC2">
              <w:rPr>
                <w:b/>
              </w:rPr>
              <w:lastRenderedPageBreak/>
              <w:t>3.2</w:t>
            </w:r>
          </w:p>
        </w:tc>
        <w:tc>
          <w:tcPr>
            <w:tcW w:w="0" w:type="auto"/>
          </w:tcPr>
          <w:p w14:paraId="2130A94C" w14:textId="222D8EF3" w:rsidR="00703961" w:rsidRDefault="00703961" w:rsidP="00703961">
            <w:r>
              <w:t>Identifies participants whose only diabetic medication is metformin but did not report diabetes at nurse interview</w:t>
            </w:r>
          </w:p>
        </w:tc>
        <w:tc>
          <w:tcPr>
            <w:tcW w:w="0" w:type="auto"/>
          </w:tcPr>
          <w:p w14:paraId="62DB87C6" w14:textId="77777777" w:rsidR="00703961" w:rsidRPr="00C479C9" w:rsidRDefault="00703961" w:rsidP="00F770C2">
            <w:pPr>
              <w:rPr>
                <w:color w:val="FF0000"/>
              </w:rPr>
            </w:pPr>
            <w:r w:rsidRPr="0055627A">
              <w:t>With the exception of 12/169 (7%) who reported diabetes on TS, no other diabetes self-report data was present for participants who were deemed unlikely to have diabetes at this stage.</w:t>
            </w:r>
          </w:p>
        </w:tc>
      </w:tr>
      <w:tr w:rsidR="00703961" w14:paraId="1CF2C2C7" w14:textId="77777777" w:rsidTr="00F770C2">
        <w:tc>
          <w:tcPr>
            <w:tcW w:w="0" w:type="auto"/>
          </w:tcPr>
          <w:p w14:paraId="3417BF17" w14:textId="77777777" w:rsidR="00703961" w:rsidRPr="00C80FC2" w:rsidRDefault="00703961" w:rsidP="00F770C2">
            <w:pPr>
              <w:rPr>
                <w:b/>
              </w:rPr>
            </w:pPr>
            <w:r w:rsidRPr="00C80FC2">
              <w:rPr>
                <w:b/>
              </w:rPr>
              <w:t>3.3</w:t>
            </w:r>
          </w:p>
        </w:tc>
        <w:tc>
          <w:tcPr>
            <w:tcW w:w="0" w:type="auto"/>
          </w:tcPr>
          <w:p w14:paraId="0E0AB7AA" w14:textId="77777777" w:rsidR="00703961" w:rsidRDefault="00703961" w:rsidP="00F770C2">
            <w:r>
              <w:t>Identifies participants who are on oral anti-diabetic agents other than metformin (i.e. likely to be specific for type 2 diabetes)</w:t>
            </w:r>
          </w:p>
        </w:tc>
        <w:tc>
          <w:tcPr>
            <w:tcW w:w="0" w:type="auto"/>
          </w:tcPr>
          <w:p w14:paraId="4C34B439" w14:textId="1CE61523" w:rsidR="00703961" w:rsidRDefault="00703961" w:rsidP="00703961">
            <w:r>
              <w:t>Participants assigned "probable type 2 diabetes" status at this stage were more likely than those who continued in the algorithm to have developed diabetes at an older age (55±9 vs. 52±9 years, p&lt;0.001) and to be taking metformin concurrently (79%, 5404/6809 vs. 51%, 8750/17152, p&lt;0.001), and less likely to be on insulin (8%, 546/6809 vs. 51%, 8750/17152, p&lt;0.001).</w:t>
            </w:r>
          </w:p>
        </w:tc>
      </w:tr>
      <w:tr w:rsidR="00703961" w14:paraId="6A5995A8" w14:textId="77777777" w:rsidTr="00F770C2">
        <w:tc>
          <w:tcPr>
            <w:tcW w:w="0" w:type="auto"/>
          </w:tcPr>
          <w:p w14:paraId="28271E7E" w14:textId="77777777" w:rsidR="00703961" w:rsidRPr="00C80FC2" w:rsidRDefault="00703961" w:rsidP="00F770C2">
            <w:pPr>
              <w:rPr>
                <w:b/>
              </w:rPr>
            </w:pPr>
            <w:r w:rsidRPr="00C80FC2">
              <w:rPr>
                <w:b/>
              </w:rPr>
              <w:t>3.4</w:t>
            </w:r>
          </w:p>
        </w:tc>
        <w:tc>
          <w:tcPr>
            <w:tcW w:w="0" w:type="auto"/>
          </w:tcPr>
          <w:p w14:paraId="7FC98536" w14:textId="77777777" w:rsidR="00703961" w:rsidRDefault="00703961" w:rsidP="00F770C2">
            <w:r>
              <w:t>Identifies participants not on insulin (i.e. unlikely to have type 1 diabetes)</w:t>
            </w:r>
          </w:p>
        </w:tc>
        <w:tc>
          <w:tcPr>
            <w:tcW w:w="0" w:type="auto"/>
          </w:tcPr>
          <w:p w14:paraId="710866B8" w14:textId="6FC7BA0E" w:rsidR="00703961" w:rsidRDefault="00703961" w:rsidP="00703961">
            <w:r>
              <w:t>Participants who were assigned "probable type 2 diabetes" status (i.e. were not receiving insulin) at this stage were more likely than those who continued in the algorithm to have developed diabetes at an older age (56±9 vs. 46±9 years, p&lt;0.001), though rates of metformin use were similar (51%, 6983/13761 vs.  52%, 1767/3391, p=0.2).</w:t>
            </w:r>
          </w:p>
        </w:tc>
      </w:tr>
      <w:tr w:rsidR="00703961" w14:paraId="3F0417BD" w14:textId="77777777" w:rsidTr="00F770C2">
        <w:tc>
          <w:tcPr>
            <w:tcW w:w="0" w:type="auto"/>
          </w:tcPr>
          <w:p w14:paraId="09CF2EC4" w14:textId="77777777" w:rsidR="00703961" w:rsidRPr="00C80FC2" w:rsidRDefault="00703961" w:rsidP="00F770C2">
            <w:pPr>
              <w:rPr>
                <w:b/>
              </w:rPr>
            </w:pPr>
            <w:r w:rsidRPr="00C80FC2">
              <w:rPr>
                <w:b/>
              </w:rPr>
              <w:t>3.5</w:t>
            </w:r>
          </w:p>
        </w:tc>
        <w:tc>
          <w:tcPr>
            <w:tcW w:w="0" w:type="auto"/>
          </w:tcPr>
          <w:p w14:paraId="6C41DBC8" w14:textId="77777777" w:rsidR="00703961" w:rsidRDefault="00703961" w:rsidP="00F770C2">
            <w:r>
              <w:t>Identifies probable type 1 diabetes on the basis of self-report of type 1 diabetes, nurse interview</w:t>
            </w:r>
          </w:p>
        </w:tc>
        <w:tc>
          <w:tcPr>
            <w:tcW w:w="0" w:type="auto"/>
          </w:tcPr>
          <w:p w14:paraId="35998BE8" w14:textId="77777777" w:rsidR="00703961" w:rsidRDefault="00703961" w:rsidP="00F770C2">
            <w:r>
              <w:t>Participants who were assigned "probable type 1 diabetes" status at this stage were more likely than those who were assigned "possible type 2 diabetes" status to have developed diabetes at a younger age (48±8 vs. 50±7 years, p&lt;0.001) and to have commenced insulin at less than one year after diagnosis (72%, n=79/109 vs. 39%, n=1197/3040, p&lt;0.001), and less likely to be taking metformin currently (27%,  n=32/118 vs. 53%, n=1735/3273, p&lt;0.001).</w:t>
            </w:r>
          </w:p>
          <w:p w14:paraId="5E990DAF" w14:textId="77777777" w:rsidR="00703961" w:rsidRDefault="00703961" w:rsidP="00F770C2"/>
          <w:p w14:paraId="30AEDA93" w14:textId="3DC4AAFF" w:rsidR="00703961" w:rsidRDefault="00703961" w:rsidP="00496CE8">
            <w:r>
              <w:t xml:space="preserve">Participants were assigned "possible type 2 diabetes" rather than "probable type 2 diabetes"   status at this stage as insulin use and relatively high rates of commencement of insulin within a year of diagnosis (39%, n=1197/3040) cast </w:t>
            </w:r>
            <w:r w:rsidR="00496CE8">
              <w:t>doubt</w:t>
            </w:r>
            <w:r>
              <w:t xml:space="preserve"> over a type 2 diagnosis.</w:t>
            </w:r>
          </w:p>
        </w:tc>
      </w:tr>
    </w:tbl>
    <w:p w14:paraId="33817532" w14:textId="14735435" w:rsidR="004325A8" w:rsidRDefault="004325A8" w:rsidP="00496CE8"/>
    <w:sectPr w:rsidR="004325A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816A23" w14:textId="77777777" w:rsidR="005175B3" w:rsidRDefault="005175B3" w:rsidP="00924883">
      <w:pPr>
        <w:spacing w:after="0" w:line="240" w:lineRule="auto"/>
      </w:pPr>
      <w:r>
        <w:separator/>
      </w:r>
    </w:p>
  </w:endnote>
  <w:endnote w:type="continuationSeparator" w:id="0">
    <w:p w14:paraId="2F0E3E20" w14:textId="77777777" w:rsidR="005175B3" w:rsidRDefault="005175B3" w:rsidP="00924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3093710"/>
      <w:docPartObj>
        <w:docPartGallery w:val="Page Numbers (Bottom of Page)"/>
        <w:docPartUnique/>
      </w:docPartObj>
    </w:sdtPr>
    <w:sdtEndPr>
      <w:rPr>
        <w:noProof/>
      </w:rPr>
    </w:sdtEndPr>
    <w:sdtContent>
      <w:p w14:paraId="470FE1CB" w14:textId="77777777" w:rsidR="005175B3" w:rsidRDefault="005175B3">
        <w:pPr>
          <w:pStyle w:val="Footer"/>
          <w:jc w:val="center"/>
        </w:pPr>
        <w:r>
          <w:fldChar w:fldCharType="begin"/>
        </w:r>
        <w:r>
          <w:instrText xml:space="preserve"> PAGE   \* MERGEFORMAT </w:instrText>
        </w:r>
        <w:r>
          <w:fldChar w:fldCharType="separate"/>
        </w:r>
        <w:r w:rsidR="00043960">
          <w:rPr>
            <w:noProof/>
          </w:rPr>
          <w:t>2</w:t>
        </w:r>
        <w:r>
          <w:rPr>
            <w:noProof/>
          </w:rPr>
          <w:fldChar w:fldCharType="end"/>
        </w:r>
      </w:p>
    </w:sdtContent>
  </w:sdt>
  <w:p w14:paraId="4755F386" w14:textId="77777777" w:rsidR="005175B3" w:rsidRDefault="005175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AF261D" w14:textId="77777777" w:rsidR="005175B3" w:rsidRDefault="005175B3" w:rsidP="00924883">
      <w:pPr>
        <w:spacing w:after="0" w:line="240" w:lineRule="auto"/>
      </w:pPr>
      <w:r>
        <w:separator/>
      </w:r>
    </w:p>
  </w:footnote>
  <w:footnote w:type="continuationSeparator" w:id="0">
    <w:p w14:paraId="5D7AD972" w14:textId="77777777" w:rsidR="005175B3" w:rsidRDefault="005175B3" w:rsidP="009248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F58E8"/>
    <w:multiLevelType w:val="hybridMultilevel"/>
    <w:tmpl w:val="1040DFC8"/>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B223E6E"/>
    <w:multiLevelType w:val="hybridMultilevel"/>
    <w:tmpl w:val="72E2B74A"/>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DE4653C"/>
    <w:multiLevelType w:val="hybridMultilevel"/>
    <w:tmpl w:val="DCB0FCC0"/>
    <w:lvl w:ilvl="0" w:tplc="D4CE5FCA">
      <w:start w:val="1"/>
      <w:numFmt w:val="bullet"/>
      <w:lvlText w:val="-"/>
      <w:lvlJc w:val="left"/>
      <w:pPr>
        <w:tabs>
          <w:tab w:val="num" w:pos="720"/>
        </w:tabs>
        <w:ind w:left="720" w:hanging="360"/>
      </w:pPr>
      <w:rPr>
        <w:rFonts w:ascii="Times New Roman" w:hAnsi="Times New Roman" w:hint="default"/>
      </w:rPr>
    </w:lvl>
    <w:lvl w:ilvl="1" w:tplc="355EB97C" w:tentative="1">
      <w:start w:val="1"/>
      <w:numFmt w:val="bullet"/>
      <w:lvlText w:val="-"/>
      <w:lvlJc w:val="left"/>
      <w:pPr>
        <w:tabs>
          <w:tab w:val="num" w:pos="1440"/>
        </w:tabs>
        <w:ind w:left="1440" w:hanging="360"/>
      </w:pPr>
      <w:rPr>
        <w:rFonts w:ascii="Times New Roman" w:hAnsi="Times New Roman" w:hint="default"/>
      </w:rPr>
    </w:lvl>
    <w:lvl w:ilvl="2" w:tplc="69AEA06E" w:tentative="1">
      <w:start w:val="1"/>
      <w:numFmt w:val="bullet"/>
      <w:lvlText w:val="-"/>
      <w:lvlJc w:val="left"/>
      <w:pPr>
        <w:tabs>
          <w:tab w:val="num" w:pos="2160"/>
        </w:tabs>
        <w:ind w:left="2160" w:hanging="360"/>
      </w:pPr>
      <w:rPr>
        <w:rFonts w:ascii="Times New Roman" w:hAnsi="Times New Roman" w:hint="default"/>
      </w:rPr>
    </w:lvl>
    <w:lvl w:ilvl="3" w:tplc="3AD4465A" w:tentative="1">
      <w:start w:val="1"/>
      <w:numFmt w:val="bullet"/>
      <w:lvlText w:val="-"/>
      <w:lvlJc w:val="left"/>
      <w:pPr>
        <w:tabs>
          <w:tab w:val="num" w:pos="2880"/>
        </w:tabs>
        <w:ind w:left="2880" w:hanging="360"/>
      </w:pPr>
      <w:rPr>
        <w:rFonts w:ascii="Times New Roman" w:hAnsi="Times New Roman" w:hint="default"/>
      </w:rPr>
    </w:lvl>
    <w:lvl w:ilvl="4" w:tplc="756C11DE" w:tentative="1">
      <w:start w:val="1"/>
      <w:numFmt w:val="bullet"/>
      <w:lvlText w:val="-"/>
      <w:lvlJc w:val="left"/>
      <w:pPr>
        <w:tabs>
          <w:tab w:val="num" w:pos="3600"/>
        </w:tabs>
        <w:ind w:left="3600" w:hanging="360"/>
      </w:pPr>
      <w:rPr>
        <w:rFonts w:ascii="Times New Roman" w:hAnsi="Times New Roman" w:hint="default"/>
      </w:rPr>
    </w:lvl>
    <w:lvl w:ilvl="5" w:tplc="E36071D6" w:tentative="1">
      <w:start w:val="1"/>
      <w:numFmt w:val="bullet"/>
      <w:lvlText w:val="-"/>
      <w:lvlJc w:val="left"/>
      <w:pPr>
        <w:tabs>
          <w:tab w:val="num" w:pos="4320"/>
        </w:tabs>
        <w:ind w:left="4320" w:hanging="360"/>
      </w:pPr>
      <w:rPr>
        <w:rFonts w:ascii="Times New Roman" w:hAnsi="Times New Roman" w:hint="default"/>
      </w:rPr>
    </w:lvl>
    <w:lvl w:ilvl="6" w:tplc="7A72E662" w:tentative="1">
      <w:start w:val="1"/>
      <w:numFmt w:val="bullet"/>
      <w:lvlText w:val="-"/>
      <w:lvlJc w:val="left"/>
      <w:pPr>
        <w:tabs>
          <w:tab w:val="num" w:pos="5040"/>
        </w:tabs>
        <w:ind w:left="5040" w:hanging="360"/>
      </w:pPr>
      <w:rPr>
        <w:rFonts w:ascii="Times New Roman" w:hAnsi="Times New Roman" w:hint="default"/>
      </w:rPr>
    </w:lvl>
    <w:lvl w:ilvl="7" w:tplc="D438FB22" w:tentative="1">
      <w:start w:val="1"/>
      <w:numFmt w:val="bullet"/>
      <w:lvlText w:val="-"/>
      <w:lvlJc w:val="left"/>
      <w:pPr>
        <w:tabs>
          <w:tab w:val="num" w:pos="5760"/>
        </w:tabs>
        <w:ind w:left="5760" w:hanging="360"/>
      </w:pPr>
      <w:rPr>
        <w:rFonts w:ascii="Times New Roman" w:hAnsi="Times New Roman" w:hint="default"/>
      </w:rPr>
    </w:lvl>
    <w:lvl w:ilvl="8" w:tplc="09FC8AD4" w:tentative="1">
      <w:start w:val="1"/>
      <w:numFmt w:val="bullet"/>
      <w:lvlText w:val="-"/>
      <w:lvlJc w:val="left"/>
      <w:pPr>
        <w:tabs>
          <w:tab w:val="num" w:pos="6480"/>
        </w:tabs>
        <w:ind w:left="6480" w:hanging="360"/>
      </w:pPr>
      <w:rPr>
        <w:rFonts w:ascii="Times New Roman" w:hAnsi="Times New Roman" w:hint="default"/>
      </w:rPr>
    </w:lvl>
  </w:abstractNum>
  <w:abstractNum w:abstractNumId="3">
    <w:nsid w:val="271503EF"/>
    <w:multiLevelType w:val="hybridMultilevel"/>
    <w:tmpl w:val="0FF8E0D8"/>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310C4387"/>
    <w:multiLevelType w:val="hybridMultilevel"/>
    <w:tmpl w:val="CEF64A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63716A7"/>
    <w:multiLevelType w:val="hybridMultilevel"/>
    <w:tmpl w:val="8BF0F5EA"/>
    <w:lvl w:ilvl="0" w:tplc="C49E9D2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7BA6F9E"/>
    <w:multiLevelType w:val="hybridMultilevel"/>
    <w:tmpl w:val="9418E6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CA342F2"/>
    <w:multiLevelType w:val="hybridMultilevel"/>
    <w:tmpl w:val="DF52C5F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3AC35D2"/>
    <w:multiLevelType w:val="hybridMultilevel"/>
    <w:tmpl w:val="576E7A10"/>
    <w:lvl w:ilvl="0" w:tplc="C49E9D28">
      <w:numFmt w:val="bullet"/>
      <w:lvlText w:val="-"/>
      <w:lvlJc w:val="left"/>
      <w:pPr>
        <w:ind w:left="720" w:hanging="360"/>
      </w:pPr>
      <w:rPr>
        <w:rFonts w:ascii="Times New Roman" w:eastAsiaTheme="minorHAnsi"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7EC246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681A0DF4"/>
    <w:multiLevelType w:val="hybridMultilevel"/>
    <w:tmpl w:val="AFC8FE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2771416"/>
    <w:multiLevelType w:val="hybridMultilevel"/>
    <w:tmpl w:val="98EC451C"/>
    <w:lvl w:ilvl="0" w:tplc="C49E9D28">
      <w:numFmt w:val="bullet"/>
      <w:lvlText w:val="-"/>
      <w:lvlJc w:val="left"/>
      <w:pPr>
        <w:ind w:left="720" w:hanging="360"/>
      </w:pPr>
      <w:rPr>
        <w:rFonts w:ascii="Times New Roman" w:eastAsiaTheme="minorHAnsi" w:hAnsi="Times New Roman" w:cs="Times New Roman"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38218E5"/>
    <w:multiLevelType w:val="hybridMultilevel"/>
    <w:tmpl w:val="9F7AA28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9CB34FC"/>
    <w:multiLevelType w:val="hybridMultilevel"/>
    <w:tmpl w:val="ADA0434A"/>
    <w:lvl w:ilvl="0" w:tplc="C49E9D2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FD31096"/>
    <w:multiLevelType w:val="hybridMultilevel"/>
    <w:tmpl w:val="74D2359E"/>
    <w:lvl w:ilvl="0" w:tplc="C49E9D2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8"/>
  </w:num>
  <w:num w:numId="4">
    <w:abstractNumId w:val="5"/>
  </w:num>
  <w:num w:numId="5">
    <w:abstractNumId w:val="9"/>
  </w:num>
  <w:num w:numId="6">
    <w:abstractNumId w:val="7"/>
  </w:num>
  <w:num w:numId="7">
    <w:abstractNumId w:val="10"/>
  </w:num>
  <w:num w:numId="8">
    <w:abstractNumId w:val="4"/>
  </w:num>
  <w:num w:numId="9">
    <w:abstractNumId w:val="12"/>
  </w:num>
  <w:num w:numId="10">
    <w:abstractNumId w:val="1"/>
  </w:num>
  <w:num w:numId="11">
    <w:abstractNumId w:val="6"/>
  </w:num>
  <w:num w:numId="12">
    <w:abstractNumId w:val="0"/>
  </w:num>
  <w:num w:numId="13">
    <w:abstractNumId w:val="3"/>
  </w:num>
  <w:num w:numId="14">
    <w:abstractNumId w:val="13"/>
  </w:num>
  <w:num w:numId="15">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phie Eastwood">
    <w15:presenceInfo w15:providerId="AD" w15:userId="S-1-5-21-2902265621-1063028621-2381561480-188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p0ra5aa6xr0vyeweeuxrp2o9rpztr902xr0&quot;&gt;Biobank Diabetes Paper&lt;record-ids&gt;&lt;item&gt;5&lt;/item&gt;&lt;item&gt;6&lt;/item&gt;&lt;item&gt;13&lt;/item&gt;&lt;item&gt;14&lt;/item&gt;&lt;item&gt;16&lt;/item&gt;&lt;item&gt;17&lt;/item&gt;&lt;item&gt;19&lt;/item&gt;&lt;item&gt;20&lt;/item&gt;&lt;item&gt;24&lt;/item&gt;&lt;item&gt;25&lt;/item&gt;&lt;item&gt;27&lt;/item&gt;&lt;item&gt;29&lt;/item&gt;&lt;item&gt;30&lt;/item&gt;&lt;item&gt;31&lt;/item&gt;&lt;/record-ids&gt;&lt;/item&gt;&lt;/Libraries&gt;"/>
  </w:docVars>
  <w:rsids>
    <w:rsidRoot w:val="00910FE7"/>
    <w:rsid w:val="000035F1"/>
    <w:rsid w:val="00005821"/>
    <w:rsid w:val="0001174F"/>
    <w:rsid w:val="00011D64"/>
    <w:rsid w:val="000129FC"/>
    <w:rsid w:val="000171FD"/>
    <w:rsid w:val="000224F1"/>
    <w:rsid w:val="00025B94"/>
    <w:rsid w:val="00043960"/>
    <w:rsid w:val="00057841"/>
    <w:rsid w:val="00063235"/>
    <w:rsid w:val="00066683"/>
    <w:rsid w:val="00075347"/>
    <w:rsid w:val="00076C15"/>
    <w:rsid w:val="00077150"/>
    <w:rsid w:val="00083E1B"/>
    <w:rsid w:val="00091BD0"/>
    <w:rsid w:val="000929D9"/>
    <w:rsid w:val="000A6070"/>
    <w:rsid w:val="000A6532"/>
    <w:rsid w:val="000A7865"/>
    <w:rsid w:val="000B3076"/>
    <w:rsid w:val="000B63BB"/>
    <w:rsid w:val="000B7CE3"/>
    <w:rsid w:val="000C0DFA"/>
    <w:rsid w:val="000C7612"/>
    <w:rsid w:val="000D2CD3"/>
    <w:rsid w:val="000D5A41"/>
    <w:rsid w:val="000F0AEA"/>
    <w:rsid w:val="00100131"/>
    <w:rsid w:val="00103659"/>
    <w:rsid w:val="00106868"/>
    <w:rsid w:val="0010782C"/>
    <w:rsid w:val="00117A87"/>
    <w:rsid w:val="001252C4"/>
    <w:rsid w:val="0013518F"/>
    <w:rsid w:val="001365BE"/>
    <w:rsid w:val="00143148"/>
    <w:rsid w:val="001439BB"/>
    <w:rsid w:val="00145840"/>
    <w:rsid w:val="00150C66"/>
    <w:rsid w:val="0015122A"/>
    <w:rsid w:val="0015176E"/>
    <w:rsid w:val="001539FA"/>
    <w:rsid w:val="00156087"/>
    <w:rsid w:val="00157CF4"/>
    <w:rsid w:val="00160DDC"/>
    <w:rsid w:val="00171348"/>
    <w:rsid w:val="001737DC"/>
    <w:rsid w:val="00174756"/>
    <w:rsid w:val="001943DB"/>
    <w:rsid w:val="00196213"/>
    <w:rsid w:val="00197C2A"/>
    <w:rsid w:val="001B5940"/>
    <w:rsid w:val="001B6B54"/>
    <w:rsid w:val="001B7168"/>
    <w:rsid w:val="001C292D"/>
    <w:rsid w:val="001D00DD"/>
    <w:rsid w:val="001D08C9"/>
    <w:rsid w:val="001D138F"/>
    <w:rsid w:val="001D41E3"/>
    <w:rsid w:val="001D6941"/>
    <w:rsid w:val="001E3796"/>
    <w:rsid w:val="001E3A73"/>
    <w:rsid w:val="001E3D28"/>
    <w:rsid w:val="001E3FF0"/>
    <w:rsid w:val="001E5292"/>
    <w:rsid w:val="001E5BD4"/>
    <w:rsid w:val="001E7049"/>
    <w:rsid w:val="002003D2"/>
    <w:rsid w:val="0020052B"/>
    <w:rsid w:val="00201B7D"/>
    <w:rsid w:val="0020793B"/>
    <w:rsid w:val="002216AD"/>
    <w:rsid w:val="002271CF"/>
    <w:rsid w:val="0023448F"/>
    <w:rsid w:val="00235631"/>
    <w:rsid w:val="002403B1"/>
    <w:rsid w:val="00240B09"/>
    <w:rsid w:val="00246351"/>
    <w:rsid w:val="00250601"/>
    <w:rsid w:val="002523DA"/>
    <w:rsid w:val="00255265"/>
    <w:rsid w:val="00255297"/>
    <w:rsid w:val="0025547B"/>
    <w:rsid w:val="002606E9"/>
    <w:rsid w:val="00266156"/>
    <w:rsid w:val="00281FCE"/>
    <w:rsid w:val="00286C3D"/>
    <w:rsid w:val="00287E96"/>
    <w:rsid w:val="002A16B7"/>
    <w:rsid w:val="002B2683"/>
    <w:rsid w:val="002C0695"/>
    <w:rsid w:val="002C0803"/>
    <w:rsid w:val="002C520D"/>
    <w:rsid w:val="002C6171"/>
    <w:rsid w:val="002C7256"/>
    <w:rsid w:val="002D6F3B"/>
    <w:rsid w:val="002D796D"/>
    <w:rsid w:val="002E16C2"/>
    <w:rsid w:val="002F000A"/>
    <w:rsid w:val="002F29B9"/>
    <w:rsid w:val="002F3142"/>
    <w:rsid w:val="00300E80"/>
    <w:rsid w:val="003042D1"/>
    <w:rsid w:val="00310EA9"/>
    <w:rsid w:val="00326231"/>
    <w:rsid w:val="0033687D"/>
    <w:rsid w:val="003539A5"/>
    <w:rsid w:val="00355555"/>
    <w:rsid w:val="003563A7"/>
    <w:rsid w:val="003566A3"/>
    <w:rsid w:val="00363A3F"/>
    <w:rsid w:val="0036754D"/>
    <w:rsid w:val="00367768"/>
    <w:rsid w:val="00373FB8"/>
    <w:rsid w:val="0039365C"/>
    <w:rsid w:val="003A050E"/>
    <w:rsid w:val="003A25AA"/>
    <w:rsid w:val="003C5665"/>
    <w:rsid w:val="003C5B45"/>
    <w:rsid w:val="003D034D"/>
    <w:rsid w:val="003D2EB0"/>
    <w:rsid w:val="003D702B"/>
    <w:rsid w:val="003E22C7"/>
    <w:rsid w:val="003E3D47"/>
    <w:rsid w:val="003E5E42"/>
    <w:rsid w:val="003F2E3F"/>
    <w:rsid w:val="003F2E92"/>
    <w:rsid w:val="003F3095"/>
    <w:rsid w:val="004059C3"/>
    <w:rsid w:val="00410274"/>
    <w:rsid w:val="00411A12"/>
    <w:rsid w:val="00426D25"/>
    <w:rsid w:val="00427F9B"/>
    <w:rsid w:val="00430DA6"/>
    <w:rsid w:val="004325A8"/>
    <w:rsid w:val="00433A0C"/>
    <w:rsid w:val="00434815"/>
    <w:rsid w:val="0043532E"/>
    <w:rsid w:val="00440FA0"/>
    <w:rsid w:val="00442BA3"/>
    <w:rsid w:val="00444EC0"/>
    <w:rsid w:val="004547FE"/>
    <w:rsid w:val="00464C76"/>
    <w:rsid w:val="00467644"/>
    <w:rsid w:val="00472B84"/>
    <w:rsid w:val="00473ACA"/>
    <w:rsid w:val="00474DBB"/>
    <w:rsid w:val="00475943"/>
    <w:rsid w:val="004833AB"/>
    <w:rsid w:val="00487CE6"/>
    <w:rsid w:val="004900F5"/>
    <w:rsid w:val="004901E7"/>
    <w:rsid w:val="00496CE8"/>
    <w:rsid w:val="004970BD"/>
    <w:rsid w:val="00497D44"/>
    <w:rsid w:val="004A0700"/>
    <w:rsid w:val="004A36B2"/>
    <w:rsid w:val="004A662D"/>
    <w:rsid w:val="004C488E"/>
    <w:rsid w:val="004D0562"/>
    <w:rsid w:val="004D1536"/>
    <w:rsid w:val="004D5419"/>
    <w:rsid w:val="004D748E"/>
    <w:rsid w:val="004D764D"/>
    <w:rsid w:val="004F447D"/>
    <w:rsid w:val="004F673C"/>
    <w:rsid w:val="00504C78"/>
    <w:rsid w:val="00505973"/>
    <w:rsid w:val="00507B76"/>
    <w:rsid w:val="005142D0"/>
    <w:rsid w:val="005175B3"/>
    <w:rsid w:val="00517EAA"/>
    <w:rsid w:val="00522E0C"/>
    <w:rsid w:val="00540D05"/>
    <w:rsid w:val="00541DD4"/>
    <w:rsid w:val="00545EE9"/>
    <w:rsid w:val="00562288"/>
    <w:rsid w:val="00573232"/>
    <w:rsid w:val="00573381"/>
    <w:rsid w:val="005735D3"/>
    <w:rsid w:val="005874FE"/>
    <w:rsid w:val="00592C50"/>
    <w:rsid w:val="005A3633"/>
    <w:rsid w:val="005D28F1"/>
    <w:rsid w:val="005E43CA"/>
    <w:rsid w:val="005E592A"/>
    <w:rsid w:val="005E77B6"/>
    <w:rsid w:val="005F0250"/>
    <w:rsid w:val="005F20C1"/>
    <w:rsid w:val="005F2E98"/>
    <w:rsid w:val="005F52DC"/>
    <w:rsid w:val="005F538D"/>
    <w:rsid w:val="006058BF"/>
    <w:rsid w:val="0060659C"/>
    <w:rsid w:val="00611772"/>
    <w:rsid w:val="00614887"/>
    <w:rsid w:val="00615CA1"/>
    <w:rsid w:val="00617899"/>
    <w:rsid w:val="00624B04"/>
    <w:rsid w:val="00626484"/>
    <w:rsid w:val="00632A23"/>
    <w:rsid w:val="0063578C"/>
    <w:rsid w:val="006372BF"/>
    <w:rsid w:val="006401A5"/>
    <w:rsid w:val="0064354E"/>
    <w:rsid w:val="0064795B"/>
    <w:rsid w:val="006740F7"/>
    <w:rsid w:val="00675521"/>
    <w:rsid w:val="0068225F"/>
    <w:rsid w:val="00687004"/>
    <w:rsid w:val="006924DF"/>
    <w:rsid w:val="006954AA"/>
    <w:rsid w:val="006A0F48"/>
    <w:rsid w:val="006A2D98"/>
    <w:rsid w:val="006A4B12"/>
    <w:rsid w:val="006B0243"/>
    <w:rsid w:val="006B2979"/>
    <w:rsid w:val="006C2A7D"/>
    <w:rsid w:val="006C7544"/>
    <w:rsid w:val="006D5455"/>
    <w:rsid w:val="006D56DA"/>
    <w:rsid w:val="006E3AE1"/>
    <w:rsid w:val="006F0FA1"/>
    <w:rsid w:val="006F51DF"/>
    <w:rsid w:val="006F543E"/>
    <w:rsid w:val="006F6597"/>
    <w:rsid w:val="007029E2"/>
    <w:rsid w:val="00703961"/>
    <w:rsid w:val="007218B5"/>
    <w:rsid w:val="00722FDD"/>
    <w:rsid w:val="00732AD2"/>
    <w:rsid w:val="00734343"/>
    <w:rsid w:val="00741EAD"/>
    <w:rsid w:val="00747C90"/>
    <w:rsid w:val="007512A8"/>
    <w:rsid w:val="0075406B"/>
    <w:rsid w:val="007601F0"/>
    <w:rsid w:val="0077080D"/>
    <w:rsid w:val="00777C29"/>
    <w:rsid w:val="0078139D"/>
    <w:rsid w:val="00782E5A"/>
    <w:rsid w:val="0078661D"/>
    <w:rsid w:val="00787B36"/>
    <w:rsid w:val="00793D02"/>
    <w:rsid w:val="00795D92"/>
    <w:rsid w:val="007A6B0A"/>
    <w:rsid w:val="007A75AF"/>
    <w:rsid w:val="007B1441"/>
    <w:rsid w:val="007B3223"/>
    <w:rsid w:val="007C0296"/>
    <w:rsid w:val="007D0DD9"/>
    <w:rsid w:val="007D4396"/>
    <w:rsid w:val="007D6547"/>
    <w:rsid w:val="007D7493"/>
    <w:rsid w:val="007D7DA1"/>
    <w:rsid w:val="007E1E53"/>
    <w:rsid w:val="007F0D39"/>
    <w:rsid w:val="007F45F5"/>
    <w:rsid w:val="007F49A7"/>
    <w:rsid w:val="00800841"/>
    <w:rsid w:val="008016D6"/>
    <w:rsid w:val="008227C0"/>
    <w:rsid w:val="00830585"/>
    <w:rsid w:val="00832E4A"/>
    <w:rsid w:val="00841816"/>
    <w:rsid w:val="008425BF"/>
    <w:rsid w:val="00854C31"/>
    <w:rsid w:val="008552FE"/>
    <w:rsid w:val="0086250C"/>
    <w:rsid w:val="00865BC7"/>
    <w:rsid w:val="00866222"/>
    <w:rsid w:val="00866632"/>
    <w:rsid w:val="00870E26"/>
    <w:rsid w:val="008727F7"/>
    <w:rsid w:val="008734B4"/>
    <w:rsid w:val="00885ACC"/>
    <w:rsid w:val="00886F51"/>
    <w:rsid w:val="00891098"/>
    <w:rsid w:val="008A088D"/>
    <w:rsid w:val="008B5454"/>
    <w:rsid w:val="008B5DE8"/>
    <w:rsid w:val="008C172D"/>
    <w:rsid w:val="008C286F"/>
    <w:rsid w:val="008C571F"/>
    <w:rsid w:val="008D001A"/>
    <w:rsid w:val="008D0752"/>
    <w:rsid w:val="008D63BC"/>
    <w:rsid w:val="008E2305"/>
    <w:rsid w:val="008E44F5"/>
    <w:rsid w:val="008F4727"/>
    <w:rsid w:val="00900FA4"/>
    <w:rsid w:val="00903996"/>
    <w:rsid w:val="00910FE7"/>
    <w:rsid w:val="009136B2"/>
    <w:rsid w:val="0091401B"/>
    <w:rsid w:val="009140E6"/>
    <w:rsid w:val="0091648A"/>
    <w:rsid w:val="00924701"/>
    <w:rsid w:val="00924883"/>
    <w:rsid w:val="00925A5E"/>
    <w:rsid w:val="00936161"/>
    <w:rsid w:val="00951E54"/>
    <w:rsid w:val="00955B47"/>
    <w:rsid w:val="00955D2A"/>
    <w:rsid w:val="00957171"/>
    <w:rsid w:val="0095774B"/>
    <w:rsid w:val="00964214"/>
    <w:rsid w:val="00964B2E"/>
    <w:rsid w:val="00964DAF"/>
    <w:rsid w:val="00966009"/>
    <w:rsid w:val="009701D5"/>
    <w:rsid w:val="0097508D"/>
    <w:rsid w:val="00976A9D"/>
    <w:rsid w:val="00981711"/>
    <w:rsid w:val="00992E28"/>
    <w:rsid w:val="00993A8C"/>
    <w:rsid w:val="0099429C"/>
    <w:rsid w:val="00995CD9"/>
    <w:rsid w:val="00996A77"/>
    <w:rsid w:val="009A0109"/>
    <w:rsid w:val="009A3B82"/>
    <w:rsid w:val="009B1B93"/>
    <w:rsid w:val="009B69B6"/>
    <w:rsid w:val="009C1AF3"/>
    <w:rsid w:val="009C2CDF"/>
    <w:rsid w:val="009D4D8E"/>
    <w:rsid w:val="009D519E"/>
    <w:rsid w:val="009E0A34"/>
    <w:rsid w:val="009E171A"/>
    <w:rsid w:val="009E3290"/>
    <w:rsid w:val="009F1BAC"/>
    <w:rsid w:val="009F53C2"/>
    <w:rsid w:val="009F60FD"/>
    <w:rsid w:val="009F724E"/>
    <w:rsid w:val="00A022CB"/>
    <w:rsid w:val="00A05CB7"/>
    <w:rsid w:val="00A05D7A"/>
    <w:rsid w:val="00A150F2"/>
    <w:rsid w:val="00A16180"/>
    <w:rsid w:val="00A332BC"/>
    <w:rsid w:val="00A34873"/>
    <w:rsid w:val="00A36160"/>
    <w:rsid w:val="00A42D72"/>
    <w:rsid w:val="00A5104E"/>
    <w:rsid w:val="00A517E5"/>
    <w:rsid w:val="00A55425"/>
    <w:rsid w:val="00A57286"/>
    <w:rsid w:val="00A609D9"/>
    <w:rsid w:val="00A60CCB"/>
    <w:rsid w:val="00A6574D"/>
    <w:rsid w:val="00A66633"/>
    <w:rsid w:val="00A704F3"/>
    <w:rsid w:val="00A74269"/>
    <w:rsid w:val="00A74E41"/>
    <w:rsid w:val="00A76903"/>
    <w:rsid w:val="00A76C67"/>
    <w:rsid w:val="00A81B5C"/>
    <w:rsid w:val="00A853F5"/>
    <w:rsid w:val="00A90220"/>
    <w:rsid w:val="00A9224B"/>
    <w:rsid w:val="00AA0DE2"/>
    <w:rsid w:val="00AA285D"/>
    <w:rsid w:val="00AA5864"/>
    <w:rsid w:val="00AB46B5"/>
    <w:rsid w:val="00AB5BF2"/>
    <w:rsid w:val="00AB709B"/>
    <w:rsid w:val="00AB78CB"/>
    <w:rsid w:val="00AC0049"/>
    <w:rsid w:val="00AD4CEF"/>
    <w:rsid w:val="00AE3A6C"/>
    <w:rsid w:val="00AE5BD4"/>
    <w:rsid w:val="00AF29F2"/>
    <w:rsid w:val="00AF66ED"/>
    <w:rsid w:val="00B009CB"/>
    <w:rsid w:val="00B04BA1"/>
    <w:rsid w:val="00B057ED"/>
    <w:rsid w:val="00B05FF8"/>
    <w:rsid w:val="00B0632A"/>
    <w:rsid w:val="00B14D91"/>
    <w:rsid w:val="00B22BA0"/>
    <w:rsid w:val="00B353BC"/>
    <w:rsid w:val="00B37458"/>
    <w:rsid w:val="00B4022E"/>
    <w:rsid w:val="00B4187C"/>
    <w:rsid w:val="00B52F98"/>
    <w:rsid w:val="00B5360E"/>
    <w:rsid w:val="00B565F2"/>
    <w:rsid w:val="00B56E81"/>
    <w:rsid w:val="00B5741F"/>
    <w:rsid w:val="00B6095E"/>
    <w:rsid w:val="00B626C5"/>
    <w:rsid w:val="00B63AAC"/>
    <w:rsid w:val="00B66525"/>
    <w:rsid w:val="00B83015"/>
    <w:rsid w:val="00B837DD"/>
    <w:rsid w:val="00B84F8B"/>
    <w:rsid w:val="00B91414"/>
    <w:rsid w:val="00B950AC"/>
    <w:rsid w:val="00BA000F"/>
    <w:rsid w:val="00BA3DF5"/>
    <w:rsid w:val="00BA6605"/>
    <w:rsid w:val="00BC4D03"/>
    <w:rsid w:val="00BC5097"/>
    <w:rsid w:val="00BD7FBF"/>
    <w:rsid w:val="00BE0849"/>
    <w:rsid w:val="00BE261A"/>
    <w:rsid w:val="00BE29F2"/>
    <w:rsid w:val="00BF1891"/>
    <w:rsid w:val="00BF4762"/>
    <w:rsid w:val="00C00142"/>
    <w:rsid w:val="00C0103D"/>
    <w:rsid w:val="00C133F2"/>
    <w:rsid w:val="00C20508"/>
    <w:rsid w:val="00C30207"/>
    <w:rsid w:val="00C30927"/>
    <w:rsid w:val="00C30F85"/>
    <w:rsid w:val="00C33EF0"/>
    <w:rsid w:val="00C35EF1"/>
    <w:rsid w:val="00C3743C"/>
    <w:rsid w:val="00C40A9E"/>
    <w:rsid w:val="00C500E7"/>
    <w:rsid w:val="00C6087A"/>
    <w:rsid w:val="00C6626B"/>
    <w:rsid w:val="00C66B22"/>
    <w:rsid w:val="00C72AC4"/>
    <w:rsid w:val="00C92523"/>
    <w:rsid w:val="00CA24D9"/>
    <w:rsid w:val="00CA3BE5"/>
    <w:rsid w:val="00CA5258"/>
    <w:rsid w:val="00CB2956"/>
    <w:rsid w:val="00CB30D8"/>
    <w:rsid w:val="00CB73B5"/>
    <w:rsid w:val="00CC128A"/>
    <w:rsid w:val="00CC4D1C"/>
    <w:rsid w:val="00CC5F18"/>
    <w:rsid w:val="00CD6BD2"/>
    <w:rsid w:val="00CE39A2"/>
    <w:rsid w:val="00CE3D79"/>
    <w:rsid w:val="00CE698E"/>
    <w:rsid w:val="00D04CCE"/>
    <w:rsid w:val="00D1105A"/>
    <w:rsid w:val="00D17F7F"/>
    <w:rsid w:val="00D25245"/>
    <w:rsid w:val="00D3041B"/>
    <w:rsid w:val="00D32DFB"/>
    <w:rsid w:val="00D42FF0"/>
    <w:rsid w:val="00D50B06"/>
    <w:rsid w:val="00D53FE5"/>
    <w:rsid w:val="00D62BE3"/>
    <w:rsid w:val="00D72642"/>
    <w:rsid w:val="00D74CD5"/>
    <w:rsid w:val="00D93839"/>
    <w:rsid w:val="00D95549"/>
    <w:rsid w:val="00D95833"/>
    <w:rsid w:val="00D964C0"/>
    <w:rsid w:val="00D96DD0"/>
    <w:rsid w:val="00DA20F0"/>
    <w:rsid w:val="00DB00E0"/>
    <w:rsid w:val="00DB16BB"/>
    <w:rsid w:val="00DB1F30"/>
    <w:rsid w:val="00DB3D69"/>
    <w:rsid w:val="00DB4345"/>
    <w:rsid w:val="00DC2358"/>
    <w:rsid w:val="00DC690D"/>
    <w:rsid w:val="00DD0CBC"/>
    <w:rsid w:val="00DE59C6"/>
    <w:rsid w:val="00DE6AE4"/>
    <w:rsid w:val="00DE7C74"/>
    <w:rsid w:val="00DF28E6"/>
    <w:rsid w:val="00E0488F"/>
    <w:rsid w:val="00E04CB4"/>
    <w:rsid w:val="00E13904"/>
    <w:rsid w:val="00E16E2C"/>
    <w:rsid w:val="00E17E9E"/>
    <w:rsid w:val="00E21C9E"/>
    <w:rsid w:val="00E33423"/>
    <w:rsid w:val="00E51EC5"/>
    <w:rsid w:val="00E571EF"/>
    <w:rsid w:val="00E644F6"/>
    <w:rsid w:val="00E65AE0"/>
    <w:rsid w:val="00E67FED"/>
    <w:rsid w:val="00E83428"/>
    <w:rsid w:val="00E92856"/>
    <w:rsid w:val="00E93A3D"/>
    <w:rsid w:val="00E97D13"/>
    <w:rsid w:val="00EA090E"/>
    <w:rsid w:val="00EB04D6"/>
    <w:rsid w:val="00EB34A0"/>
    <w:rsid w:val="00EB35AC"/>
    <w:rsid w:val="00EB5D2F"/>
    <w:rsid w:val="00EB62E4"/>
    <w:rsid w:val="00EC7B10"/>
    <w:rsid w:val="00ED00B0"/>
    <w:rsid w:val="00ED1C72"/>
    <w:rsid w:val="00ED410C"/>
    <w:rsid w:val="00EE24FF"/>
    <w:rsid w:val="00EE6A51"/>
    <w:rsid w:val="00EF1163"/>
    <w:rsid w:val="00EF25D2"/>
    <w:rsid w:val="00EF638B"/>
    <w:rsid w:val="00EF66A7"/>
    <w:rsid w:val="00F007B8"/>
    <w:rsid w:val="00F01A7D"/>
    <w:rsid w:val="00F02501"/>
    <w:rsid w:val="00F029EA"/>
    <w:rsid w:val="00F07531"/>
    <w:rsid w:val="00F37792"/>
    <w:rsid w:val="00F410B6"/>
    <w:rsid w:val="00F416E8"/>
    <w:rsid w:val="00F423C2"/>
    <w:rsid w:val="00F43C5B"/>
    <w:rsid w:val="00F444CA"/>
    <w:rsid w:val="00F46CF7"/>
    <w:rsid w:val="00F5238B"/>
    <w:rsid w:val="00F56335"/>
    <w:rsid w:val="00F57D13"/>
    <w:rsid w:val="00F621F7"/>
    <w:rsid w:val="00F720A3"/>
    <w:rsid w:val="00F770C2"/>
    <w:rsid w:val="00F93A0F"/>
    <w:rsid w:val="00F9431D"/>
    <w:rsid w:val="00FA3A28"/>
    <w:rsid w:val="00FA5D90"/>
    <w:rsid w:val="00FB006F"/>
    <w:rsid w:val="00FB2DC9"/>
    <w:rsid w:val="00FB7F87"/>
    <w:rsid w:val="00FC07FC"/>
    <w:rsid w:val="00FC28A5"/>
    <w:rsid w:val="00FC4B61"/>
    <w:rsid w:val="00FC5A44"/>
    <w:rsid w:val="00FC655D"/>
    <w:rsid w:val="00FC7B13"/>
    <w:rsid w:val="00FE7310"/>
    <w:rsid w:val="00FF0F9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A6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B2E"/>
    <w:rPr>
      <w:color w:val="0000FF" w:themeColor="hyperlink"/>
      <w:u w:val="single"/>
    </w:rPr>
  </w:style>
  <w:style w:type="paragraph" w:styleId="ListParagraph">
    <w:name w:val="List Paragraph"/>
    <w:basedOn w:val="Normal"/>
    <w:uiPriority w:val="34"/>
    <w:qFormat/>
    <w:rsid w:val="00964B2E"/>
    <w:pPr>
      <w:ind w:left="720"/>
      <w:contextualSpacing/>
    </w:pPr>
  </w:style>
  <w:style w:type="paragraph" w:styleId="Header">
    <w:name w:val="header"/>
    <w:basedOn w:val="Normal"/>
    <w:link w:val="HeaderChar"/>
    <w:uiPriority w:val="99"/>
    <w:unhideWhenUsed/>
    <w:rsid w:val="009248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883"/>
  </w:style>
  <w:style w:type="paragraph" w:styleId="Footer">
    <w:name w:val="footer"/>
    <w:basedOn w:val="Normal"/>
    <w:link w:val="FooterChar"/>
    <w:uiPriority w:val="99"/>
    <w:unhideWhenUsed/>
    <w:rsid w:val="009248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883"/>
  </w:style>
  <w:style w:type="table" w:styleId="TableGrid">
    <w:name w:val="Table Grid"/>
    <w:basedOn w:val="TableNormal"/>
    <w:uiPriority w:val="59"/>
    <w:rsid w:val="00CB7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25A8"/>
    <w:pPr>
      <w:spacing w:before="100" w:beforeAutospacing="1" w:after="100" w:afterAutospacing="1" w:line="240" w:lineRule="auto"/>
    </w:pPr>
    <w:rPr>
      <w:rFonts w:eastAsiaTheme="minorEastAsia"/>
      <w:lang w:eastAsia="en-GB"/>
    </w:rPr>
  </w:style>
  <w:style w:type="character" w:styleId="CommentReference">
    <w:name w:val="annotation reference"/>
    <w:basedOn w:val="DefaultParagraphFont"/>
    <w:uiPriority w:val="99"/>
    <w:semiHidden/>
    <w:unhideWhenUsed/>
    <w:rsid w:val="002C0803"/>
    <w:rPr>
      <w:sz w:val="16"/>
      <w:szCs w:val="16"/>
    </w:rPr>
  </w:style>
  <w:style w:type="paragraph" w:styleId="CommentText">
    <w:name w:val="annotation text"/>
    <w:basedOn w:val="Normal"/>
    <w:link w:val="CommentTextChar"/>
    <w:uiPriority w:val="99"/>
    <w:semiHidden/>
    <w:unhideWhenUsed/>
    <w:rsid w:val="002C0803"/>
    <w:pPr>
      <w:spacing w:line="240" w:lineRule="auto"/>
    </w:pPr>
    <w:rPr>
      <w:sz w:val="20"/>
      <w:szCs w:val="20"/>
    </w:rPr>
  </w:style>
  <w:style w:type="character" w:customStyle="1" w:styleId="CommentTextChar">
    <w:name w:val="Comment Text Char"/>
    <w:basedOn w:val="DefaultParagraphFont"/>
    <w:link w:val="CommentText"/>
    <w:uiPriority w:val="99"/>
    <w:semiHidden/>
    <w:rsid w:val="002C0803"/>
    <w:rPr>
      <w:sz w:val="20"/>
      <w:szCs w:val="20"/>
    </w:rPr>
  </w:style>
  <w:style w:type="paragraph" w:styleId="CommentSubject">
    <w:name w:val="annotation subject"/>
    <w:basedOn w:val="CommentText"/>
    <w:next w:val="CommentText"/>
    <w:link w:val="CommentSubjectChar"/>
    <w:uiPriority w:val="99"/>
    <w:semiHidden/>
    <w:unhideWhenUsed/>
    <w:rsid w:val="002C0803"/>
    <w:rPr>
      <w:b/>
      <w:bCs/>
    </w:rPr>
  </w:style>
  <w:style w:type="character" w:customStyle="1" w:styleId="CommentSubjectChar">
    <w:name w:val="Comment Subject Char"/>
    <w:basedOn w:val="CommentTextChar"/>
    <w:link w:val="CommentSubject"/>
    <w:uiPriority w:val="99"/>
    <w:semiHidden/>
    <w:rsid w:val="002C0803"/>
    <w:rPr>
      <w:b/>
      <w:bCs/>
      <w:sz w:val="20"/>
      <w:szCs w:val="20"/>
    </w:rPr>
  </w:style>
  <w:style w:type="paragraph" w:styleId="BalloonText">
    <w:name w:val="Balloon Text"/>
    <w:basedOn w:val="Normal"/>
    <w:link w:val="BalloonTextChar"/>
    <w:uiPriority w:val="99"/>
    <w:semiHidden/>
    <w:unhideWhenUsed/>
    <w:rsid w:val="002C0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803"/>
    <w:rPr>
      <w:rFonts w:ascii="Tahoma" w:hAnsi="Tahoma" w:cs="Tahoma"/>
      <w:sz w:val="16"/>
      <w:szCs w:val="16"/>
    </w:rPr>
  </w:style>
  <w:style w:type="character" w:styleId="PlaceholderText">
    <w:name w:val="Placeholder Text"/>
    <w:basedOn w:val="DefaultParagraphFont"/>
    <w:uiPriority w:val="99"/>
    <w:semiHidden/>
    <w:rsid w:val="008227C0"/>
    <w:rPr>
      <w:color w:val="808080"/>
    </w:rPr>
  </w:style>
  <w:style w:type="table" w:customStyle="1" w:styleId="TableGrid1">
    <w:name w:val="Table Grid1"/>
    <w:basedOn w:val="TableNormal"/>
    <w:next w:val="TableGrid"/>
    <w:uiPriority w:val="59"/>
    <w:rsid w:val="002C069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7C0296"/>
    <w:pPr>
      <w:spacing w:after="0" w:line="240" w:lineRule="auto"/>
    </w:pPr>
    <w:rPr>
      <w:rFonts w:ascii="Calibri" w:hAnsi="Calibri" w:cstheme="minorBidi"/>
      <w:sz w:val="22"/>
      <w:szCs w:val="21"/>
    </w:rPr>
  </w:style>
  <w:style w:type="character" w:customStyle="1" w:styleId="PlainTextChar">
    <w:name w:val="Plain Text Char"/>
    <w:basedOn w:val="DefaultParagraphFont"/>
    <w:link w:val="PlainText"/>
    <w:uiPriority w:val="99"/>
    <w:semiHidden/>
    <w:rsid w:val="007C0296"/>
    <w:rPr>
      <w:rFonts w:ascii="Calibri" w:hAnsi="Calibri" w:cstheme="minorBidi"/>
      <w:sz w:val="22"/>
      <w:szCs w:val="21"/>
    </w:rPr>
  </w:style>
  <w:style w:type="paragraph" w:customStyle="1" w:styleId="EndNoteBibliographyTitle">
    <w:name w:val="EndNote Bibliography Title"/>
    <w:basedOn w:val="Normal"/>
    <w:link w:val="EndNoteBibliographyTitleChar"/>
    <w:rsid w:val="00732AD2"/>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732AD2"/>
    <w:rPr>
      <w:noProof/>
      <w:lang w:val="en-US"/>
    </w:rPr>
  </w:style>
  <w:style w:type="paragraph" w:customStyle="1" w:styleId="EndNoteBibliography">
    <w:name w:val="EndNote Bibliography"/>
    <w:basedOn w:val="Normal"/>
    <w:link w:val="EndNoteBibliographyChar"/>
    <w:rsid w:val="00732AD2"/>
    <w:pPr>
      <w:spacing w:line="240" w:lineRule="auto"/>
    </w:pPr>
    <w:rPr>
      <w:noProof/>
      <w:lang w:val="en-US"/>
    </w:rPr>
  </w:style>
  <w:style w:type="character" w:customStyle="1" w:styleId="EndNoteBibliographyChar">
    <w:name w:val="EndNote Bibliography Char"/>
    <w:basedOn w:val="DefaultParagraphFont"/>
    <w:link w:val="EndNoteBibliography"/>
    <w:rsid w:val="00732AD2"/>
    <w:rPr>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B2E"/>
    <w:rPr>
      <w:color w:val="0000FF" w:themeColor="hyperlink"/>
      <w:u w:val="single"/>
    </w:rPr>
  </w:style>
  <w:style w:type="paragraph" w:styleId="ListParagraph">
    <w:name w:val="List Paragraph"/>
    <w:basedOn w:val="Normal"/>
    <w:uiPriority w:val="34"/>
    <w:qFormat/>
    <w:rsid w:val="00964B2E"/>
    <w:pPr>
      <w:ind w:left="720"/>
      <w:contextualSpacing/>
    </w:pPr>
  </w:style>
  <w:style w:type="paragraph" w:styleId="Header">
    <w:name w:val="header"/>
    <w:basedOn w:val="Normal"/>
    <w:link w:val="HeaderChar"/>
    <w:uiPriority w:val="99"/>
    <w:unhideWhenUsed/>
    <w:rsid w:val="009248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883"/>
  </w:style>
  <w:style w:type="paragraph" w:styleId="Footer">
    <w:name w:val="footer"/>
    <w:basedOn w:val="Normal"/>
    <w:link w:val="FooterChar"/>
    <w:uiPriority w:val="99"/>
    <w:unhideWhenUsed/>
    <w:rsid w:val="009248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883"/>
  </w:style>
  <w:style w:type="table" w:styleId="TableGrid">
    <w:name w:val="Table Grid"/>
    <w:basedOn w:val="TableNormal"/>
    <w:uiPriority w:val="59"/>
    <w:rsid w:val="00CB7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25A8"/>
    <w:pPr>
      <w:spacing w:before="100" w:beforeAutospacing="1" w:after="100" w:afterAutospacing="1" w:line="240" w:lineRule="auto"/>
    </w:pPr>
    <w:rPr>
      <w:rFonts w:eastAsiaTheme="minorEastAsia"/>
      <w:lang w:eastAsia="en-GB"/>
    </w:rPr>
  </w:style>
  <w:style w:type="character" w:styleId="CommentReference">
    <w:name w:val="annotation reference"/>
    <w:basedOn w:val="DefaultParagraphFont"/>
    <w:uiPriority w:val="99"/>
    <w:semiHidden/>
    <w:unhideWhenUsed/>
    <w:rsid w:val="002C0803"/>
    <w:rPr>
      <w:sz w:val="16"/>
      <w:szCs w:val="16"/>
    </w:rPr>
  </w:style>
  <w:style w:type="paragraph" w:styleId="CommentText">
    <w:name w:val="annotation text"/>
    <w:basedOn w:val="Normal"/>
    <w:link w:val="CommentTextChar"/>
    <w:uiPriority w:val="99"/>
    <w:semiHidden/>
    <w:unhideWhenUsed/>
    <w:rsid w:val="002C0803"/>
    <w:pPr>
      <w:spacing w:line="240" w:lineRule="auto"/>
    </w:pPr>
    <w:rPr>
      <w:sz w:val="20"/>
      <w:szCs w:val="20"/>
    </w:rPr>
  </w:style>
  <w:style w:type="character" w:customStyle="1" w:styleId="CommentTextChar">
    <w:name w:val="Comment Text Char"/>
    <w:basedOn w:val="DefaultParagraphFont"/>
    <w:link w:val="CommentText"/>
    <w:uiPriority w:val="99"/>
    <w:semiHidden/>
    <w:rsid w:val="002C0803"/>
    <w:rPr>
      <w:sz w:val="20"/>
      <w:szCs w:val="20"/>
    </w:rPr>
  </w:style>
  <w:style w:type="paragraph" w:styleId="CommentSubject">
    <w:name w:val="annotation subject"/>
    <w:basedOn w:val="CommentText"/>
    <w:next w:val="CommentText"/>
    <w:link w:val="CommentSubjectChar"/>
    <w:uiPriority w:val="99"/>
    <w:semiHidden/>
    <w:unhideWhenUsed/>
    <w:rsid w:val="002C0803"/>
    <w:rPr>
      <w:b/>
      <w:bCs/>
    </w:rPr>
  </w:style>
  <w:style w:type="character" w:customStyle="1" w:styleId="CommentSubjectChar">
    <w:name w:val="Comment Subject Char"/>
    <w:basedOn w:val="CommentTextChar"/>
    <w:link w:val="CommentSubject"/>
    <w:uiPriority w:val="99"/>
    <w:semiHidden/>
    <w:rsid w:val="002C0803"/>
    <w:rPr>
      <w:b/>
      <w:bCs/>
      <w:sz w:val="20"/>
      <w:szCs w:val="20"/>
    </w:rPr>
  </w:style>
  <w:style w:type="paragraph" w:styleId="BalloonText">
    <w:name w:val="Balloon Text"/>
    <w:basedOn w:val="Normal"/>
    <w:link w:val="BalloonTextChar"/>
    <w:uiPriority w:val="99"/>
    <w:semiHidden/>
    <w:unhideWhenUsed/>
    <w:rsid w:val="002C08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803"/>
    <w:rPr>
      <w:rFonts w:ascii="Tahoma" w:hAnsi="Tahoma" w:cs="Tahoma"/>
      <w:sz w:val="16"/>
      <w:szCs w:val="16"/>
    </w:rPr>
  </w:style>
  <w:style w:type="character" w:styleId="PlaceholderText">
    <w:name w:val="Placeholder Text"/>
    <w:basedOn w:val="DefaultParagraphFont"/>
    <w:uiPriority w:val="99"/>
    <w:semiHidden/>
    <w:rsid w:val="008227C0"/>
    <w:rPr>
      <w:color w:val="808080"/>
    </w:rPr>
  </w:style>
  <w:style w:type="table" w:customStyle="1" w:styleId="TableGrid1">
    <w:name w:val="Table Grid1"/>
    <w:basedOn w:val="TableNormal"/>
    <w:next w:val="TableGrid"/>
    <w:uiPriority w:val="59"/>
    <w:rsid w:val="002C069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7C0296"/>
    <w:pPr>
      <w:spacing w:after="0" w:line="240" w:lineRule="auto"/>
    </w:pPr>
    <w:rPr>
      <w:rFonts w:ascii="Calibri" w:hAnsi="Calibri" w:cstheme="minorBidi"/>
      <w:sz w:val="22"/>
      <w:szCs w:val="21"/>
    </w:rPr>
  </w:style>
  <w:style w:type="character" w:customStyle="1" w:styleId="PlainTextChar">
    <w:name w:val="Plain Text Char"/>
    <w:basedOn w:val="DefaultParagraphFont"/>
    <w:link w:val="PlainText"/>
    <w:uiPriority w:val="99"/>
    <w:semiHidden/>
    <w:rsid w:val="007C0296"/>
    <w:rPr>
      <w:rFonts w:ascii="Calibri" w:hAnsi="Calibri" w:cstheme="minorBidi"/>
      <w:sz w:val="22"/>
      <w:szCs w:val="21"/>
    </w:rPr>
  </w:style>
  <w:style w:type="paragraph" w:customStyle="1" w:styleId="EndNoteBibliographyTitle">
    <w:name w:val="EndNote Bibliography Title"/>
    <w:basedOn w:val="Normal"/>
    <w:link w:val="EndNoteBibliographyTitleChar"/>
    <w:rsid w:val="00732AD2"/>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732AD2"/>
    <w:rPr>
      <w:noProof/>
      <w:lang w:val="en-US"/>
    </w:rPr>
  </w:style>
  <w:style w:type="paragraph" w:customStyle="1" w:styleId="EndNoteBibliography">
    <w:name w:val="EndNote Bibliography"/>
    <w:basedOn w:val="Normal"/>
    <w:link w:val="EndNoteBibliographyChar"/>
    <w:rsid w:val="00732AD2"/>
    <w:pPr>
      <w:spacing w:line="240" w:lineRule="auto"/>
    </w:pPr>
    <w:rPr>
      <w:noProof/>
      <w:lang w:val="en-US"/>
    </w:rPr>
  </w:style>
  <w:style w:type="character" w:customStyle="1" w:styleId="EndNoteBibliographyChar">
    <w:name w:val="EndNote Bibliography Char"/>
    <w:basedOn w:val="DefaultParagraphFont"/>
    <w:link w:val="EndNoteBibliography"/>
    <w:rsid w:val="00732AD2"/>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87622">
      <w:bodyDiv w:val="1"/>
      <w:marLeft w:val="0"/>
      <w:marRight w:val="0"/>
      <w:marTop w:val="0"/>
      <w:marBottom w:val="0"/>
      <w:divBdr>
        <w:top w:val="none" w:sz="0" w:space="0" w:color="auto"/>
        <w:left w:val="none" w:sz="0" w:space="0" w:color="auto"/>
        <w:bottom w:val="none" w:sz="0" w:space="0" w:color="auto"/>
        <w:right w:val="none" w:sz="0" w:space="0" w:color="auto"/>
      </w:divBdr>
    </w:div>
    <w:div w:id="498424093">
      <w:bodyDiv w:val="1"/>
      <w:marLeft w:val="0"/>
      <w:marRight w:val="0"/>
      <w:marTop w:val="0"/>
      <w:marBottom w:val="0"/>
      <w:divBdr>
        <w:top w:val="none" w:sz="0" w:space="0" w:color="auto"/>
        <w:left w:val="none" w:sz="0" w:space="0" w:color="auto"/>
        <w:bottom w:val="none" w:sz="0" w:space="0" w:color="auto"/>
        <w:right w:val="none" w:sz="0" w:space="0" w:color="auto"/>
      </w:divBdr>
    </w:div>
    <w:div w:id="1234197953">
      <w:bodyDiv w:val="1"/>
      <w:marLeft w:val="0"/>
      <w:marRight w:val="0"/>
      <w:marTop w:val="0"/>
      <w:marBottom w:val="0"/>
      <w:divBdr>
        <w:top w:val="none" w:sz="0" w:space="0" w:color="auto"/>
        <w:left w:val="none" w:sz="0" w:space="0" w:color="auto"/>
        <w:bottom w:val="none" w:sz="0" w:space="0" w:color="auto"/>
        <w:right w:val="none" w:sz="0" w:space="0" w:color="auto"/>
      </w:divBdr>
    </w:div>
    <w:div w:id="1942838860">
      <w:bodyDiv w:val="1"/>
      <w:marLeft w:val="0"/>
      <w:marRight w:val="0"/>
      <w:marTop w:val="0"/>
      <w:marBottom w:val="0"/>
      <w:divBdr>
        <w:top w:val="none" w:sz="0" w:space="0" w:color="auto"/>
        <w:left w:val="none" w:sz="0" w:space="0" w:color="auto"/>
        <w:bottom w:val="none" w:sz="0" w:space="0" w:color="auto"/>
        <w:right w:val="none" w:sz="0" w:space="0" w:color="auto"/>
      </w:divBdr>
    </w:div>
    <w:div w:id="197645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BF970-356B-41E6-BA9D-DBCD4EA26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1097</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Eastwood</dc:creator>
  <cp:lastModifiedBy>Amy Mason</cp:lastModifiedBy>
  <cp:revision>2</cp:revision>
  <cp:lastPrinted>2015-12-07T16:37:00Z</cp:lastPrinted>
  <dcterms:created xsi:type="dcterms:W3CDTF">2018-02-22T17:35:00Z</dcterms:created>
  <dcterms:modified xsi:type="dcterms:W3CDTF">2018-02-22T17:35:00Z</dcterms:modified>
</cp:coreProperties>
</file>