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E0FFC" w14:textId="2979BC71" w:rsidR="007629F7" w:rsidRDefault="007629F7" w:rsidP="007629F7">
      <w:pPr>
        <w:spacing w:line="276" w:lineRule="auto"/>
        <w:jc w:val="both"/>
        <w:rPr>
          <w:b/>
          <w:bCs/>
          <w:sz w:val="26"/>
          <w:szCs w:val="26"/>
          <w:lang w:val="en-US"/>
        </w:rPr>
      </w:pPr>
      <w:proofErr w:type="spellStart"/>
      <w:r>
        <w:rPr>
          <w:b/>
          <w:bCs/>
          <w:sz w:val="26"/>
          <w:szCs w:val="26"/>
          <w:lang w:val="en-US"/>
        </w:rPr>
        <w:t>Comparision</w:t>
      </w:r>
      <w:proofErr w:type="spellEnd"/>
      <w:r>
        <w:rPr>
          <w:b/>
          <w:bCs/>
          <w:sz w:val="26"/>
          <w:szCs w:val="26"/>
          <w:lang w:val="en-US"/>
        </w:rPr>
        <w:t xml:space="preserve"> of usage of individual and semi-summarized date in </w:t>
      </w:r>
      <w:r w:rsidRPr="007629F7">
        <w:rPr>
          <w:b/>
          <w:bCs/>
          <w:sz w:val="26"/>
          <w:szCs w:val="26"/>
          <w:lang w:val="en-US"/>
        </w:rPr>
        <w:t>estimation of a nonlinear</w:t>
      </w:r>
      <w:r>
        <w:rPr>
          <w:b/>
          <w:bCs/>
          <w:sz w:val="26"/>
          <w:szCs w:val="26"/>
          <w:lang w:val="en-US"/>
        </w:rPr>
        <w:t xml:space="preserve"> </w:t>
      </w:r>
      <w:r w:rsidRPr="007629F7">
        <w:rPr>
          <w:b/>
          <w:bCs/>
          <w:sz w:val="26"/>
          <w:szCs w:val="26"/>
          <w:lang w:val="en-US"/>
        </w:rPr>
        <w:t>exposure-outcome relationship using instrumental variables</w:t>
      </w:r>
      <w:r>
        <w:rPr>
          <w:b/>
          <w:bCs/>
          <w:sz w:val="26"/>
          <w:szCs w:val="26"/>
          <w:lang w:val="en-US"/>
        </w:rPr>
        <w:t xml:space="preserve"> </w:t>
      </w:r>
    </w:p>
    <w:p w14:paraId="4D74F726" w14:textId="77777777" w:rsidR="007629F7" w:rsidRDefault="007629F7" w:rsidP="007629F7">
      <w:pPr>
        <w:spacing w:line="276" w:lineRule="auto"/>
        <w:jc w:val="both"/>
        <w:rPr>
          <w:lang w:val="en-US"/>
        </w:rPr>
      </w:pPr>
    </w:p>
    <w:p w14:paraId="1B3A478C" w14:textId="4827A83F" w:rsidR="007629F7" w:rsidRPr="001E68ED" w:rsidRDefault="007629F7" w:rsidP="007629F7">
      <w:pPr>
        <w:spacing w:line="276" w:lineRule="auto"/>
        <w:jc w:val="both"/>
        <w:rPr>
          <w:lang w:val="en-US"/>
        </w:rPr>
      </w:pPr>
      <w:r w:rsidRPr="001E68ED">
        <w:rPr>
          <w:lang w:val="en-US"/>
        </w:rPr>
        <w:t>Amy M. Mason, PhD</w:t>
      </w:r>
      <w:r>
        <w:rPr>
          <w:vertAlign w:val="superscript"/>
          <w:lang w:val="en-US"/>
        </w:rPr>
        <w:t>1,2</w:t>
      </w:r>
      <w:r w:rsidRPr="001E68ED">
        <w:rPr>
          <w:lang w:val="en-US"/>
        </w:rPr>
        <w:t>, Stephen Burgess, PhD</w:t>
      </w:r>
      <w:r>
        <w:rPr>
          <w:vertAlign w:val="superscript"/>
          <w:lang w:val="en-US"/>
        </w:rPr>
        <w:t>3</w:t>
      </w:r>
      <w:r w:rsidRPr="001E68ED">
        <w:rPr>
          <w:vertAlign w:val="superscript"/>
          <w:lang w:val="en-US"/>
        </w:rPr>
        <w:t xml:space="preserve">, </w:t>
      </w:r>
      <w:r>
        <w:rPr>
          <w:vertAlign w:val="superscript"/>
          <w:lang w:val="en-US"/>
        </w:rPr>
        <w:t>4</w:t>
      </w:r>
    </w:p>
    <w:p w14:paraId="25D77810" w14:textId="77777777" w:rsidR="007629F7" w:rsidRDefault="007629F7" w:rsidP="007629F7">
      <w:pPr>
        <w:spacing w:line="276" w:lineRule="auto"/>
        <w:jc w:val="both"/>
        <w:rPr>
          <w:lang w:val="en-US"/>
        </w:rPr>
      </w:pPr>
    </w:p>
    <w:p w14:paraId="5625CC1D" w14:textId="77777777" w:rsidR="007629F7" w:rsidRPr="009C7C66" w:rsidRDefault="007629F7" w:rsidP="007629F7">
      <w:pPr>
        <w:spacing w:line="276" w:lineRule="auto"/>
        <w:jc w:val="both"/>
        <w:rPr>
          <w:rFonts w:cstheme="minorHAnsi"/>
          <w:b/>
          <w:bCs/>
          <w:lang w:val="en-US"/>
        </w:rPr>
      </w:pPr>
      <w:r w:rsidRPr="009C7C66">
        <w:rPr>
          <w:rFonts w:cstheme="minorHAnsi"/>
          <w:b/>
          <w:bCs/>
          <w:lang w:val="en-US"/>
        </w:rPr>
        <w:t>Affiliations</w:t>
      </w:r>
    </w:p>
    <w:p w14:paraId="595CB3ED" w14:textId="47011F7C" w:rsidR="007629F7" w:rsidRPr="009C7C66" w:rsidRDefault="007629F7" w:rsidP="007629F7">
      <w:pPr>
        <w:pStyle w:val="NormalWeb"/>
        <w:shd w:val="clear" w:color="auto" w:fill="FFFFFF"/>
        <w:spacing w:before="0" w:beforeAutospacing="0" w:after="0" w:afterAutospacing="0" w:line="360" w:lineRule="auto"/>
        <w:jc w:val="both"/>
        <w:rPr>
          <w:rFonts w:asciiTheme="minorHAnsi" w:hAnsiTheme="minorHAnsi" w:cstheme="minorHAnsi"/>
          <w:lang w:val="en-GB"/>
        </w:rPr>
      </w:pPr>
      <w:r>
        <w:rPr>
          <w:rFonts w:asciiTheme="minorHAnsi" w:hAnsiTheme="minorHAnsi" w:cstheme="minorHAnsi"/>
          <w:vertAlign w:val="superscript"/>
          <w:lang w:val="en-GB"/>
        </w:rPr>
        <w:t>1</w:t>
      </w:r>
      <w:r w:rsidRPr="009C7C66">
        <w:rPr>
          <w:rFonts w:asciiTheme="minorHAnsi" w:hAnsiTheme="minorHAnsi" w:cstheme="minorHAnsi"/>
          <w:vertAlign w:val="superscript"/>
          <w:lang w:val="en-GB"/>
        </w:rPr>
        <w:t xml:space="preserve"> </w:t>
      </w:r>
      <w:r w:rsidRPr="009C7C66">
        <w:rPr>
          <w:rFonts w:asciiTheme="minorHAnsi" w:hAnsiTheme="minorHAnsi" w:cstheme="minorHAnsi"/>
          <w:lang w:val="en-GB"/>
        </w:rPr>
        <w:t>British Heart Foundation Cardiovascular Epidemiology Unit, Department of Public Health and Primary Care, University of Cambridge, Cambridge, UK</w:t>
      </w:r>
    </w:p>
    <w:p w14:paraId="546F8155" w14:textId="551F5E39" w:rsidR="007629F7" w:rsidRPr="009C7C66" w:rsidRDefault="007629F7" w:rsidP="007629F7">
      <w:pPr>
        <w:pStyle w:val="NormalWeb"/>
        <w:shd w:val="clear" w:color="auto" w:fill="FFFFFF"/>
        <w:spacing w:before="0" w:beforeAutospacing="0" w:after="0" w:afterAutospacing="0" w:line="360" w:lineRule="auto"/>
        <w:jc w:val="both"/>
        <w:rPr>
          <w:rFonts w:asciiTheme="minorHAnsi" w:hAnsiTheme="minorHAnsi" w:cstheme="minorHAnsi"/>
          <w:lang w:val="en-GB"/>
        </w:rPr>
      </w:pPr>
      <w:r>
        <w:rPr>
          <w:rFonts w:asciiTheme="minorHAnsi" w:hAnsiTheme="minorHAnsi" w:cstheme="minorHAnsi"/>
          <w:vertAlign w:val="superscript"/>
          <w:lang w:val="en-GB"/>
        </w:rPr>
        <w:t>2</w:t>
      </w:r>
      <w:r w:rsidRPr="009C7C66">
        <w:rPr>
          <w:rFonts w:asciiTheme="minorHAnsi" w:hAnsiTheme="minorHAnsi" w:cstheme="minorHAnsi"/>
          <w:vertAlign w:val="superscript"/>
          <w:lang w:val="en-GB"/>
        </w:rPr>
        <w:t xml:space="preserve"> </w:t>
      </w:r>
      <w:r w:rsidRPr="009C7C66">
        <w:rPr>
          <w:rFonts w:asciiTheme="minorHAnsi" w:hAnsiTheme="minorHAnsi" w:cstheme="minorHAnsi"/>
          <w:lang w:val="en-GB"/>
        </w:rPr>
        <w:t xml:space="preserve">National Institute for Health Research Cambridge Biomedical Research Centre, University of Cambridge and Cambridge University Hospitals, Cambridge, UK </w:t>
      </w:r>
    </w:p>
    <w:p w14:paraId="3BFE76D5" w14:textId="3E3BF4BD" w:rsidR="007629F7" w:rsidRDefault="007629F7" w:rsidP="007629F7">
      <w:pPr>
        <w:spacing w:line="360" w:lineRule="auto"/>
        <w:jc w:val="both"/>
        <w:rPr>
          <w:rFonts w:cstheme="minorHAnsi"/>
          <w:lang w:val="en-US"/>
        </w:rPr>
      </w:pPr>
      <w:r>
        <w:rPr>
          <w:rFonts w:cstheme="minorHAnsi"/>
          <w:vertAlign w:val="superscript"/>
          <w:lang w:val="en-US"/>
        </w:rPr>
        <w:t>3</w:t>
      </w:r>
      <w:r w:rsidRPr="009C7C66">
        <w:rPr>
          <w:rFonts w:cstheme="minorHAnsi"/>
          <w:lang w:val="en-US"/>
        </w:rPr>
        <w:t xml:space="preserve"> Department of Public Health and Primary Care, University of Cambridge, Cambridge, UK</w:t>
      </w:r>
    </w:p>
    <w:p w14:paraId="782D8F31" w14:textId="42A8469A" w:rsidR="007629F7" w:rsidRPr="009C7C66" w:rsidRDefault="007629F7" w:rsidP="007629F7">
      <w:pPr>
        <w:spacing w:line="360" w:lineRule="auto"/>
        <w:jc w:val="both"/>
        <w:rPr>
          <w:rFonts w:cstheme="minorHAnsi"/>
          <w:lang w:val="en-GB"/>
        </w:rPr>
      </w:pPr>
      <w:r>
        <w:rPr>
          <w:rFonts w:cstheme="minorHAnsi"/>
          <w:vertAlign w:val="superscript"/>
          <w:lang w:val="en-GB"/>
        </w:rPr>
        <w:t>4</w:t>
      </w:r>
      <w:r w:rsidRPr="009C7C66">
        <w:rPr>
          <w:rFonts w:cstheme="minorHAnsi"/>
          <w:vertAlign w:val="superscript"/>
          <w:lang w:val="en-GB"/>
        </w:rPr>
        <w:t xml:space="preserve"> </w:t>
      </w:r>
      <w:r w:rsidRPr="009C7C66">
        <w:rPr>
          <w:rFonts w:cstheme="minorHAnsi"/>
          <w:lang w:val="en-GB"/>
        </w:rPr>
        <w:t>MRC Biostatistics Unit, University of Cambridge, Cambridge, UK</w:t>
      </w:r>
    </w:p>
    <w:p w14:paraId="277A0449" w14:textId="77777777" w:rsidR="007629F7" w:rsidRPr="001E68ED" w:rsidRDefault="007629F7" w:rsidP="007629F7">
      <w:pPr>
        <w:spacing w:line="276" w:lineRule="auto"/>
        <w:jc w:val="both"/>
        <w:rPr>
          <w:lang w:val="en-US"/>
        </w:rPr>
      </w:pPr>
    </w:p>
    <w:p w14:paraId="071AE806" w14:textId="4BD1C5A4" w:rsidR="007629F7" w:rsidRPr="001E68ED" w:rsidRDefault="007629F7" w:rsidP="007629F7">
      <w:pPr>
        <w:spacing w:line="276" w:lineRule="auto"/>
        <w:rPr>
          <w:rStyle w:val="Hyperlink"/>
          <w:rFonts w:cstheme="minorHAnsi"/>
          <w:lang w:val="en-GB"/>
        </w:rPr>
      </w:pPr>
      <w:r w:rsidRPr="001E68ED">
        <w:rPr>
          <w:lang w:val="en-US"/>
        </w:rPr>
        <w:t xml:space="preserve">Corresponding author: </w:t>
      </w:r>
      <w:r>
        <w:rPr>
          <w:lang w:val="en-US"/>
        </w:rPr>
        <w:t xml:space="preserve">Amy M. Mason, </w:t>
      </w:r>
      <w:r w:rsidRPr="007629F7">
        <w:rPr>
          <w:rFonts w:cstheme="minorHAnsi"/>
          <w:lang w:val="en-GB"/>
        </w:rPr>
        <w:t>Strangeways</w:t>
      </w:r>
      <w:r>
        <w:rPr>
          <w:rFonts w:cstheme="minorHAnsi"/>
          <w:lang w:val="en-GB"/>
        </w:rPr>
        <w:t xml:space="preserve"> </w:t>
      </w:r>
      <w:r w:rsidRPr="007629F7">
        <w:rPr>
          <w:rFonts w:cstheme="minorHAnsi"/>
          <w:lang w:val="en-GB"/>
        </w:rPr>
        <w:t>Research Laboratory,</w:t>
      </w:r>
      <w:r>
        <w:rPr>
          <w:rFonts w:cstheme="minorHAnsi"/>
          <w:lang w:val="en-GB"/>
        </w:rPr>
        <w:t xml:space="preserve"> </w:t>
      </w:r>
      <w:r w:rsidRPr="007629F7">
        <w:rPr>
          <w:rFonts w:cstheme="minorHAnsi"/>
          <w:lang w:val="en-GB"/>
        </w:rPr>
        <w:t>Department of Public Health and Primary</w:t>
      </w:r>
      <w:r>
        <w:rPr>
          <w:rFonts w:cstheme="minorHAnsi"/>
          <w:lang w:val="en-GB"/>
        </w:rPr>
        <w:t xml:space="preserve"> </w:t>
      </w:r>
      <w:r w:rsidRPr="007629F7">
        <w:rPr>
          <w:rFonts w:cstheme="minorHAnsi"/>
          <w:lang w:val="en-GB"/>
        </w:rPr>
        <w:t>Care,</w:t>
      </w:r>
      <w:r>
        <w:rPr>
          <w:rFonts w:cstheme="minorHAnsi"/>
          <w:lang w:val="en-GB"/>
        </w:rPr>
        <w:t xml:space="preserve"> </w:t>
      </w:r>
      <w:r w:rsidRPr="007629F7">
        <w:rPr>
          <w:rFonts w:cstheme="minorHAnsi"/>
          <w:lang w:val="en-GB"/>
        </w:rPr>
        <w:t>Cardiovascular Epidemiology</w:t>
      </w:r>
      <w:r>
        <w:rPr>
          <w:rFonts w:cstheme="minorHAnsi"/>
          <w:lang w:val="en-GB"/>
        </w:rPr>
        <w:t xml:space="preserve"> </w:t>
      </w:r>
      <w:r w:rsidRPr="007629F7">
        <w:rPr>
          <w:rFonts w:cstheme="minorHAnsi"/>
          <w:lang w:val="en-GB"/>
        </w:rPr>
        <w:t>Unit,</w:t>
      </w:r>
      <w:r>
        <w:rPr>
          <w:rFonts w:cstheme="minorHAnsi"/>
          <w:lang w:val="en-GB"/>
        </w:rPr>
        <w:t xml:space="preserve"> </w:t>
      </w:r>
      <w:r w:rsidRPr="007629F7">
        <w:rPr>
          <w:rFonts w:cstheme="minorHAnsi"/>
          <w:lang w:val="en-GB"/>
        </w:rPr>
        <w:t>University of Cambridge,</w:t>
      </w:r>
      <w:r>
        <w:rPr>
          <w:rFonts w:cstheme="minorHAnsi"/>
          <w:lang w:val="en-GB"/>
        </w:rPr>
        <w:t xml:space="preserve"> </w:t>
      </w:r>
      <w:r w:rsidRPr="007629F7">
        <w:rPr>
          <w:rFonts w:cstheme="minorHAnsi"/>
          <w:lang w:val="en-GB"/>
        </w:rPr>
        <w:t>Wort’s Causeway,</w:t>
      </w:r>
      <w:r>
        <w:rPr>
          <w:rFonts w:cstheme="minorHAnsi"/>
          <w:lang w:val="en-GB"/>
        </w:rPr>
        <w:t xml:space="preserve"> </w:t>
      </w:r>
      <w:r w:rsidRPr="007629F7">
        <w:rPr>
          <w:rFonts w:cstheme="minorHAnsi"/>
          <w:lang w:val="en-GB"/>
        </w:rPr>
        <w:t>Cambridge</w:t>
      </w:r>
      <w:r>
        <w:rPr>
          <w:rFonts w:cstheme="minorHAnsi"/>
          <w:lang w:val="en-GB"/>
        </w:rPr>
        <w:t xml:space="preserve"> </w:t>
      </w:r>
      <w:r w:rsidRPr="007629F7">
        <w:rPr>
          <w:rFonts w:cstheme="minorHAnsi"/>
          <w:lang w:val="en-GB"/>
        </w:rPr>
        <w:t>CB18RN, UK.</w:t>
      </w:r>
      <w:r>
        <w:rPr>
          <w:rFonts w:cstheme="minorHAnsi"/>
          <w:lang w:val="en-GB"/>
        </w:rPr>
        <w:br/>
      </w:r>
      <w:r w:rsidRPr="007629F7">
        <w:rPr>
          <w:rFonts w:cstheme="minorHAnsi"/>
          <w:lang w:val="en-GB"/>
        </w:rPr>
        <w:t xml:space="preserve"> </w:t>
      </w:r>
      <w:r>
        <w:rPr>
          <w:rFonts w:cstheme="minorHAnsi"/>
          <w:lang w:val="en-US"/>
        </w:rPr>
        <w:t xml:space="preserve">Tel: </w:t>
      </w:r>
      <w:hyperlink r:id="rId6" w:history="1">
        <w:r w:rsidRPr="00A821D3">
          <w:rPr>
            <w:rStyle w:val="Hyperlink"/>
            <w:rFonts w:cstheme="minorHAnsi"/>
            <w:lang w:val="en-GB"/>
          </w:rPr>
          <w:t>44-7825299644</w:t>
        </w:r>
      </w:hyperlink>
      <w:r w:rsidRPr="001E68ED">
        <w:rPr>
          <w:rFonts w:cstheme="minorHAnsi"/>
          <w:lang w:val="en-GB"/>
        </w:rPr>
        <w:t xml:space="preserve">; E-mail: </w:t>
      </w:r>
      <w:hyperlink r:id="rId7" w:history="1">
        <w:r w:rsidRPr="00A821D3">
          <w:rPr>
            <w:rStyle w:val="Hyperlink"/>
            <w:rFonts w:cstheme="minorHAnsi"/>
            <w:lang w:val="en-GB"/>
          </w:rPr>
          <w:t>am2609@medschl.cam.ac.uk</w:t>
        </w:r>
      </w:hyperlink>
    </w:p>
    <w:p w14:paraId="2E43EE05" w14:textId="77777777" w:rsidR="007629F7" w:rsidRPr="005B3D91" w:rsidRDefault="007629F7" w:rsidP="007629F7">
      <w:pPr>
        <w:jc w:val="both"/>
        <w:rPr>
          <w:lang w:val="en-US"/>
        </w:rPr>
      </w:pPr>
    </w:p>
    <w:p w14:paraId="7F0F065C" w14:textId="77777777" w:rsidR="007629F7" w:rsidRPr="000A3BE5" w:rsidRDefault="007629F7" w:rsidP="007629F7">
      <w:pPr>
        <w:spacing w:line="276" w:lineRule="auto"/>
        <w:jc w:val="both"/>
        <w:outlineLvl w:val="0"/>
        <w:rPr>
          <w:rStyle w:val="Hyperlink"/>
          <w:rFonts w:cstheme="minorHAnsi"/>
          <w:color w:val="000000" w:themeColor="text1"/>
          <w:u w:val="none"/>
          <w:lang w:val="en-US"/>
        </w:rPr>
      </w:pPr>
      <w:r w:rsidRPr="000A3BE5">
        <w:rPr>
          <w:rStyle w:val="Hyperlink"/>
          <w:rFonts w:cstheme="minorHAnsi"/>
          <w:b/>
          <w:bCs/>
          <w:color w:val="000000" w:themeColor="text1"/>
          <w:u w:val="none"/>
          <w:lang w:val="en-US"/>
        </w:rPr>
        <w:t>Words of abstract</w:t>
      </w:r>
      <w:r w:rsidRPr="000A3BE5">
        <w:rPr>
          <w:rStyle w:val="Hyperlink"/>
          <w:rFonts w:cstheme="minorHAnsi"/>
          <w:color w:val="000000" w:themeColor="text1"/>
          <w:u w:val="none"/>
          <w:lang w:val="en-US"/>
        </w:rPr>
        <w:t xml:space="preserve">:  / </w:t>
      </w:r>
      <w:r w:rsidRPr="000A3BE5">
        <w:rPr>
          <w:rStyle w:val="Hyperlink"/>
          <w:rFonts w:cstheme="minorHAnsi"/>
          <w:b/>
          <w:bCs/>
          <w:color w:val="000000" w:themeColor="text1"/>
          <w:u w:val="none"/>
          <w:lang w:val="en-US"/>
        </w:rPr>
        <w:t>main text</w:t>
      </w:r>
      <w:r w:rsidRPr="000A3BE5">
        <w:rPr>
          <w:rStyle w:val="Hyperlink"/>
          <w:rFonts w:cstheme="minorHAnsi"/>
          <w:color w:val="000000" w:themeColor="text1"/>
          <w:u w:val="none"/>
          <w:lang w:val="en-US"/>
        </w:rPr>
        <w:t xml:space="preserve">: </w:t>
      </w:r>
    </w:p>
    <w:p w14:paraId="7E7401BC" w14:textId="68FADA24" w:rsidR="007629F7" w:rsidRDefault="007629F7" w:rsidP="007629F7">
      <w:pPr>
        <w:spacing w:line="276" w:lineRule="auto"/>
        <w:jc w:val="both"/>
        <w:outlineLvl w:val="0"/>
        <w:rPr>
          <w:rStyle w:val="Hyperlink"/>
          <w:rFonts w:cstheme="minorHAnsi"/>
          <w:color w:val="000000" w:themeColor="text1"/>
          <w:u w:val="none"/>
          <w:lang w:val="en-US"/>
        </w:rPr>
      </w:pPr>
      <w:r w:rsidRPr="000A3BE5">
        <w:rPr>
          <w:rStyle w:val="Hyperlink"/>
          <w:rFonts w:cstheme="minorHAnsi"/>
          <w:b/>
          <w:bCs/>
          <w:color w:val="000000" w:themeColor="text1"/>
          <w:u w:val="none"/>
          <w:lang w:val="en-US"/>
        </w:rPr>
        <w:t>Numbers of tables</w:t>
      </w:r>
      <w:r w:rsidRPr="000A3BE5">
        <w:rPr>
          <w:rStyle w:val="Hyperlink"/>
          <w:rFonts w:cstheme="minorHAnsi"/>
          <w:color w:val="000000" w:themeColor="text1"/>
          <w:u w:val="none"/>
          <w:lang w:val="en-US"/>
        </w:rPr>
        <w:t xml:space="preserve">:  / </w:t>
      </w:r>
      <w:r w:rsidRPr="000A3BE5">
        <w:rPr>
          <w:rStyle w:val="Hyperlink"/>
          <w:rFonts w:cstheme="minorHAnsi"/>
          <w:b/>
          <w:bCs/>
          <w:color w:val="000000" w:themeColor="text1"/>
          <w:u w:val="none"/>
          <w:lang w:val="en-US"/>
        </w:rPr>
        <w:t>figures</w:t>
      </w:r>
      <w:r w:rsidRPr="000A3BE5">
        <w:rPr>
          <w:rStyle w:val="Hyperlink"/>
          <w:rFonts w:cstheme="minorHAnsi"/>
          <w:color w:val="000000" w:themeColor="text1"/>
          <w:u w:val="none"/>
          <w:lang w:val="en-US"/>
        </w:rPr>
        <w:t xml:space="preserve">: </w:t>
      </w:r>
    </w:p>
    <w:p w14:paraId="4373957D" w14:textId="27502FAD" w:rsidR="007629F7" w:rsidRPr="000A3BE5" w:rsidRDefault="007629F7" w:rsidP="007629F7">
      <w:pPr>
        <w:spacing w:line="276" w:lineRule="auto"/>
        <w:jc w:val="both"/>
        <w:rPr>
          <w:rStyle w:val="Hyperlink"/>
          <w:rFonts w:cstheme="minorHAnsi"/>
          <w:color w:val="000000" w:themeColor="text1"/>
          <w:u w:val="none"/>
          <w:lang w:val="en-US"/>
        </w:rPr>
      </w:pPr>
      <w:r w:rsidRPr="00E012AA">
        <w:rPr>
          <w:rStyle w:val="Hyperlink"/>
          <w:rFonts w:cstheme="minorHAnsi"/>
          <w:b/>
          <w:bCs/>
          <w:color w:val="000000" w:themeColor="text1"/>
          <w:u w:val="none"/>
          <w:lang w:val="en-US"/>
        </w:rPr>
        <w:t>Supplementary tables</w:t>
      </w:r>
      <w:r>
        <w:rPr>
          <w:rStyle w:val="Hyperlink"/>
          <w:rFonts w:cstheme="minorHAnsi"/>
          <w:color w:val="000000" w:themeColor="text1"/>
          <w:u w:val="none"/>
          <w:lang w:val="en-US"/>
        </w:rPr>
        <w:t xml:space="preserve">: / </w:t>
      </w:r>
      <w:r w:rsidRPr="00E012AA">
        <w:rPr>
          <w:rStyle w:val="Hyperlink"/>
          <w:rFonts w:cstheme="minorHAnsi"/>
          <w:b/>
          <w:bCs/>
          <w:color w:val="000000" w:themeColor="text1"/>
          <w:u w:val="none"/>
          <w:lang w:val="en-US"/>
        </w:rPr>
        <w:t>figure</w:t>
      </w:r>
      <w:r>
        <w:rPr>
          <w:rStyle w:val="Hyperlink"/>
          <w:rFonts w:cstheme="minorHAnsi"/>
          <w:color w:val="000000" w:themeColor="text1"/>
          <w:u w:val="none"/>
          <w:lang w:val="en-US"/>
        </w:rPr>
        <w:t xml:space="preserve">: </w:t>
      </w:r>
    </w:p>
    <w:p w14:paraId="443AB08E" w14:textId="77777777" w:rsidR="007629F7" w:rsidRDefault="007629F7" w:rsidP="007629F7">
      <w:pPr>
        <w:spacing w:line="276" w:lineRule="auto"/>
        <w:jc w:val="both"/>
        <w:rPr>
          <w:rStyle w:val="Hyperlink"/>
          <w:rFonts w:cstheme="minorHAnsi"/>
          <w:color w:val="000000" w:themeColor="text1"/>
          <w:u w:val="none"/>
          <w:lang w:val="en-US"/>
        </w:rPr>
      </w:pPr>
      <w:r w:rsidRPr="000A3BE5">
        <w:rPr>
          <w:rStyle w:val="Hyperlink"/>
          <w:rFonts w:cstheme="minorHAnsi"/>
          <w:b/>
          <w:bCs/>
          <w:color w:val="000000" w:themeColor="text1"/>
          <w:u w:val="none"/>
          <w:lang w:val="en-US"/>
        </w:rPr>
        <w:t>Numbers of references</w:t>
      </w:r>
      <w:r w:rsidRPr="000A3BE5">
        <w:rPr>
          <w:rStyle w:val="Hyperlink"/>
          <w:rFonts w:cstheme="minorHAnsi"/>
          <w:color w:val="000000" w:themeColor="text1"/>
          <w:u w:val="none"/>
          <w:lang w:val="en-US"/>
        </w:rPr>
        <w:t>:</w:t>
      </w:r>
    </w:p>
    <w:p w14:paraId="1A9410C1" w14:textId="77777777" w:rsidR="007629F7" w:rsidRDefault="007629F7" w:rsidP="007629F7">
      <w:pPr>
        <w:jc w:val="both"/>
        <w:rPr>
          <w:rStyle w:val="Hyperlink"/>
          <w:rFonts w:cstheme="minorHAnsi"/>
          <w:color w:val="000000" w:themeColor="text1"/>
          <w:u w:val="none"/>
          <w:lang w:val="en-US"/>
        </w:rPr>
      </w:pPr>
    </w:p>
    <w:p w14:paraId="3D53756F" w14:textId="5ABF0CD1" w:rsidR="007629F7" w:rsidRPr="003215C1" w:rsidRDefault="007629F7" w:rsidP="007629F7">
      <w:pPr>
        <w:spacing w:line="276" w:lineRule="auto"/>
        <w:jc w:val="both"/>
        <w:rPr>
          <w:rFonts w:cstheme="minorHAnsi"/>
          <w:color w:val="000000" w:themeColor="text1"/>
          <w:lang w:val="en-US"/>
        </w:rPr>
      </w:pPr>
      <w:r>
        <w:rPr>
          <w:rFonts w:cstheme="minorHAnsi"/>
          <w:b/>
          <w:bCs/>
          <w:color w:val="000000" w:themeColor="text1"/>
          <w:lang w:val="en-US"/>
        </w:rPr>
        <w:t>Funding source</w:t>
      </w:r>
      <w:r w:rsidRPr="00831701">
        <w:rPr>
          <w:rFonts w:cstheme="minorHAnsi"/>
          <w:color w:val="000000" w:themeColor="text1"/>
          <w:lang w:val="en-US"/>
        </w:rPr>
        <w:t xml:space="preserve">: </w:t>
      </w:r>
      <w:r w:rsidRPr="004369C1">
        <w:rPr>
          <w:rFonts w:cstheme="minorHAnsi" w:hint="eastAsia"/>
          <w:color w:val="000000" w:themeColor="text1"/>
          <w:lang w:val="en-US"/>
        </w:rPr>
        <w:t xml:space="preserve">AMM is supported by </w:t>
      </w:r>
      <w:bookmarkStart w:id="0" w:name="_GoBack"/>
      <w:r w:rsidRPr="004369C1">
        <w:rPr>
          <w:rFonts w:cstheme="minorHAnsi" w:hint="eastAsia"/>
          <w:color w:val="000000" w:themeColor="text1"/>
          <w:lang w:val="en-US"/>
        </w:rPr>
        <w:t>EC</w:t>
      </w:r>
      <w:r w:rsidRPr="004369C1">
        <w:rPr>
          <w:rFonts w:cstheme="minorHAnsi" w:hint="eastAsia"/>
          <w:color w:val="000000" w:themeColor="text1"/>
          <w:lang w:val="en-US"/>
        </w:rPr>
        <w:t>‐</w:t>
      </w:r>
      <w:r w:rsidRPr="004369C1">
        <w:rPr>
          <w:rFonts w:cstheme="minorHAnsi" w:hint="eastAsia"/>
          <w:color w:val="000000" w:themeColor="text1"/>
          <w:lang w:val="en-US"/>
        </w:rPr>
        <w:t>Innovative Medicines Initiative (</w:t>
      </w:r>
      <w:proofErr w:type="spellStart"/>
      <w:r w:rsidRPr="004369C1">
        <w:rPr>
          <w:rFonts w:cstheme="minorHAnsi" w:hint="eastAsia"/>
          <w:color w:val="000000" w:themeColor="text1"/>
          <w:lang w:val="en-US"/>
        </w:rPr>
        <w:t>BigData@Heart</w:t>
      </w:r>
      <w:proofErr w:type="spellEnd"/>
      <w:r w:rsidRPr="004369C1">
        <w:rPr>
          <w:rFonts w:cstheme="minorHAnsi" w:hint="eastAsia"/>
          <w:color w:val="000000" w:themeColor="text1"/>
          <w:lang w:val="en-US"/>
        </w:rPr>
        <w:t>)</w:t>
      </w:r>
      <w:bookmarkEnd w:id="0"/>
      <w:r w:rsidRPr="004369C1">
        <w:rPr>
          <w:rFonts w:cstheme="minorHAnsi" w:hint="eastAsia"/>
          <w:color w:val="000000" w:themeColor="text1"/>
          <w:lang w:val="en-US"/>
        </w:rPr>
        <w:t xml:space="preserve">. SB is supported by Sir Henry Dale Fellowship jointly funded by the </w:t>
      </w:r>
      <w:proofErr w:type="spellStart"/>
      <w:r w:rsidRPr="004369C1">
        <w:rPr>
          <w:rFonts w:cstheme="minorHAnsi" w:hint="eastAsia"/>
          <w:color w:val="000000" w:themeColor="text1"/>
          <w:lang w:val="en-US"/>
        </w:rPr>
        <w:t>Wellcome</w:t>
      </w:r>
      <w:proofErr w:type="spellEnd"/>
      <w:r w:rsidRPr="004369C1">
        <w:rPr>
          <w:rFonts w:cstheme="minorHAnsi" w:hint="eastAsia"/>
          <w:color w:val="000000" w:themeColor="text1"/>
          <w:lang w:val="en-US"/>
        </w:rPr>
        <w:t xml:space="preserve"> Trust and the Royal Society (204623/Z/16/Z). </w:t>
      </w:r>
    </w:p>
    <w:p w14:paraId="63D6E8E7" w14:textId="77EE5792" w:rsidR="007629F7" w:rsidRDefault="007629F7" w:rsidP="007629F7">
      <w:pPr>
        <w:spacing w:line="276" w:lineRule="auto"/>
        <w:jc w:val="both"/>
        <w:rPr>
          <w:rFonts w:cstheme="minorHAnsi"/>
          <w:color w:val="000000" w:themeColor="text1"/>
          <w:lang w:val="en-US"/>
        </w:rPr>
      </w:pPr>
      <w:r w:rsidRPr="00831701">
        <w:rPr>
          <w:rFonts w:cstheme="minorHAnsi"/>
          <w:b/>
          <w:bCs/>
          <w:color w:val="000000" w:themeColor="text1"/>
          <w:lang w:val="en-US"/>
        </w:rPr>
        <w:t xml:space="preserve">Author contributions: </w:t>
      </w:r>
      <w:r w:rsidRPr="00831701">
        <w:rPr>
          <w:rFonts w:cstheme="minorHAnsi"/>
          <w:color w:val="000000" w:themeColor="text1"/>
          <w:lang w:val="en-US"/>
        </w:rPr>
        <w:t xml:space="preserve">Study conception and design: </w:t>
      </w:r>
      <w:r>
        <w:rPr>
          <w:rFonts w:cstheme="minorHAnsi"/>
          <w:color w:val="000000" w:themeColor="text1"/>
          <w:lang w:val="en-US"/>
        </w:rPr>
        <w:t>AMM &amp; SB</w:t>
      </w:r>
      <w:r w:rsidRPr="00831701">
        <w:rPr>
          <w:rFonts w:cstheme="minorHAnsi"/>
          <w:color w:val="000000" w:themeColor="text1"/>
          <w:lang w:val="en-US"/>
        </w:rPr>
        <w:t xml:space="preserve">; data </w:t>
      </w:r>
      <w:r>
        <w:rPr>
          <w:rFonts w:cstheme="minorHAnsi"/>
          <w:color w:val="000000" w:themeColor="text1"/>
          <w:lang w:val="en-US"/>
        </w:rPr>
        <w:t>creation</w:t>
      </w:r>
      <w:r w:rsidRPr="00831701">
        <w:rPr>
          <w:rFonts w:cstheme="minorHAnsi"/>
          <w:color w:val="000000" w:themeColor="text1"/>
          <w:lang w:val="en-US"/>
        </w:rPr>
        <w:t xml:space="preserve"> and analysis: </w:t>
      </w:r>
      <w:r>
        <w:rPr>
          <w:rFonts w:cstheme="minorHAnsi"/>
          <w:color w:val="000000" w:themeColor="text1"/>
          <w:lang w:val="en-US"/>
        </w:rPr>
        <w:t>AMM</w:t>
      </w:r>
      <w:r w:rsidRPr="00831701">
        <w:rPr>
          <w:rFonts w:cstheme="minorHAnsi"/>
          <w:color w:val="000000" w:themeColor="text1"/>
          <w:lang w:val="en-US"/>
        </w:rPr>
        <w:t xml:space="preserve">; drafting the manuscript and figures: </w:t>
      </w:r>
      <w:r>
        <w:rPr>
          <w:rFonts w:cstheme="minorHAnsi"/>
          <w:color w:val="000000" w:themeColor="text1"/>
          <w:lang w:val="en-US"/>
        </w:rPr>
        <w:t>AMM</w:t>
      </w:r>
      <w:r w:rsidRPr="00831701">
        <w:rPr>
          <w:rFonts w:cstheme="minorHAnsi"/>
          <w:color w:val="000000" w:themeColor="text1"/>
          <w:lang w:val="en-US"/>
        </w:rPr>
        <w:t xml:space="preserve">; reviewing the manuscript: </w:t>
      </w:r>
      <w:r>
        <w:rPr>
          <w:rFonts w:cstheme="minorHAnsi"/>
          <w:color w:val="000000" w:themeColor="text1"/>
          <w:lang w:val="en-US"/>
        </w:rPr>
        <w:t>SB &amp; AMM</w:t>
      </w:r>
    </w:p>
    <w:p w14:paraId="46B1D15D" w14:textId="0DA27880" w:rsidR="007629F7" w:rsidRPr="00E76317" w:rsidRDefault="007629F7" w:rsidP="007629F7">
      <w:pPr>
        <w:spacing w:line="276" w:lineRule="auto"/>
        <w:jc w:val="both"/>
        <w:rPr>
          <w:rFonts w:cstheme="minorHAnsi"/>
          <w:b/>
          <w:bCs/>
          <w:color w:val="000000" w:themeColor="text1"/>
          <w:lang w:val="en-US"/>
        </w:rPr>
      </w:pPr>
      <w:r w:rsidRPr="00194500">
        <w:rPr>
          <w:rFonts w:cstheme="minorHAnsi"/>
          <w:b/>
          <w:bCs/>
          <w:color w:val="000000" w:themeColor="text1"/>
          <w:lang w:val="en-US"/>
        </w:rPr>
        <w:t>Ack</w:t>
      </w:r>
      <w:r>
        <w:rPr>
          <w:rFonts w:cstheme="minorHAnsi"/>
          <w:b/>
          <w:bCs/>
          <w:color w:val="000000" w:themeColor="text1"/>
          <w:lang w:val="en-US"/>
        </w:rPr>
        <w:t>now</w:t>
      </w:r>
      <w:r w:rsidRPr="00194500">
        <w:rPr>
          <w:rFonts w:cstheme="minorHAnsi"/>
          <w:b/>
          <w:bCs/>
          <w:color w:val="000000" w:themeColor="text1"/>
          <w:lang w:val="en-US"/>
        </w:rPr>
        <w:t>led</w:t>
      </w:r>
      <w:r>
        <w:rPr>
          <w:rFonts w:cstheme="minorHAnsi"/>
          <w:b/>
          <w:bCs/>
          <w:color w:val="000000" w:themeColor="text1"/>
          <w:lang w:val="en-US"/>
        </w:rPr>
        <w:t>g</w:t>
      </w:r>
      <w:r w:rsidRPr="00194500">
        <w:rPr>
          <w:rFonts w:cstheme="minorHAnsi"/>
          <w:b/>
          <w:bCs/>
          <w:color w:val="000000" w:themeColor="text1"/>
          <w:lang w:val="en-US"/>
        </w:rPr>
        <w:t>ment</w:t>
      </w:r>
      <w:r>
        <w:rPr>
          <w:rFonts w:cstheme="minorHAnsi"/>
          <w:b/>
          <w:bCs/>
          <w:color w:val="000000" w:themeColor="text1"/>
          <w:lang w:val="en-US"/>
        </w:rPr>
        <w:t>s:</w:t>
      </w:r>
      <w:r w:rsidRPr="00194500">
        <w:rPr>
          <w:rFonts w:cstheme="minorHAnsi"/>
          <w:b/>
          <w:bCs/>
          <w:color w:val="000000" w:themeColor="text1"/>
          <w:lang w:val="en-US"/>
        </w:rPr>
        <w:t xml:space="preserve"> </w:t>
      </w:r>
    </w:p>
    <w:p w14:paraId="2EB9C8C2" w14:textId="2CF56EBD" w:rsidR="007629F7" w:rsidRPr="00831701" w:rsidRDefault="007629F7" w:rsidP="007629F7">
      <w:pPr>
        <w:spacing w:line="276" w:lineRule="auto"/>
        <w:jc w:val="both"/>
        <w:rPr>
          <w:rFonts w:cstheme="minorHAnsi"/>
          <w:b/>
          <w:bCs/>
          <w:color w:val="000000" w:themeColor="text1"/>
          <w:lang w:val="en-US"/>
        </w:rPr>
      </w:pPr>
      <w:r w:rsidRPr="00831701">
        <w:rPr>
          <w:rFonts w:cstheme="minorHAnsi"/>
          <w:b/>
          <w:bCs/>
          <w:color w:val="000000" w:themeColor="text1"/>
          <w:lang w:val="en-US"/>
        </w:rPr>
        <w:t>Data availability</w:t>
      </w:r>
      <w:r>
        <w:rPr>
          <w:rFonts w:cstheme="minorHAnsi"/>
          <w:b/>
          <w:bCs/>
          <w:color w:val="000000" w:themeColor="text1"/>
          <w:lang w:val="en-US"/>
        </w:rPr>
        <w:t>:</w:t>
      </w:r>
      <w:r w:rsidRPr="00831701">
        <w:rPr>
          <w:rFonts w:cstheme="minorHAnsi"/>
          <w:b/>
          <w:bCs/>
          <w:color w:val="000000" w:themeColor="text1"/>
          <w:lang w:val="en-US"/>
        </w:rPr>
        <w:t xml:space="preserve"> </w:t>
      </w:r>
    </w:p>
    <w:p w14:paraId="13466D0F" w14:textId="509AEF11" w:rsidR="007629F7" w:rsidRDefault="007629F7" w:rsidP="007629F7">
      <w:pPr>
        <w:rPr>
          <w:rFonts w:cstheme="minorHAnsi"/>
          <w:color w:val="000000" w:themeColor="text1"/>
          <w:lang w:val="en-US"/>
        </w:rPr>
      </w:pPr>
      <w:r w:rsidRPr="00831701">
        <w:rPr>
          <w:rFonts w:cstheme="minorHAnsi"/>
          <w:b/>
          <w:bCs/>
          <w:color w:val="000000" w:themeColor="text1"/>
          <w:lang w:val="en-US"/>
        </w:rPr>
        <w:t xml:space="preserve">Conflict of interests: </w:t>
      </w:r>
      <w:r w:rsidRPr="00831701">
        <w:rPr>
          <w:rFonts w:cstheme="minorHAnsi"/>
          <w:color w:val="000000" w:themeColor="text1"/>
          <w:lang w:val="en-US"/>
        </w:rPr>
        <w:t>All authors have no conflict of interest to disclose.</w:t>
      </w:r>
    </w:p>
    <w:p w14:paraId="46FA645F" w14:textId="77777777" w:rsidR="007629F7" w:rsidRPr="00913DCA" w:rsidRDefault="007629F7" w:rsidP="007629F7">
      <w:pPr>
        <w:spacing w:line="480" w:lineRule="auto"/>
        <w:jc w:val="both"/>
        <w:rPr>
          <w:rFonts w:cstheme="minorHAnsi"/>
          <w:b/>
          <w:bCs/>
          <w:color w:val="000000" w:themeColor="text1"/>
          <w:lang w:val="en-US"/>
        </w:rPr>
      </w:pPr>
      <w:r>
        <w:rPr>
          <w:rFonts w:cstheme="minorHAnsi"/>
          <w:color w:val="000000" w:themeColor="text1"/>
          <w:lang w:val="en-US"/>
        </w:rPr>
        <w:br w:type="page"/>
      </w:r>
      <w:r w:rsidRPr="00913DCA">
        <w:rPr>
          <w:rFonts w:cstheme="minorHAnsi"/>
          <w:b/>
          <w:bCs/>
          <w:color w:val="000000" w:themeColor="text1"/>
          <w:lang w:val="en-US"/>
        </w:rPr>
        <w:lastRenderedPageBreak/>
        <w:t>Abstract</w:t>
      </w:r>
    </w:p>
    <w:p w14:paraId="2E5C50F1" w14:textId="2B480722" w:rsidR="007629F7" w:rsidRPr="004B345E" w:rsidRDefault="00A443EA" w:rsidP="00486CFD">
      <w:pPr>
        <w:spacing w:line="480" w:lineRule="auto"/>
        <w:rPr>
          <w:rFonts w:cstheme="minorHAnsi"/>
          <w:color w:val="000000" w:themeColor="text1"/>
          <w:lang w:val="en-US"/>
        </w:rPr>
      </w:pPr>
      <w:r w:rsidRPr="00A443EA">
        <w:rPr>
          <w:rFonts w:cstheme="minorHAnsi"/>
          <w:color w:val="000000" w:themeColor="text1"/>
          <w:lang w:val="en-US"/>
        </w:rPr>
        <w:t>Mendelian randomization</w:t>
      </w:r>
      <w:r>
        <w:rPr>
          <w:rFonts w:cstheme="minorHAnsi"/>
          <w:color w:val="000000" w:themeColor="text1"/>
          <w:lang w:val="en-US"/>
        </w:rPr>
        <w:t xml:space="preserve"> uses instrumental variable analysis with genetic variants to determine </w:t>
      </w:r>
      <w:r w:rsidRPr="00A443EA">
        <w:rPr>
          <w:rFonts w:cstheme="minorHAnsi"/>
          <w:color w:val="000000" w:themeColor="text1"/>
          <w:lang w:val="en-US"/>
        </w:rPr>
        <w:t xml:space="preserve">the causal effect of an exposure on an outcome. </w:t>
      </w:r>
      <w:r w:rsidR="00486CFD">
        <w:rPr>
          <w:rFonts w:cstheme="minorHAnsi"/>
          <w:color w:val="000000" w:themeColor="text1"/>
          <w:lang w:val="en-US"/>
        </w:rPr>
        <w:t>Semiparametric</w:t>
      </w:r>
      <w:r>
        <w:rPr>
          <w:rFonts w:cstheme="minorHAnsi"/>
          <w:color w:val="000000" w:themeColor="text1"/>
          <w:lang w:val="en-US"/>
        </w:rPr>
        <w:t xml:space="preserve"> methods have been designed to allow the estimation of nonlinear relationship</w:t>
      </w:r>
      <w:r w:rsidR="00486CFD">
        <w:rPr>
          <w:rFonts w:cstheme="minorHAnsi"/>
          <w:color w:val="000000" w:themeColor="text1"/>
          <w:lang w:val="en-US"/>
        </w:rPr>
        <w:t>s between the exposure and the outcome</w:t>
      </w:r>
      <w:r>
        <w:rPr>
          <w:rFonts w:cstheme="minorHAnsi"/>
          <w:color w:val="000000" w:themeColor="text1"/>
          <w:lang w:val="en-US"/>
        </w:rPr>
        <w:t xml:space="preserve">, but these require individual level data. However, </w:t>
      </w:r>
      <w:r w:rsidR="00486CFD">
        <w:rPr>
          <w:rFonts w:cstheme="minorHAnsi"/>
          <w:color w:val="000000" w:themeColor="text1"/>
          <w:lang w:val="en-US"/>
        </w:rPr>
        <w:t xml:space="preserve">genetic data </w:t>
      </w:r>
      <w:r>
        <w:rPr>
          <w:rFonts w:cstheme="minorHAnsi"/>
          <w:color w:val="000000" w:themeColor="text1"/>
          <w:lang w:val="en-US"/>
        </w:rPr>
        <w:t xml:space="preserve">is </w:t>
      </w:r>
      <w:r w:rsidR="00486CFD">
        <w:rPr>
          <w:rFonts w:cstheme="minorHAnsi"/>
          <w:color w:val="000000" w:themeColor="text1"/>
          <w:lang w:val="en-US"/>
        </w:rPr>
        <w:t xml:space="preserve">often </w:t>
      </w:r>
      <w:r>
        <w:rPr>
          <w:rFonts w:cstheme="minorHAnsi"/>
          <w:color w:val="000000" w:themeColor="text1"/>
          <w:lang w:val="en-US"/>
        </w:rPr>
        <w:t xml:space="preserve">only published in summarized forms </w:t>
      </w:r>
      <w:r w:rsidR="00486CFD">
        <w:rPr>
          <w:rFonts w:cstheme="minorHAnsi"/>
          <w:color w:val="000000" w:themeColor="text1"/>
          <w:lang w:val="en-US"/>
        </w:rPr>
        <w:t>reducing the usability of these methods</w:t>
      </w:r>
      <w:r>
        <w:rPr>
          <w:rFonts w:cstheme="minorHAnsi"/>
          <w:color w:val="000000" w:themeColor="text1"/>
          <w:lang w:val="en-US"/>
        </w:rPr>
        <w:t xml:space="preserve">. </w:t>
      </w:r>
      <w:r w:rsidR="00486CFD">
        <w:rPr>
          <w:rFonts w:cstheme="minorHAnsi"/>
          <w:color w:val="000000" w:themeColor="text1"/>
          <w:lang w:val="en-US"/>
        </w:rPr>
        <w:br/>
      </w:r>
      <w:r w:rsidR="00842947">
        <w:rPr>
          <w:rFonts w:cstheme="minorHAnsi"/>
          <w:color w:val="000000" w:themeColor="text1"/>
          <w:lang w:val="en-US"/>
        </w:rPr>
        <w:t>Where</w:t>
      </w:r>
      <w:r w:rsidR="00486CFD">
        <w:rPr>
          <w:rFonts w:cstheme="minorHAnsi"/>
          <w:color w:val="000000" w:themeColor="text1"/>
          <w:lang w:val="en-US"/>
        </w:rPr>
        <w:t xml:space="preserve"> data can be obtained in a semi-summarized form, with </w:t>
      </w:r>
      <w:r w:rsidR="00486CFD" w:rsidRPr="00486CFD">
        <w:rPr>
          <w:rFonts w:cstheme="minorHAnsi"/>
          <w:color w:val="000000" w:themeColor="text1"/>
          <w:lang w:val="en-US"/>
        </w:rPr>
        <w:t xml:space="preserve">localized </w:t>
      </w:r>
      <w:r w:rsidR="00486CFD">
        <w:rPr>
          <w:rFonts w:cstheme="minorHAnsi"/>
          <w:color w:val="000000" w:themeColor="text1"/>
          <w:lang w:val="en-US"/>
        </w:rPr>
        <w:t>genetics effects on the exposure and outcome for each stratum of the population, t</w:t>
      </w:r>
      <w:r w:rsidR="00842947">
        <w:rPr>
          <w:rFonts w:cstheme="minorHAnsi"/>
          <w:color w:val="000000" w:themeColor="text1"/>
          <w:lang w:val="en-US"/>
        </w:rPr>
        <w:t xml:space="preserve">hen an adapted </w:t>
      </w:r>
      <w:r w:rsidR="00486CFD">
        <w:rPr>
          <w:rFonts w:cstheme="minorHAnsi"/>
          <w:color w:val="000000" w:themeColor="text1"/>
          <w:lang w:val="en-US"/>
        </w:rPr>
        <w:t xml:space="preserve">fractional polynomial method can be applied without need of individual level data. </w:t>
      </w:r>
      <w:r w:rsidR="00486CFD">
        <w:rPr>
          <w:rFonts w:cstheme="minorHAnsi"/>
          <w:color w:val="000000" w:themeColor="text1"/>
          <w:lang w:val="en-US"/>
        </w:rPr>
        <w:br/>
        <w:t xml:space="preserve">We demonstrate in a simulation study that use of semi-summarized data estimates the true </w:t>
      </w:r>
      <w:r w:rsidR="00842947">
        <w:rPr>
          <w:rFonts w:cstheme="minorHAnsi"/>
          <w:color w:val="000000" w:themeColor="text1"/>
          <w:lang w:val="en-US"/>
        </w:rPr>
        <w:t xml:space="preserve">exposure-outcome relationship with similar accuracy to the original fractional polynomial method. </w:t>
      </w:r>
      <w:r w:rsidR="00486CFD">
        <w:rPr>
          <w:rFonts w:cstheme="minorHAnsi"/>
          <w:color w:val="000000" w:themeColor="text1"/>
          <w:lang w:val="en-US"/>
        </w:rPr>
        <w:br/>
      </w:r>
    </w:p>
    <w:p w14:paraId="699AC6D7" w14:textId="77777777" w:rsidR="007629F7" w:rsidRPr="00786650" w:rsidRDefault="007629F7" w:rsidP="007629F7">
      <w:pPr>
        <w:spacing w:line="480" w:lineRule="auto"/>
        <w:jc w:val="both"/>
        <w:rPr>
          <w:rFonts w:cstheme="minorHAnsi"/>
          <w:color w:val="000000" w:themeColor="text1"/>
          <w:lang w:val="en-US"/>
        </w:rPr>
      </w:pPr>
    </w:p>
    <w:p w14:paraId="23E2D891" w14:textId="0D30AAAE" w:rsidR="00842947" w:rsidRDefault="007629F7" w:rsidP="007629F7">
      <w:pPr>
        <w:spacing w:after="160" w:line="259" w:lineRule="auto"/>
        <w:rPr>
          <w:rFonts w:cstheme="minorHAnsi"/>
          <w:color w:val="000000" w:themeColor="text1"/>
          <w:lang w:val="en-US"/>
        </w:rPr>
      </w:pPr>
      <w:r w:rsidRPr="00913DCA">
        <w:rPr>
          <w:rFonts w:cstheme="minorHAnsi"/>
          <w:b/>
          <w:bCs/>
          <w:color w:val="000000" w:themeColor="text1"/>
          <w:lang w:val="en-US"/>
        </w:rPr>
        <w:t>Keywords:</w:t>
      </w:r>
      <w:r>
        <w:rPr>
          <w:rFonts w:cstheme="minorHAnsi"/>
          <w:b/>
          <w:bCs/>
          <w:color w:val="000000" w:themeColor="text1"/>
          <w:lang w:val="en-US"/>
        </w:rPr>
        <w:t xml:space="preserve"> </w:t>
      </w:r>
      <w:r w:rsidRPr="007629F7">
        <w:rPr>
          <w:rFonts w:cstheme="minorHAnsi"/>
          <w:color w:val="000000" w:themeColor="text1"/>
          <w:lang w:val="en-US"/>
        </w:rPr>
        <w:t xml:space="preserve">causal effects, fractional polynomials, genetic variants, </w:t>
      </w:r>
      <w:r>
        <w:rPr>
          <w:rFonts w:cstheme="minorHAnsi"/>
          <w:color w:val="000000" w:themeColor="text1"/>
          <w:lang w:val="en-US"/>
        </w:rPr>
        <w:t>mendelian randomization,</w:t>
      </w:r>
    </w:p>
    <w:p w14:paraId="1F1088FD" w14:textId="77777777" w:rsidR="00842947" w:rsidRDefault="00842947">
      <w:pPr>
        <w:spacing w:after="160" w:line="259" w:lineRule="auto"/>
        <w:rPr>
          <w:rFonts w:cstheme="minorHAnsi"/>
          <w:color w:val="000000" w:themeColor="text1"/>
          <w:lang w:val="en-US"/>
        </w:rPr>
      </w:pPr>
      <w:r>
        <w:rPr>
          <w:rFonts w:cstheme="minorHAnsi"/>
          <w:color w:val="000000" w:themeColor="text1"/>
          <w:lang w:val="en-US"/>
        </w:rPr>
        <w:br w:type="page"/>
      </w:r>
    </w:p>
    <w:p w14:paraId="77FF035B" w14:textId="4B552192" w:rsidR="000C4DE2" w:rsidRDefault="00842947" w:rsidP="007629F7">
      <w:pPr>
        <w:spacing w:after="160" w:line="259" w:lineRule="auto"/>
        <w:rPr>
          <w:rFonts w:cstheme="minorHAnsi"/>
          <w:b/>
          <w:bCs/>
          <w:color w:val="000000" w:themeColor="text1"/>
          <w:lang w:val="en-US"/>
        </w:rPr>
      </w:pPr>
      <w:r>
        <w:rPr>
          <w:rFonts w:cstheme="minorHAnsi"/>
          <w:b/>
          <w:bCs/>
          <w:color w:val="000000" w:themeColor="text1"/>
          <w:lang w:val="en-US"/>
        </w:rPr>
        <w:lastRenderedPageBreak/>
        <w:t>Introduction</w:t>
      </w:r>
    </w:p>
    <w:p w14:paraId="3D318188" w14:textId="514E628B" w:rsidR="000A0120" w:rsidRDefault="000A0120" w:rsidP="00E6397E">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The assumption of a linear relationship between exposure and outcome is typical in Mendelian randomization. </w:t>
      </w:r>
      <w:r w:rsidR="00E6397E">
        <w:rPr>
          <w:rFonts w:ascii="STIXGeneral-Regular" w:eastAsiaTheme="minorHAnsi" w:hAnsi="STIXGeneral-Regular" w:cs="STIXGeneral-Regular"/>
          <w:sz w:val="20"/>
          <w:szCs w:val="20"/>
          <w:lang w:val="en-GB" w:eastAsia="en-US"/>
        </w:rPr>
        <w:t xml:space="preserve">Yet the true relationship between exposure and outcome of interest may be nonlinear, such as in the case of body mass index (BMI) and all-cause mortality </w:t>
      </w:r>
      <w:sdt>
        <w:sdtPr>
          <w:rPr>
            <w:rFonts w:ascii="STIXGeneral-Regular" w:eastAsiaTheme="minorHAnsi" w:hAnsi="STIXGeneral-Regular" w:cs="STIXGeneral-Regular"/>
            <w:sz w:val="20"/>
            <w:szCs w:val="20"/>
            <w:lang w:val="en-GB" w:eastAsia="en-US"/>
          </w:rPr>
          <w:id w:val="378292476"/>
          <w:citation/>
        </w:sdtPr>
        <w:sdtContent>
          <w:r>
            <w:rPr>
              <w:rFonts w:ascii="STIXGeneral-Regular" w:eastAsiaTheme="minorHAnsi" w:hAnsi="STIXGeneral-Regular" w:cs="STIXGeneral-Regular"/>
              <w:sz w:val="20"/>
              <w:szCs w:val="20"/>
              <w:lang w:val="en-GB" w:eastAsia="en-US"/>
            </w:rPr>
            <w:fldChar w:fldCharType="begin"/>
          </w:r>
          <w:r w:rsidR="00E6397E">
            <w:rPr>
              <w:rFonts w:ascii="STIXGeneral-Regular" w:eastAsiaTheme="minorHAnsi" w:hAnsi="STIXGeneral-Regular" w:cs="STIXGeneral-Regular"/>
              <w:sz w:val="20"/>
              <w:szCs w:val="20"/>
              <w:lang w:val="en-GB" w:eastAsia="en-US"/>
            </w:rPr>
            <w:instrText xml:space="preserve">CITATION Sun19 \l 2057 </w:instrText>
          </w:r>
          <w:r>
            <w:rPr>
              <w:rFonts w:ascii="STIXGeneral-Regular" w:eastAsiaTheme="minorHAnsi" w:hAnsi="STIXGeneral-Regular" w:cs="STIXGeneral-Regular"/>
              <w:sz w:val="20"/>
              <w:szCs w:val="20"/>
              <w:lang w:val="en-GB" w:eastAsia="en-US"/>
            </w:rPr>
            <w:fldChar w:fldCharType="separate"/>
          </w:r>
          <w:r w:rsidR="00E6397E" w:rsidRPr="00E6397E">
            <w:rPr>
              <w:rFonts w:ascii="STIXGeneral-Regular" w:eastAsiaTheme="minorHAnsi" w:hAnsi="STIXGeneral-Regular" w:cs="STIXGeneral-Regular"/>
              <w:noProof/>
              <w:sz w:val="20"/>
              <w:szCs w:val="20"/>
              <w:lang w:val="en-GB" w:eastAsia="en-US"/>
            </w:rPr>
            <w:t>(Sun, et al., 2019)</w:t>
          </w:r>
          <w:r>
            <w:rPr>
              <w:rFonts w:ascii="STIXGeneral-Regular" w:eastAsiaTheme="minorHAnsi" w:hAnsi="STIXGeneral-Regular" w:cs="STIXGeneral-Regular"/>
              <w:sz w:val="20"/>
              <w:szCs w:val="20"/>
              <w:lang w:val="en-GB" w:eastAsia="en-US"/>
            </w:rPr>
            <w:fldChar w:fldCharType="end"/>
          </w:r>
        </w:sdtContent>
      </w:sdt>
      <w:r w:rsidR="00E6397E">
        <w:rPr>
          <w:rFonts w:ascii="STIXGeneral-Regular" w:eastAsiaTheme="minorHAnsi" w:hAnsi="STIXGeneral-Regular" w:cs="STIXGeneral-Regular"/>
          <w:sz w:val="20"/>
          <w:szCs w:val="20"/>
          <w:lang w:val="en-GB" w:eastAsia="en-US"/>
        </w:rPr>
        <w:t xml:space="preserve">.  Approaches using </w:t>
      </w:r>
      <w:r>
        <w:rPr>
          <w:rFonts w:ascii="STIXGeneral-Regular" w:eastAsiaTheme="minorHAnsi" w:hAnsi="STIXGeneral-Regular" w:cs="STIXGeneral-Regular"/>
          <w:sz w:val="20"/>
          <w:szCs w:val="20"/>
          <w:lang w:val="en-GB" w:eastAsia="en-US"/>
        </w:rPr>
        <w:t>semiparametric methods for testing and estimating non-linear effects</w:t>
      </w:r>
      <w:r w:rsidR="00E6397E">
        <w:rPr>
          <w:rFonts w:ascii="STIXGeneral-Regular" w:eastAsiaTheme="minorHAnsi" w:hAnsi="STIXGeneral-Regular" w:cs="STIXGeneral-Regular"/>
          <w:sz w:val="20"/>
          <w:szCs w:val="20"/>
          <w:lang w:val="en-GB" w:eastAsia="en-US"/>
        </w:rPr>
        <w:t xml:space="preserve"> have been tested for individual level data</w:t>
      </w:r>
      <w:r w:rsidR="00E6397E" w:rsidRPr="00E6397E">
        <w:rPr>
          <w:rFonts w:ascii="STIXGeneral-Regular" w:eastAsiaTheme="minorHAnsi" w:hAnsi="STIXGeneral-Regular" w:cs="STIXGeneral-Regular"/>
          <w:sz w:val="20"/>
          <w:szCs w:val="20"/>
          <w:lang w:val="en-GB" w:eastAsia="en-US"/>
        </w:rPr>
        <w:t xml:space="preserve"> </w:t>
      </w:r>
      <w:sdt>
        <w:sdtPr>
          <w:rPr>
            <w:rFonts w:ascii="STIXGeneral-Regular" w:eastAsiaTheme="minorHAnsi" w:hAnsi="STIXGeneral-Regular" w:cs="STIXGeneral-Regular"/>
            <w:sz w:val="20"/>
            <w:szCs w:val="20"/>
            <w:lang w:val="en-GB" w:eastAsia="en-US"/>
          </w:rPr>
          <w:id w:val="1387831642"/>
          <w:citation/>
        </w:sdtPr>
        <w:sdtContent>
          <w:r w:rsidR="00E6397E">
            <w:rPr>
              <w:rFonts w:ascii="STIXGeneral-Regular" w:eastAsiaTheme="minorHAnsi" w:hAnsi="STIXGeneral-Regular" w:cs="STIXGeneral-Regular"/>
              <w:sz w:val="20"/>
              <w:szCs w:val="20"/>
              <w:lang w:val="en-GB" w:eastAsia="en-US"/>
            </w:rPr>
            <w:fldChar w:fldCharType="begin"/>
          </w:r>
          <w:r w:rsidR="00E6397E">
            <w:rPr>
              <w:rFonts w:ascii="STIXGeneral-Regular" w:eastAsiaTheme="minorHAnsi" w:hAnsi="STIXGeneral-Regular" w:cs="STIXGeneral-Regular"/>
              <w:sz w:val="20"/>
              <w:szCs w:val="20"/>
              <w:lang w:val="en-GB" w:eastAsia="en-US"/>
            </w:rPr>
            <w:instrText xml:space="preserve"> CITATION Sta17 \l 2057 </w:instrText>
          </w:r>
          <w:r w:rsidR="00E6397E">
            <w:rPr>
              <w:rFonts w:ascii="STIXGeneral-Regular" w:eastAsiaTheme="minorHAnsi" w:hAnsi="STIXGeneral-Regular" w:cs="STIXGeneral-Regular"/>
              <w:sz w:val="20"/>
              <w:szCs w:val="20"/>
              <w:lang w:val="en-GB" w:eastAsia="en-US"/>
            </w:rPr>
            <w:fldChar w:fldCharType="separate"/>
          </w:r>
          <w:r w:rsidR="00E6397E" w:rsidRPr="00E6397E">
            <w:rPr>
              <w:rFonts w:ascii="STIXGeneral-Regular" w:eastAsiaTheme="minorHAnsi" w:hAnsi="STIXGeneral-Regular" w:cs="STIXGeneral-Regular"/>
              <w:noProof/>
              <w:sz w:val="20"/>
              <w:szCs w:val="20"/>
              <w:lang w:val="en-GB" w:eastAsia="en-US"/>
            </w:rPr>
            <w:t>(Staley &amp; Burgess, 2017)</w:t>
          </w:r>
          <w:r w:rsidR="00E6397E">
            <w:rPr>
              <w:rFonts w:ascii="STIXGeneral-Regular" w:eastAsiaTheme="minorHAnsi" w:hAnsi="STIXGeneral-Regular" w:cs="STIXGeneral-Regular"/>
              <w:sz w:val="20"/>
              <w:szCs w:val="20"/>
              <w:lang w:val="en-GB" w:eastAsia="en-US"/>
            </w:rPr>
            <w:fldChar w:fldCharType="end"/>
          </w:r>
        </w:sdtContent>
      </w:sdt>
      <w:r w:rsidR="00E6397E">
        <w:rPr>
          <w:rFonts w:ascii="STIXGeneral-Regular" w:eastAsiaTheme="minorHAnsi" w:hAnsi="STIXGeneral-Regular" w:cs="STIXGeneral-Regular"/>
          <w:sz w:val="20"/>
          <w:szCs w:val="20"/>
          <w:lang w:val="en-GB" w:eastAsia="en-US"/>
        </w:rPr>
        <w:t xml:space="preserve">. One of these methods was the fractional polynomial methods, which performed a meta regression of the localised average causal effect (LACE) in strata of the population determined by their exposure distribution.  The major disadvantage of this method was that it needs access to the full individual dataset of genetic values, outcome and exposure for each member of the population. </w:t>
      </w:r>
      <w:r w:rsidR="00314C88">
        <w:rPr>
          <w:rFonts w:ascii="STIXGeneral-Regular" w:eastAsiaTheme="minorHAnsi" w:hAnsi="STIXGeneral-Regular" w:cs="STIXGeneral-Regular"/>
          <w:sz w:val="20"/>
          <w:szCs w:val="20"/>
          <w:lang w:val="en-GB" w:eastAsia="en-US"/>
        </w:rPr>
        <w:t xml:space="preserve">This prevents its wider usage as a method as the sharing of individual data is fraught with complexities of data security and privacy concerns. </w:t>
      </w:r>
    </w:p>
    <w:p w14:paraId="472760D6" w14:textId="23A12967" w:rsidR="00314C88" w:rsidRDefault="00314C88" w:rsidP="00E6397E">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This paper tests the proposal that the fractional polynomial model could instead be applied to “semi-summarised” data; using the individual level data to calculate the genetic associations for the exposure and outcome data in the strata of the population and then using only that semi-summarised data, forming the LACE estimates and fitting the fractional polynomial. This would have the advantage of MR researchers being able to request and share the semi-summarized form of the data without sharing any one individual’s data and yet still being able to test and fit an accurate non-linear </w:t>
      </w:r>
      <w:commentRangeStart w:id="1"/>
      <w:r>
        <w:rPr>
          <w:rFonts w:ascii="STIXGeneral-Regular" w:eastAsiaTheme="minorHAnsi" w:hAnsi="STIXGeneral-Regular" w:cs="STIXGeneral-Regular"/>
          <w:sz w:val="20"/>
          <w:szCs w:val="20"/>
          <w:lang w:val="en-GB" w:eastAsia="en-US"/>
        </w:rPr>
        <w:t>model</w:t>
      </w:r>
      <w:commentRangeEnd w:id="1"/>
      <w:r w:rsidR="00BF54E5">
        <w:rPr>
          <w:rStyle w:val="CommentReference"/>
        </w:rPr>
        <w:commentReference w:id="1"/>
      </w:r>
      <w:r>
        <w:rPr>
          <w:rFonts w:ascii="STIXGeneral-Regular" w:eastAsiaTheme="minorHAnsi" w:hAnsi="STIXGeneral-Regular" w:cs="STIXGeneral-Regular"/>
          <w:sz w:val="20"/>
          <w:szCs w:val="20"/>
          <w:lang w:val="en-GB" w:eastAsia="en-US"/>
        </w:rPr>
        <w:t xml:space="preserve">. </w:t>
      </w:r>
    </w:p>
    <w:p w14:paraId="78BE0AE3" w14:textId="06B85C74" w:rsidR="00E956EA" w:rsidRDefault="00E956EA" w:rsidP="00E6397E">
      <w:pPr>
        <w:autoSpaceDE w:val="0"/>
        <w:autoSpaceDN w:val="0"/>
        <w:adjustRightInd w:val="0"/>
        <w:rPr>
          <w:rFonts w:ascii="STIXGeneral-Regular" w:eastAsiaTheme="minorHAnsi" w:hAnsi="STIXGeneral-Regular" w:cs="STIXGeneral-Regular"/>
          <w:sz w:val="20"/>
          <w:szCs w:val="20"/>
          <w:lang w:val="en-GB" w:eastAsia="en-US"/>
        </w:rPr>
      </w:pPr>
    </w:p>
    <w:p w14:paraId="0014520D" w14:textId="269C7046" w:rsidR="00314C88" w:rsidRDefault="00314C88" w:rsidP="00E6397E">
      <w:pPr>
        <w:autoSpaceDE w:val="0"/>
        <w:autoSpaceDN w:val="0"/>
        <w:adjustRightInd w:val="0"/>
        <w:rPr>
          <w:rFonts w:ascii="STIXGeneral-Regular" w:eastAsiaTheme="minorHAnsi" w:hAnsi="STIXGeneral-Regular" w:cs="STIXGeneral-Regular"/>
          <w:sz w:val="20"/>
          <w:szCs w:val="20"/>
          <w:lang w:val="en-GB" w:eastAsia="en-US"/>
        </w:rPr>
      </w:pPr>
    </w:p>
    <w:p w14:paraId="5A8C0612" w14:textId="364740C7" w:rsidR="00314C88" w:rsidRDefault="00BF54E5"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Methods</w:t>
      </w:r>
    </w:p>
    <w:p w14:paraId="6BC440CF" w14:textId="54083093" w:rsidR="00BF54E5" w:rsidRDefault="00BF54E5" w:rsidP="00E6397E">
      <w:pPr>
        <w:autoSpaceDE w:val="0"/>
        <w:autoSpaceDN w:val="0"/>
        <w:adjustRightInd w:val="0"/>
        <w:rPr>
          <w:rFonts w:ascii="STIXGeneral-Regular" w:eastAsiaTheme="minorHAnsi" w:hAnsi="STIXGeneral-Regular" w:cs="STIXGeneral-Regular"/>
          <w:b/>
          <w:bCs/>
          <w:sz w:val="20"/>
          <w:szCs w:val="20"/>
          <w:lang w:val="en-GB" w:eastAsia="en-US"/>
        </w:rPr>
      </w:pPr>
    </w:p>
    <w:p w14:paraId="593C6073" w14:textId="7584A305" w:rsidR="00E956EA" w:rsidRPr="00BF54E5" w:rsidRDefault="00E956EA"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sz w:val="20"/>
          <w:szCs w:val="20"/>
          <w:lang w:val="en-GB" w:eastAsia="en-US"/>
        </w:rPr>
        <w:t>Given an exposure X, an outcome Y and single genetic instrument G, we wish to investigate the shape of the exposure-outcome relationship. We will assume that this relationship is homogeneous in the population.</w:t>
      </w:r>
    </w:p>
    <w:p w14:paraId="5F1CAF70" w14:textId="2C304A9D" w:rsidR="00E6397E" w:rsidRDefault="00E6397E" w:rsidP="00E6397E">
      <w:pPr>
        <w:autoSpaceDE w:val="0"/>
        <w:autoSpaceDN w:val="0"/>
        <w:adjustRightInd w:val="0"/>
        <w:rPr>
          <w:rFonts w:ascii="STIXGeneral-Regular" w:eastAsiaTheme="minorHAnsi" w:hAnsi="STIXGeneral-Regular" w:cs="STIXGeneral-Regular"/>
          <w:sz w:val="20"/>
          <w:szCs w:val="20"/>
          <w:lang w:val="en-GB" w:eastAsia="en-US"/>
        </w:rPr>
      </w:pPr>
    </w:p>
    <w:p w14:paraId="53AB3C5B" w14:textId="01E2EE63" w:rsidR="00BF54E5" w:rsidRDefault="00E956EA"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Semi-summarized data and LACE estimates</w:t>
      </w:r>
    </w:p>
    <w:p w14:paraId="6DA42968" w14:textId="79DFFC4A" w:rsidR="00E956EA" w:rsidRDefault="00E956EA" w:rsidP="00E6397E">
      <w:pPr>
        <w:autoSpaceDE w:val="0"/>
        <w:autoSpaceDN w:val="0"/>
        <w:adjustRightInd w:val="0"/>
        <w:rPr>
          <w:rFonts w:ascii="STIXGeneral-Regular" w:eastAsiaTheme="minorHAnsi" w:hAnsi="STIXGeneral-Regular" w:cs="STIXGeneral-Regular"/>
          <w:b/>
          <w:bCs/>
          <w:sz w:val="20"/>
          <w:szCs w:val="20"/>
          <w:lang w:val="en-GB" w:eastAsia="en-US"/>
        </w:rPr>
      </w:pPr>
    </w:p>
    <w:p w14:paraId="20DEA929" w14:textId="6079DF6C" w:rsidR="00E956EA" w:rsidRDefault="00E956EA" w:rsidP="00E6397E">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We will break the population up into strata based on the exposure distribution. We cannot stratify on the exposure</w:t>
      </w:r>
      <w:r w:rsidR="00DD4B64">
        <w:rPr>
          <w:rFonts w:ascii="STIXGeneral-Regular" w:eastAsiaTheme="minorHAnsi" w:hAnsi="STIXGeneral-Regular" w:cs="STIXGeneral-Regular"/>
          <w:sz w:val="20"/>
          <w:szCs w:val="20"/>
          <w:lang w:val="en-GB" w:eastAsia="en-US"/>
        </w:rPr>
        <w:t xml:space="preserve"> X</w:t>
      </w:r>
      <w:r>
        <w:rPr>
          <w:rFonts w:ascii="STIXGeneral-Regular" w:eastAsiaTheme="minorHAnsi" w:hAnsi="STIXGeneral-Regular" w:cs="STIXGeneral-Regular"/>
          <w:sz w:val="20"/>
          <w:szCs w:val="20"/>
          <w:lang w:val="en-GB" w:eastAsia="en-US"/>
        </w:rPr>
        <w:t xml:space="preserve"> directly, as it is </w:t>
      </w:r>
      <w:r w:rsidR="001115D5">
        <w:rPr>
          <w:rFonts w:ascii="STIXGeneral-Regular" w:eastAsiaTheme="minorHAnsi" w:hAnsi="STIXGeneral-Regular" w:cs="STIXGeneral-Regular"/>
          <w:sz w:val="20"/>
          <w:szCs w:val="20"/>
          <w:lang w:val="en-GB" w:eastAsia="en-US"/>
        </w:rPr>
        <w:t xml:space="preserve">on the causal pathway from the genetic instrument </w:t>
      </w:r>
      <w:r w:rsidR="00B1020D">
        <w:rPr>
          <w:rFonts w:ascii="STIXGeneral-Regular" w:eastAsiaTheme="minorHAnsi" w:hAnsi="STIXGeneral-Regular" w:cs="STIXGeneral-Regular"/>
          <w:sz w:val="20"/>
          <w:szCs w:val="20"/>
          <w:lang w:val="en-GB" w:eastAsia="en-US"/>
        </w:rPr>
        <w:t xml:space="preserve">G </w:t>
      </w:r>
      <w:r w:rsidR="001115D5">
        <w:rPr>
          <w:rFonts w:ascii="STIXGeneral-Regular" w:eastAsiaTheme="minorHAnsi" w:hAnsi="STIXGeneral-Regular" w:cs="STIXGeneral-Regular"/>
          <w:sz w:val="20"/>
          <w:szCs w:val="20"/>
          <w:lang w:val="en-GB" w:eastAsia="en-US"/>
        </w:rPr>
        <w:t xml:space="preserve">to the outcome </w:t>
      </w:r>
      <w:r w:rsidR="00B1020D">
        <w:rPr>
          <w:rFonts w:ascii="STIXGeneral-Regular" w:eastAsiaTheme="minorHAnsi" w:hAnsi="STIXGeneral-Regular" w:cs="STIXGeneral-Regular"/>
          <w:sz w:val="20"/>
          <w:szCs w:val="20"/>
          <w:lang w:val="en-GB" w:eastAsia="en-US"/>
        </w:rPr>
        <w:t xml:space="preserve">Y </w:t>
      </w:r>
      <w:r w:rsidR="001115D5">
        <w:rPr>
          <w:rFonts w:ascii="STIXGeneral-Regular" w:eastAsiaTheme="minorHAnsi" w:hAnsi="STIXGeneral-Regular" w:cs="STIXGeneral-Regular"/>
          <w:sz w:val="20"/>
          <w:szCs w:val="20"/>
          <w:lang w:val="en-GB" w:eastAsia="en-US"/>
        </w:rPr>
        <w:t xml:space="preserve">by assumption </w:t>
      </w:r>
      <w:sdt>
        <w:sdtPr>
          <w:rPr>
            <w:rFonts w:ascii="STIXGeneral-Regular" w:eastAsiaTheme="minorHAnsi" w:hAnsi="STIXGeneral-Regular" w:cs="STIXGeneral-Regular"/>
            <w:sz w:val="20"/>
            <w:szCs w:val="20"/>
            <w:lang w:val="en-GB" w:eastAsia="en-US"/>
          </w:rPr>
          <w:id w:val="-621309059"/>
          <w:citation/>
        </w:sdtPr>
        <w:sdtContent>
          <w:r w:rsidR="001115D5">
            <w:rPr>
              <w:rFonts w:ascii="STIXGeneral-Regular" w:eastAsiaTheme="minorHAnsi" w:hAnsi="STIXGeneral-Regular" w:cs="STIXGeneral-Regular"/>
              <w:sz w:val="20"/>
              <w:szCs w:val="20"/>
              <w:lang w:val="en-GB" w:eastAsia="en-US"/>
            </w:rPr>
            <w:fldChar w:fldCharType="begin"/>
          </w:r>
          <w:r w:rsidR="001115D5">
            <w:rPr>
              <w:rFonts w:ascii="STIXGeneral-Regular" w:eastAsiaTheme="minorHAnsi" w:hAnsi="STIXGeneral-Regular" w:cs="STIXGeneral-Regular"/>
              <w:sz w:val="20"/>
              <w:szCs w:val="20"/>
              <w:lang w:val="en-GB" w:eastAsia="en-US"/>
            </w:rPr>
            <w:instrText xml:space="preserve"> CITATION She20 \l 2057 </w:instrText>
          </w:r>
          <w:r w:rsidR="001115D5">
            <w:rPr>
              <w:rFonts w:ascii="STIXGeneral-Regular" w:eastAsiaTheme="minorHAnsi" w:hAnsi="STIXGeneral-Regular" w:cs="STIXGeneral-Regular"/>
              <w:sz w:val="20"/>
              <w:szCs w:val="20"/>
              <w:lang w:val="en-GB" w:eastAsia="en-US"/>
            </w:rPr>
            <w:fldChar w:fldCharType="separate"/>
          </w:r>
          <w:r w:rsidR="001115D5" w:rsidRPr="001115D5">
            <w:rPr>
              <w:rFonts w:ascii="STIXGeneral-Regular" w:eastAsiaTheme="minorHAnsi" w:hAnsi="STIXGeneral-Regular" w:cs="STIXGeneral-Regular"/>
              <w:noProof/>
              <w:sz w:val="20"/>
              <w:szCs w:val="20"/>
              <w:lang w:val="en-GB" w:eastAsia="en-US"/>
            </w:rPr>
            <w:t>(Sheehan &amp; Didelez, 2020)</w:t>
          </w:r>
          <w:r w:rsidR="001115D5">
            <w:rPr>
              <w:rFonts w:ascii="STIXGeneral-Regular" w:eastAsiaTheme="minorHAnsi" w:hAnsi="STIXGeneral-Regular" w:cs="STIXGeneral-Regular"/>
              <w:sz w:val="20"/>
              <w:szCs w:val="20"/>
              <w:lang w:val="en-GB" w:eastAsia="en-US"/>
            </w:rPr>
            <w:fldChar w:fldCharType="end"/>
          </w:r>
        </w:sdtContent>
      </w:sdt>
      <w:r w:rsidR="001115D5">
        <w:rPr>
          <w:rFonts w:ascii="STIXGeneral-Regular" w:eastAsiaTheme="minorHAnsi" w:hAnsi="STIXGeneral-Regular" w:cs="STIXGeneral-Regular"/>
          <w:sz w:val="20"/>
          <w:szCs w:val="20"/>
          <w:lang w:val="en-GB" w:eastAsia="en-US"/>
        </w:rPr>
        <w:t xml:space="preserve"> and could induce an association between </w:t>
      </w:r>
      <w:r w:rsidR="00B1020D">
        <w:rPr>
          <w:rFonts w:ascii="STIXGeneral-Regular" w:eastAsiaTheme="minorHAnsi" w:hAnsi="STIXGeneral-Regular" w:cs="STIXGeneral-Regular"/>
          <w:sz w:val="20"/>
          <w:szCs w:val="20"/>
          <w:lang w:val="en-GB" w:eastAsia="en-US"/>
        </w:rPr>
        <w:t>G</w:t>
      </w:r>
      <w:r w:rsidR="001115D5">
        <w:rPr>
          <w:rFonts w:ascii="STIXGeneral-Regular" w:eastAsiaTheme="minorHAnsi" w:hAnsi="STIXGeneral-Regular" w:cs="STIXGeneral-Regular"/>
          <w:sz w:val="20"/>
          <w:szCs w:val="20"/>
          <w:lang w:val="en-GB" w:eastAsia="en-US"/>
        </w:rPr>
        <w:t xml:space="preserve"> and </w:t>
      </w:r>
      <w:r w:rsidR="00B1020D">
        <w:rPr>
          <w:rFonts w:ascii="STIXGeneral-Regular" w:eastAsiaTheme="minorHAnsi" w:hAnsi="STIXGeneral-Regular" w:cs="STIXGeneral-Regular"/>
          <w:sz w:val="20"/>
          <w:szCs w:val="20"/>
          <w:lang w:val="en-GB" w:eastAsia="en-US"/>
        </w:rPr>
        <w:t>Y violating the exclusion restriction criteria</w:t>
      </w:r>
      <w:r w:rsidR="001115D5">
        <w:rPr>
          <w:rFonts w:ascii="STIXGeneral-Regular" w:eastAsiaTheme="minorHAnsi" w:hAnsi="STIXGeneral-Regular" w:cs="STIXGeneral-Regular"/>
          <w:sz w:val="20"/>
          <w:szCs w:val="20"/>
          <w:lang w:val="en-GB" w:eastAsia="en-US"/>
        </w:rPr>
        <w:t xml:space="preserve">. </w:t>
      </w:r>
      <w:r w:rsidR="00B1020D">
        <w:rPr>
          <w:rFonts w:ascii="STIXGeneral-Regular" w:eastAsiaTheme="minorHAnsi" w:hAnsi="STIXGeneral-Regular" w:cs="STIXGeneral-Regular"/>
          <w:sz w:val="20"/>
          <w:szCs w:val="20"/>
          <w:lang w:val="en-GB" w:eastAsia="en-US"/>
        </w:rPr>
        <w:br/>
        <w:t xml:space="preserve">Instead we </w:t>
      </w:r>
      <w:r w:rsidR="00DD4B64">
        <w:rPr>
          <w:rFonts w:ascii="STIXGeneral-Regular" w:eastAsiaTheme="minorHAnsi" w:hAnsi="STIXGeneral-Regular" w:cs="STIXGeneral-Regular"/>
          <w:sz w:val="20"/>
          <w:szCs w:val="20"/>
          <w:lang w:val="en-GB" w:eastAsia="en-US"/>
        </w:rPr>
        <w:t xml:space="preserve">need </w:t>
      </w:r>
      <w:r w:rsidR="00B1020D">
        <w:rPr>
          <w:rFonts w:ascii="STIXGeneral-Regular" w:eastAsiaTheme="minorHAnsi" w:hAnsi="STIXGeneral-Regular" w:cs="STIXGeneral-Regular"/>
          <w:sz w:val="20"/>
          <w:szCs w:val="20"/>
          <w:lang w:val="en-GB" w:eastAsia="en-US"/>
        </w:rPr>
        <w:t xml:space="preserve">the residual or “IV-free” value of the exposure – the expected value of exposure for that individual if they had no exposure-increasing alleles. This is the difference between the measured value and the fitted value obtained from regressing on the genetic instrument. These values allow us to stratify the population as if they all had the same genetic background for the exposure, and cannot induce a relationship between G and Y. </w:t>
      </w:r>
      <w:r w:rsidR="00DD4B64">
        <w:rPr>
          <w:rFonts w:ascii="STIXGeneral-Regular" w:eastAsiaTheme="minorHAnsi" w:hAnsi="STIXGeneral-Regular" w:cs="STIXGeneral-Regular"/>
          <w:sz w:val="20"/>
          <w:szCs w:val="20"/>
          <w:lang w:val="en-GB" w:eastAsia="en-US"/>
        </w:rPr>
        <w:t xml:space="preserve">The people in the same strata would, if they had had the same genotype, have similar values of the exposure. </w:t>
      </w:r>
    </w:p>
    <w:p w14:paraId="4B081844" w14:textId="32CEA850" w:rsidR="00DD4B64" w:rsidRPr="00E956EA" w:rsidRDefault="00DD4B64" w:rsidP="007130BF">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Within each stratum, we require the mean of the exposure </w:t>
      </w:r>
      <m:oMath>
        <m:acc>
          <m:accPr>
            <m:chr m:val="̅"/>
            <m:ctrlPr>
              <w:rPr>
                <w:rFonts w:ascii="Cambria Math" w:eastAsiaTheme="minorHAnsi" w:hAnsi="Cambria Math" w:cs="STIXGeneral-Regular"/>
                <w:i/>
                <w:sz w:val="20"/>
                <w:szCs w:val="20"/>
                <w:lang w:val="en-GB" w:eastAsia="en-US"/>
              </w:rPr>
            </m:ctrlPr>
          </m:accPr>
          <m:e>
            <m:r>
              <w:rPr>
                <w:rFonts w:ascii="Cambria Math" w:eastAsiaTheme="minorHAnsi" w:hAnsi="Cambria Math" w:cs="STIXGeneral-Regular"/>
                <w:sz w:val="20"/>
                <w:szCs w:val="20"/>
                <w:lang w:val="en-GB" w:eastAsia="en-US"/>
              </w:rPr>
              <m:t>X</m:t>
            </m:r>
          </m:e>
        </m:acc>
      </m:oMath>
      <w:r>
        <w:rPr>
          <w:rFonts w:ascii="STIXGeneral-Regular" w:hAnsi="STIXGeneral-Regular" w:cs="STIXGeneral-Regular"/>
          <w:sz w:val="20"/>
          <w:szCs w:val="20"/>
          <w:lang w:val="en-GB" w:eastAsia="en-US"/>
        </w:rPr>
        <w:t xml:space="preserve">, and the beta coefficient and standard deviation for the regression of X on G and Y on G (called </w:t>
      </w:r>
      <m:oMath>
        <m:sSub>
          <m:sSubPr>
            <m:ctrlPr>
              <w:rPr>
                <w:rFonts w:ascii="Cambria Math" w:hAnsi="Cambria Math" w:cs="STIXGeneral-Regular"/>
                <w:i/>
                <w:sz w:val="20"/>
                <w:szCs w:val="20"/>
                <w:lang w:val="en-GB" w:eastAsia="en-US"/>
              </w:rPr>
            </m:ctrlPr>
          </m:sSubPr>
          <m:e>
            <m:r>
              <w:rPr>
                <w:rFonts w:ascii="Cambria Math" w:hAnsi="Cambria Math" w:cs="STIXGeneral-Regular"/>
                <w:sz w:val="20"/>
                <w:szCs w:val="20"/>
                <w:lang w:val="en-GB" w:eastAsia="en-US"/>
              </w:rPr>
              <m:t>β</m:t>
            </m:r>
          </m:e>
          <m:sub>
            <m:r>
              <w:rPr>
                <w:rFonts w:ascii="Cambria Math" w:hAnsi="Cambria Math" w:cs="STIXGeneral-Regular"/>
                <w:sz w:val="20"/>
                <w:szCs w:val="20"/>
                <w:lang w:val="en-GB" w:eastAsia="en-US"/>
              </w:rPr>
              <m:t>X</m:t>
            </m:r>
          </m:sub>
        </m:sSub>
      </m:oMath>
      <w:r>
        <w:rPr>
          <w:rFonts w:ascii="STIXGeneral-Regular" w:hAnsi="STIXGeneral-Regular" w:cs="STIXGeneral-Regular"/>
          <w:sz w:val="20"/>
          <w:szCs w:val="20"/>
          <w:lang w:val="en-GB" w:eastAsia="en-US"/>
        </w:rPr>
        <w:t xml:space="preserve"> and </w:t>
      </w:r>
      <m:oMath>
        <m:sSub>
          <m:sSubPr>
            <m:ctrlPr>
              <w:rPr>
                <w:rFonts w:ascii="Cambria Math" w:hAnsi="Cambria Math" w:cs="STIXGeneral-Regular"/>
                <w:i/>
                <w:sz w:val="20"/>
                <w:szCs w:val="20"/>
                <w:lang w:val="en-GB" w:eastAsia="en-US"/>
              </w:rPr>
            </m:ctrlPr>
          </m:sSubPr>
          <m:e>
            <m:r>
              <w:rPr>
                <w:rFonts w:ascii="Cambria Math" w:hAnsi="Cambria Math" w:cs="STIXGeneral-Regular"/>
                <w:sz w:val="20"/>
                <w:szCs w:val="20"/>
                <w:lang w:val="en-GB" w:eastAsia="en-US"/>
              </w:rPr>
              <m:t>β</m:t>
            </m:r>
          </m:e>
          <m:sub>
            <m:r>
              <w:rPr>
                <w:rFonts w:ascii="Cambria Math" w:hAnsi="Cambria Math" w:cs="STIXGeneral-Regular"/>
                <w:sz w:val="20"/>
                <w:szCs w:val="20"/>
                <w:lang w:val="en-GB" w:eastAsia="en-US"/>
              </w:rPr>
              <m:t>Y</m:t>
            </m:r>
          </m:sub>
        </m:sSub>
      </m:oMath>
      <w:r>
        <w:rPr>
          <w:rFonts w:ascii="STIXGeneral-Regular" w:hAnsi="STIXGeneral-Regular" w:cs="STIXGeneral-Regular"/>
          <w:sz w:val="20"/>
          <w:szCs w:val="20"/>
          <w:lang w:val="en-GB" w:eastAsia="en-US"/>
        </w:rPr>
        <w:t>).</w:t>
      </w:r>
      <w:r w:rsidR="007130BF">
        <w:rPr>
          <w:rFonts w:ascii="STIXGeneral-Regular" w:hAnsi="STIXGeneral-Regular" w:cs="STIXGeneral-Regular"/>
          <w:sz w:val="20"/>
          <w:szCs w:val="20"/>
          <w:lang w:val="en-GB" w:eastAsia="en-US"/>
        </w:rPr>
        <w:t xml:space="preserve"> This data is all that needs to be shared to create the LACE estimates – localised average causal effects, calculated as a standard linear mendelian randomisation Wald estimate for each </w:t>
      </w:r>
      <w:proofErr w:type="gramStart"/>
      <w:r w:rsidR="007130BF">
        <w:rPr>
          <w:rFonts w:ascii="STIXGeneral-Regular" w:hAnsi="STIXGeneral-Regular" w:cs="STIXGeneral-Regular"/>
          <w:sz w:val="20"/>
          <w:szCs w:val="20"/>
          <w:lang w:val="en-GB" w:eastAsia="en-US"/>
        </w:rPr>
        <w:t>strata</w:t>
      </w:r>
      <w:proofErr w:type="gramEnd"/>
      <w:r w:rsidR="007130BF">
        <w:rPr>
          <w:rFonts w:ascii="STIXGeneral-Regular" w:hAnsi="STIXGeneral-Regular" w:cs="STIXGeneral-Regular"/>
          <w:sz w:val="20"/>
          <w:szCs w:val="20"/>
          <w:lang w:val="en-GB" w:eastAsia="en-US"/>
        </w:rPr>
        <w:t xml:space="preserve">: </w:t>
      </w:r>
      <w:r w:rsidR="007130BF">
        <w:rPr>
          <w:rFonts w:ascii="STIXGeneral-Regular" w:eastAsiaTheme="minorHAnsi" w:hAnsi="STIXGeneral-Regular" w:cs="STIXGeneral-Regular"/>
          <w:sz w:val="20"/>
          <w:szCs w:val="20"/>
          <w:lang w:val="en-GB" w:eastAsia="en-US"/>
        </w:rPr>
        <w:t>the genetic association with the outcome divided by the genetic association with the exposure.</w:t>
      </w:r>
    </w:p>
    <w:p w14:paraId="0DC2B693" w14:textId="3D1BE39F" w:rsidR="00E956EA" w:rsidRDefault="00E956EA" w:rsidP="00E6397E">
      <w:pPr>
        <w:autoSpaceDE w:val="0"/>
        <w:autoSpaceDN w:val="0"/>
        <w:adjustRightInd w:val="0"/>
        <w:rPr>
          <w:rFonts w:ascii="STIXGeneral-Regular" w:eastAsiaTheme="minorHAnsi" w:hAnsi="STIXGeneral-Regular" w:cs="STIXGeneral-Regular"/>
          <w:b/>
          <w:bCs/>
          <w:sz w:val="20"/>
          <w:szCs w:val="20"/>
          <w:lang w:val="en-GB" w:eastAsia="en-US"/>
        </w:rPr>
      </w:pPr>
    </w:p>
    <w:p w14:paraId="71913867" w14:textId="785CA469" w:rsidR="007130BF" w:rsidRDefault="007130BF" w:rsidP="007130BF">
      <w:pPr>
        <w:pStyle w:val="Caption"/>
        <w:keepNext/>
      </w:pPr>
      <w:r>
        <w:t xml:space="preserve">Table </w:t>
      </w:r>
      <w:r w:rsidR="00B33438">
        <w:fldChar w:fldCharType="begin"/>
      </w:r>
      <w:r w:rsidR="00B33438">
        <w:instrText xml:space="preserve"> SEQ Table \* ARABIC </w:instrText>
      </w:r>
      <w:r w:rsidR="00B33438">
        <w:fldChar w:fldCharType="separate"/>
      </w:r>
      <w:r>
        <w:rPr>
          <w:noProof/>
        </w:rPr>
        <w:t>1</w:t>
      </w:r>
      <w:r w:rsidR="00B33438">
        <w:rPr>
          <w:noProof/>
        </w:rPr>
        <w:fldChar w:fldCharType="end"/>
      </w:r>
      <w:r>
        <w:t xml:space="preserve"> Example of semi-summarised data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130BF" w14:paraId="194D7A21" w14:textId="77777777" w:rsidTr="007130BF">
        <w:tc>
          <w:tcPr>
            <w:tcW w:w="1502" w:type="dxa"/>
          </w:tcPr>
          <w:p w14:paraId="0AC9F889" w14:textId="4D1E505F"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Strata</w:t>
            </w:r>
          </w:p>
        </w:tc>
        <w:tc>
          <w:tcPr>
            <w:tcW w:w="1502" w:type="dxa"/>
          </w:tcPr>
          <w:p w14:paraId="775D6D2C" w14:textId="0B1DFEC2" w:rsidR="007130BF" w:rsidRDefault="00B33438" w:rsidP="00E6397E">
            <w:pPr>
              <w:autoSpaceDE w:val="0"/>
              <w:autoSpaceDN w:val="0"/>
              <w:adjustRightInd w:val="0"/>
              <w:rPr>
                <w:rFonts w:ascii="STIXGeneral-Regular" w:eastAsiaTheme="minorHAnsi" w:hAnsi="STIXGeneral-Regular" w:cs="STIXGeneral-Regular"/>
                <w:b/>
                <w:bCs/>
                <w:sz w:val="20"/>
                <w:szCs w:val="20"/>
                <w:lang w:val="en-GB" w:eastAsia="en-US"/>
              </w:rPr>
            </w:pPr>
            <m:oMathPara>
              <m:oMath>
                <m:acc>
                  <m:accPr>
                    <m:chr m:val="̅"/>
                    <m:ctrlPr>
                      <w:rPr>
                        <w:rFonts w:ascii="Cambria Math" w:eastAsiaTheme="minorHAnsi" w:hAnsi="Cambria Math" w:cs="STIXGeneral-Regular"/>
                        <w:i/>
                        <w:sz w:val="20"/>
                        <w:szCs w:val="20"/>
                        <w:lang w:val="en-GB" w:eastAsia="en-US"/>
                      </w:rPr>
                    </m:ctrlPr>
                  </m:accPr>
                  <m:e>
                    <m:r>
                      <w:rPr>
                        <w:rFonts w:ascii="Cambria Math" w:eastAsiaTheme="minorHAnsi" w:hAnsi="Cambria Math" w:cs="STIXGeneral-Regular"/>
                        <w:sz w:val="20"/>
                        <w:szCs w:val="20"/>
                        <w:lang w:val="en-GB" w:eastAsia="en-US"/>
                      </w:rPr>
                      <m:t>X</m:t>
                    </m:r>
                  </m:e>
                </m:acc>
                <m:r>
                  <m:rPr>
                    <m:sty m:val="p"/>
                  </m:rPr>
                  <w:rPr>
                    <w:rFonts w:ascii="Cambria Math" w:hAnsi="Cambria Math" w:cs="STIXGeneral-Regular"/>
                    <w:sz w:val="20"/>
                    <w:szCs w:val="20"/>
                    <w:lang w:val="en-GB" w:eastAsia="en-US"/>
                  </w:rPr>
                  <m:t xml:space="preserve"> </m:t>
                </m:r>
              </m:oMath>
            </m:oMathPara>
          </w:p>
        </w:tc>
        <w:tc>
          <w:tcPr>
            <w:tcW w:w="1503" w:type="dxa"/>
          </w:tcPr>
          <w:p w14:paraId="0150660F" w14:textId="3B988D83" w:rsidR="007130BF" w:rsidRDefault="00B33438" w:rsidP="00E6397E">
            <w:pPr>
              <w:autoSpaceDE w:val="0"/>
              <w:autoSpaceDN w:val="0"/>
              <w:adjustRightInd w:val="0"/>
              <w:rPr>
                <w:rFonts w:ascii="STIXGeneral-Regular" w:eastAsiaTheme="minorHAnsi" w:hAnsi="STIXGeneral-Regular" w:cs="STIXGeneral-Regular"/>
                <w:b/>
                <w:bCs/>
                <w:sz w:val="20"/>
                <w:szCs w:val="20"/>
                <w:lang w:val="en-GB" w:eastAsia="en-US"/>
              </w:rPr>
            </w:pPr>
            <m:oMathPara>
              <m:oMath>
                <m:sSub>
                  <m:sSubPr>
                    <m:ctrlPr>
                      <w:rPr>
                        <w:rFonts w:ascii="Cambria Math" w:hAnsi="Cambria Math" w:cs="STIXGeneral-Regular"/>
                        <w:i/>
                        <w:sz w:val="20"/>
                        <w:szCs w:val="20"/>
                        <w:lang w:val="en-GB" w:eastAsia="en-US"/>
                      </w:rPr>
                    </m:ctrlPr>
                  </m:sSubPr>
                  <m:e>
                    <m:r>
                      <w:rPr>
                        <w:rFonts w:ascii="Cambria Math" w:hAnsi="Cambria Math" w:cs="STIXGeneral-Regular"/>
                        <w:sz w:val="20"/>
                        <w:szCs w:val="20"/>
                        <w:lang w:val="en-GB" w:eastAsia="en-US"/>
                      </w:rPr>
                      <m:t>β</m:t>
                    </m:r>
                  </m:e>
                  <m:sub>
                    <m:r>
                      <w:rPr>
                        <w:rFonts w:ascii="Cambria Math" w:hAnsi="Cambria Math" w:cs="STIXGeneral-Regular"/>
                        <w:sz w:val="20"/>
                        <w:szCs w:val="20"/>
                        <w:lang w:val="en-GB" w:eastAsia="en-US"/>
                      </w:rPr>
                      <m:t>X</m:t>
                    </m:r>
                  </m:sub>
                </m:sSub>
              </m:oMath>
            </m:oMathPara>
          </w:p>
        </w:tc>
        <w:tc>
          <w:tcPr>
            <w:tcW w:w="1503" w:type="dxa"/>
          </w:tcPr>
          <w:p w14:paraId="04680018" w14:textId="2FD7FA02" w:rsidR="007130BF" w:rsidRPr="007130BF" w:rsidRDefault="007130BF" w:rsidP="00E6397E">
            <w:pPr>
              <w:autoSpaceDE w:val="0"/>
              <w:autoSpaceDN w:val="0"/>
              <w:adjustRightInd w:val="0"/>
              <w:rPr>
                <w:rFonts w:ascii="STIXGeneral-Regular" w:eastAsiaTheme="minorHAnsi" w:hAnsi="STIXGeneral-Regular" w:cs="STIXGeneral-Regular"/>
                <w:sz w:val="20"/>
                <w:szCs w:val="20"/>
                <w:lang w:val="en-GB" w:eastAsia="en-US"/>
              </w:rPr>
            </w:pPr>
            <w:proofErr w:type="spellStart"/>
            <w:r w:rsidRPr="007130BF">
              <w:rPr>
                <w:rFonts w:ascii="STIXGeneral-Regular" w:eastAsiaTheme="minorHAnsi" w:hAnsi="STIXGeneral-Regular" w:cs="STIXGeneral-Regular"/>
                <w:sz w:val="20"/>
                <w:szCs w:val="20"/>
                <w:lang w:val="en-GB" w:eastAsia="en-US"/>
              </w:rPr>
              <w:t>s.</w:t>
            </w:r>
            <w:r>
              <w:rPr>
                <w:rFonts w:ascii="STIXGeneral-Regular" w:eastAsiaTheme="minorHAnsi" w:hAnsi="STIXGeneral-Regular" w:cs="STIXGeneral-Regular"/>
                <w:sz w:val="20"/>
                <w:szCs w:val="20"/>
                <w:lang w:val="en-GB" w:eastAsia="en-US"/>
              </w:rPr>
              <w:t>d</w:t>
            </w:r>
            <w:proofErr w:type="spellEnd"/>
            <w:r w:rsidRPr="007130BF">
              <w:rPr>
                <w:rFonts w:ascii="STIXGeneral-Regular" w:eastAsiaTheme="minorHAnsi" w:hAnsi="STIXGeneral-Regular" w:cs="STIXGeneral-Regular"/>
                <w:sz w:val="20"/>
                <w:szCs w:val="20"/>
                <w:lang w:val="en-GB" w:eastAsia="en-US"/>
              </w:rPr>
              <w:t>(</w:t>
            </w:r>
            <m:oMath>
              <m:sSub>
                <m:sSubPr>
                  <m:ctrlPr>
                    <w:rPr>
                      <w:rFonts w:ascii="Cambria Math" w:hAnsi="Cambria Math" w:cs="STIXGeneral-Regular"/>
                      <w:i/>
                      <w:sz w:val="20"/>
                      <w:szCs w:val="20"/>
                      <w:lang w:val="en-GB" w:eastAsia="en-US"/>
                    </w:rPr>
                  </m:ctrlPr>
                </m:sSubPr>
                <m:e>
                  <m:r>
                    <w:rPr>
                      <w:rFonts w:ascii="Cambria Math" w:hAnsi="Cambria Math" w:cs="STIXGeneral-Regular"/>
                      <w:sz w:val="20"/>
                      <w:szCs w:val="20"/>
                      <w:lang w:val="en-GB" w:eastAsia="en-US"/>
                    </w:rPr>
                    <m:t>β</m:t>
                  </m:r>
                </m:e>
                <m:sub>
                  <m:r>
                    <w:rPr>
                      <w:rFonts w:ascii="Cambria Math" w:hAnsi="Cambria Math" w:cs="STIXGeneral-Regular"/>
                      <w:sz w:val="20"/>
                      <w:szCs w:val="20"/>
                      <w:lang w:val="en-GB" w:eastAsia="en-US"/>
                    </w:rPr>
                    <m:t>X</m:t>
                  </m:r>
                </m:sub>
              </m:sSub>
            </m:oMath>
            <w:r w:rsidRPr="007130BF">
              <w:rPr>
                <w:rFonts w:ascii="STIXGeneral-Regular" w:hAnsi="STIXGeneral-Regular" w:cs="STIXGeneral-Regular"/>
                <w:sz w:val="20"/>
                <w:szCs w:val="20"/>
                <w:lang w:val="en-GB" w:eastAsia="en-US"/>
              </w:rPr>
              <w:t>)</w:t>
            </w:r>
          </w:p>
        </w:tc>
        <w:tc>
          <w:tcPr>
            <w:tcW w:w="1503" w:type="dxa"/>
          </w:tcPr>
          <w:p w14:paraId="24D85B36" w14:textId="3783525F" w:rsidR="007130BF" w:rsidRDefault="00B33438" w:rsidP="00E6397E">
            <w:pPr>
              <w:autoSpaceDE w:val="0"/>
              <w:autoSpaceDN w:val="0"/>
              <w:adjustRightInd w:val="0"/>
              <w:rPr>
                <w:rFonts w:ascii="STIXGeneral-Regular" w:eastAsiaTheme="minorHAnsi" w:hAnsi="STIXGeneral-Regular" w:cs="STIXGeneral-Regular"/>
                <w:b/>
                <w:bCs/>
                <w:sz w:val="20"/>
                <w:szCs w:val="20"/>
                <w:lang w:val="en-GB" w:eastAsia="en-US"/>
              </w:rPr>
            </w:pPr>
            <m:oMathPara>
              <m:oMath>
                <m:sSub>
                  <m:sSubPr>
                    <m:ctrlPr>
                      <w:rPr>
                        <w:rFonts w:ascii="Cambria Math" w:hAnsi="Cambria Math" w:cs="STIXGeneral-Regular"/>
                        <w:i/>
                        <w:sz w:val="20"/>
                        <w:szCs w:val="20"/>
                        <w:lang w:val="en-GB" w:eastAsia="en-US"/>
                      </w:rPr>
                    </m:ctrlPr>
                  </m:sSubPr>
                  <m:e>
                    <m:r>
                      <w:rPr>
                        <w:rFonts w:ascii="Cambria Math" w:hAnsi="Cambria Math" w:cs="STIXGeneral-Regular"/>
                        <w:sz w:val="20"/>
                        <w:szCs w:val="20"/>
                        <w:lang w:val="en-GB" w:eastAsia="en-US"/>
                      </w:rPr>
                      <m:t>β</m:t>
                    </m:r>
                  </m:e>
                  <m:sub>
                    <m:r>
                      <w:rPr>
                        <w:rFonts w:ascii="Cambria Math" w:hAnsi="Cambria Math" w:cs="STIXGeneral-Regular"/>
                        <w:sz w:val="20"/>
                        <w:szCs w:val="20"/>
                        <w:lang w:val="en-GB" w:eastAsia="en-US"/>
                      </w:rPr>
                      <m:t>Y</m:t>
                    </m:r>
                  </m:sub>
                </m:sSub>
              </m:oMath>
            </m:oMathPara>
          </w:p>
        </w:tc>
        <w:tc>
          <w:tcPr>
            <w:tcW w:w="1503" w:type="dxa"/>
          </w:tcPr>
          <w:p w14:paraId="1B2FF16C" w14:textId="772B8321"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proofErr w:type="spellStart"/>
            <w:r w:rsidRPr="007130BF">
              <w:rPr>
                <w:rFonts w:ascii="STIXGeneral-Regular" w:eastAsiaTheme="minorHAnsi" w:hAnsi="STIXGeneral-Regular" w:cs="STIXGeneral-Regular"/>
                <w:sz w:val="20"/>
                <w:szCs w:val="20"/>
                <w:lang w:val="en-GB" w:eastAsia="en-US"/>
              </w:rPr>
              <w:t>s.</w:t>
            </w:r>
            <w:r>
              <w:rPr>
                <w:rFonts w:ascii="STIXGeneral-Regular" w:eastAsiaTheme="minorHAnsi" w:hAnsi="STIXGeneral-Regular" w:cs="STIXGeneral-Regular"/>
                <w:sz w:val="20"/>
                <w:szCs w:val="20"/>
                <w:lang w:val="en-GB" w:eastAsia="en-US"/>
              </w:rPr>
              <w:t>d</w:t>
            </w:r>
            <w:proofErr w:type="spellEnd"/>
            <w:r w:rsidRPr="007130BF">
              <w:rPr>
                <w:rFonts w:ascii="STIXGeneral-Regular" w:eastAsiaTheme="minorHAnsi" w:hAnsi="STIXGeneral-Regular" w:cs="STIXGeneral-Regular"/>
                <w:sz w:val="20"/>
                <w:szCs w:val="20"/>
                <w:lang w:val="en-GB" w:eastAsia="en-US"/>
              </w:rPr>
              <w:t>(</w:t>
            </w:r>
            <m:oMath>
              <m:sSub>
                <m:sSubPr>
                  <m:ctrlPr>
                    <w:rPr>
                      <w:rFonts w:ascii="Cambria Math" w:hAnsi="Cambria Math" w:cs="STIXGeneral-Regular"/>
                      <w:i/>
                      <w:sz w:val="20"/>
                      <w:szCs w:val="20"/>
                      <w:lang w:val="en-GB" w:eastAsia="en-US"/>
                    </w:rPr>
                  </m:ctrlPr>
                </m:sSubPr>
                <m:e>
                  <m:r>
                    <w:rPr>
                      <w:rFonts w:ascii="Cambria Math" w:hAnsi="Cambria Math" w:cs="STIXGeneral-Regular"/>
                      <w:sz w:val="20"/>
                      <w:szCs w:val="20"/>
                      <w:lang w:val="en-GB" w:eastAsia="en-US"/>
                    </w:rPr>
                    <m:t>β</m:t>
                  </m:r>
                </m:e>
                <m:sub>
                  <m:r>
                    <w:rPr>
                      <w:rFonts w:ascii="Cambria Math" w:hAnsi="Cambria Math" w:cs="STIXGeneral-Regular"/>
                      <w:sz w:val="20"/>
                      <w:szCs w:val="20"/>
                      <w:lang w:val="en-GB" w:eastAsia="en-US"/>
                    </w:rPr>
                    <m:t>Y</m:t>
                  </m:r>
                </m:sub>
              </m:sSub>
            </m:oMath>
            <w:r w:rsidRPr="007130BF">
              <w:rPr>
                <w:rFonts w:ascii="STIXGeneral-Regular" w:hAnsi="STIXGeneral-Regular" w:cs="STIXGeneral-Regular"/>
                <w:sz w:val="20"/>
                <w:szCs w:val="20"/>
                <w:lang w:val="en-GB" w:eastAsia="en-US"/>
              </w:rPr>
              <w:t>)</w:t>
            </w:r>
          </w:p>
        </w:tc>
      </w:tr>
      <w:tr w:rsidR="007130BF" w14:paraId="74F92690" w14:textId="77777777" w:rsidTr="007130BF">
        <w:tc>
          <w:tcPr>
            <w:tcW w:w="1502" w:type="dxa"/>
          </w:tcPr>
          <w:p w14:paraId="4C52F8D0" w14:textId="5B528FB5"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1</w:t>
            </w:r>
          </w:p>
        </w:tc>
        <w:tc>
          <w:tcPr>
            <w:tcW w:w="1502" w:type="dxa"/>
          </w:tcPr>
          <w:p w14:paraId="5DDAF8AA" w14:textId="38014A72"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2.45</w:t>
            </w:r>
          </w:p>
        </w:tc>
        <w:tc>
          <w:tcPr>
            <w:tcW w:w="1503" w:type="dxa"/>
          </w:tcPr>
          <w:p w14:paraId="26201F94" w14:textId="6DCDC8E2"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0.253</w:t>
            </w:r>
          </w:p>
        </w:tc>
        <w:tc>
          <w:tcPr>
            <w:tcW w:w="1503" w:type="dxa"/>
          </w:tcPr>
          <w:p w14:paraId="39682657" w14:textId="16ED5EB0"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0.006</w:t>
            </w:r>
          </w:p>
        </w:tc>
        <w:tc>
          <w:tcPr>
            <w:tcW w:w="1503" w:type="dxa"/>
          </w:tcPr>
          <w:p w14:paraId="6B93AC92" w14:textId="69BF5954"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0.154</w:t>
            </w:r>
          </w:p>
        </w:tc>
        <w:tc>
          <w:tcPr>
            <w:tcW w:w="1503" w:type="dxa"/>
          </w:tcPr>
          <w:p w14:paraId="1B505C7F" w14:textId="29C5DAAD"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0.049</w:t>
            </w:r>
          </w:p>
        </w:tc>
      </w:tr>
      <w:tr w:rsidR="007130BF" w14:paraId="7DC5F469" w14:textId="77777777" w:rsidTr="007130BF">
        <w:tc>
          <w:tcPr>
            <w:tcW w:w="1502" w:type="dxa"/>
          </w:tcPr>
          <w:p w14:paraId="15494585" w14:textId="09600360"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2</w:t>
            </w:r>
          </w:p>
        </w:tc>
        <w:tc>
          <w:tcPr>
            <w:tcW w:w="1502" w:type="dxa"/>
          </w:tcPr>
          <w:p w14:paraId="0C522825" w14:textId="5D84A052"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2.75</w:t>
            </w:r>
          </w:p>
        </w:tc>
        <w:tc>
          <w:tcPr>
            <w:tcW w:w="1503" w:type="dxa"/>
          </w:tcPr>
          <w:p w14:paraId="36FCC5AD" w14:textId="219470FF"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0.227</w:t>
            </w:r>
          </w:p>
        </w:tc>
        <w:tc>
          <w:tcPr>
            <w:tcW w:w="1503" w:type="dxa"/>
          </w:tcPr>
          <w:p w14:paraId="1A3846D5" w14:textId="6A1EAB5B"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0.004</w:t>
            </w:r>
          </w:p>
        </w:tc>
        <w:tc>
          <w:tcPr>
            <w:tcW w:w="1503" w:type="dxa"/>
          </w:tcPr>
          <w:p w14:paraId="7C0209B4" w14:textId="7D983F7A"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0.249</w:t>
            </w:r>
          </w:p>
        </w:tc>
        <w:tc>
          <w:tcPr>
            <w:tcW w:w="1503" w:type="dxa"/>
          </w:tcPr>
          <w:p w14:paraId="753B44A9" w14:textId="4681D91D"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0.050</w:t>
            </w:r>
          </w:p>
        </w:tc>
      </w:tr>
      <w:tr w:rsidR="007130BF" w14:paraId="731A08EB" w14:textId="77777777" w:rsidTr="007130BF">
        <w:tc>
          <w:tcPr>
            <w:tcW w:w="1502" w:type="dxa"/>
          </w:tcPr>
          <w:p w14:paraId="2E3E6B70" w14:textId="436E2D93"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3</w:t>
            </w:r>
          </w:p>
        </w:tc>
        <w:tc>
          <w:tcPr>
            <w:tcW w:w="1502" w:type="dxa"/>
          </w:tcPr>
          <w:p w14:paraId="4FDD7043" w14:textId="71424A6D"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2.97</w:t>
            </w:r>
          </w:p>
        </w:tc>
        <w:tc>
          <w:tcPr>
            <w:tcW w:w="1503" w:type="dxa"/>
          </w:tcPr>
          <w:p w14:paraId="2BAC74F1" w14:textId="77E42A54"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0.226</w:t>
            </w:r>
          </w:p>
        </w:tc>
        <w:tc>
          <w:tcPr>
            <w:tcW w:w="1503" w:type="dxa"/>
          </w:tcPr>
          <w:p w14:paraId="120EFF72" w14:textId="7B2787B2"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0.003</w:t>
            </w:r>
          </w:p>
        </w:tc>
        <w:tc>
          <w:tcPr>
            <w:tcW w:w="1503" w:type="dxa"/>
          </w:tcPr>
          <w:p w14:paraId="646A6D3D" w14:textId="393FFC9D"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0.205</w:t>
            </w:r>
          </w:p>
        </w:tc>
        <w:tc>
          <w:tcPr>
            <w:tcW w:w="1503" w:type="dxa"/>
          </w:tcPr>
          <w:p w14:paraId="61ED992C" w14:textId="3211AE88"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0.048</w:t>
            </w:r>
          </w:p>
        </w:tc>
      </w:tr>
      <w:tr w:rsidR="007130BF" w14:paraId="420ED5EA" w14:textId="77777777" w:rsidTr="007130BF">
        <w:tc>
          <w:tcPr>
            <w:tcW w:w="1502" w:type="dxa"/>
          </w:tcPr>
          <w:p w14:paraId="48D51AB4" w14:textId="74D746FA"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4</w:t>
            </w:r>
          </w:p>
        </w:tc>
        <w:tc>
          <w:tcPr>
            <w:tcW w:w="1502" w:type="dxa"/>
          </w:tcPr>
          <w:p w14:paraId="186A9EA7" w14:textId="1C6CB8AA"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3.14</w:t>
            </w:r>
          </w:p>
        </w:tc>
        <w:tc>
          <w:tcPr>
            <w:tcW w:w="1503" w:type="dxa"/>
          </w:tcPr>
          <w:p w14:paraId="326E44A2" w14:textId="4B36D930"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0.234</w:t>
            </w:r>
          </w:p>
        </w:tc>
        <w:tc>
          <w:tcPr>
            <w:tcW w:w="1503" w:type="dxa"/>
          </w:tcPr>
          <w:p w14:paraId="4B4BBB24" w14:textId="68EE052A"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0.002</w:t>
            </w:r>
          </w:p>
        </w:tc>
        <w:tc>
          <w:tcPr>
            <w:tcW w:w="1503" w:type="dxa"/>
          </w:tcPr>
          <w:p w14:paraId="33572813" w14:textId="349CF637"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0.197</w:t>
            </w:r>
          </w:p>
        </w:tc>
        <w:tc>
          <w:tcPr>
            <w:tcW w:w="1503" w:type="dxa"/>
          </w:tcPr>
          <w:p w14:paraId="31A92C22" w14:textId="58C01858"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0.048</w:t>
            </w:r>
          </w:p>
        </w:tc>
      </w:tr>
      <w:tr w:rsidR="007130BF" w14:paraId="4601E8FD" w14:textId="77777777" w:rsidTr="007130BF">
        <w:tc>
          <w:tcPr>
            <w:tcW w:w="1502" w:type="dxa"/>
          </w:tcPr>
          <w:p w14:paraId="4E314960" w14:textId="347E19AC"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r>
              <w:rPr>
                <w:rFonts w:ascii="STIXGeneral-Regular" w:eastAsiaTheme="minorHAnsi" w:hAnsi="STIXGeneral-Regular" w:cs="STIXGeneral-Regular"/>
                <w:b/>
                <w:bCs/>
                <w:sz w:val="20"/>
                <w:szCs w:val="20"/>
                <w:lang w:val="en-GB" w:eastAsia="en-US"/>
              </w:rPr>
              <w:t>…</w:t>
            </w:r>
          </w:p>
        </w:tc>
        <w:tc>
          <w:tcPr>
            <w:tcW w:w="1502" w:type="dxa"/>
          </w:tcPr>
          <w:p w14:paraId="58D299AD" w14:textId="77777777"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p>
        </w:tc>
        <w:tc>
          <w:tcPr>
            <w:tcW w:w="1503" w:type="dxa"/>
          </w:tcPr>
          <w:p w14:paraId="53D8B9C5" w14:textId="4D5534AC"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p>
        </w:tc>
        <w:tc>
          <w:tcPr>
            <w:tcW w:w="1503" w:type="dxa"/>
          </w:tcPr>
          <w:p w14:paraId="3C5BA8DD" w14:textId="77777777"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p>
        </w:tc>
        <w:tc>
          <w:tcPr>
            <w:tcW w:w="1503" w:type="dxa"/>
          </w:tcPr>
          <w:p w14:paraId="2369E826" w14:textId="77777777"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p>
        </w:tc>
        <w:tc>
          <w:tcPr>
            <w:tcW w:w="1503" w:type="dxa"/>
          </w:tcPr>
          <w:p w14:paraId="30FBC6AF" w14:textId="77777777" w:rsidR="007130BF"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p>
        </w:tc>
      </w:tr>
    </w:tbl>
    <w:p w14:paraId="71F82D71" w14:textId="77777777" w:rsidR="007130BF" w:rsidRPr="00E956EA" w:rsidRDefault="007130BF" w:rsidP="00E6397E">
      <w:pPr>
        <w:autoSpaceDE w:val="0"/>
        <w:autoSpaceDN w:val="0"/>
        <w:adjustRightInd w:val="0"/>
        <w:rPr>
          <w:rFonts w:ascii="STIXGeneral-Regular" w:eastAsiaTheme="minorHAnsi" w:hAnsi="STIXGeneral-Regular" w:cs="STIXGeneral-Regular"/>
          <w:b/>
          <w:bCs/>
          <w:sz w:val="20"/>
          <w:szCs w:val="20"/>
          <w:lang w:val="en-GB" w:eastAsia="en-US"/>
        </w:rPr>
      </w:pPr>
    </w:p>
    <w:p w14:paraId="630627BB" w14:textId="4AEF97F9" w:rsidR="00E956EA" w:rsidRDefault="007130BF" w:rsidP="000A0120">
      <w:pPr>
        <w:autoSpaceDE w:val="0"/>
        <w:autoSpaceDN w:val="0"/>
        <w:adjustRightInd w:val="0"/>
        <w:rPr>
          <w:rFonts w:ascii="STIX-Bold" w:eastAsiaTheme="minorHAnsi" w:hAnsi="STIX-Bold" w:cs="STIX-Bold"/>
          <w:b/>
          <w:bCs/>
          <w:lang w:val="en-GB" w:eastAsia="en-US"/>
        </w:rPr>
      </w:pPr>
      <w:r>
        <w:rPr>
          <w:rFonts w:ascii="STIX-Bold" w:eastAsiaTheme="minorHAnsi" w:hAnsi="STIX-Bold" w:cs="STIX-Bold"/>
          <w:b/>
          <w:bCs/>
          <w:lang w:val="en-GB" w:eastAsia="en-US"/>
        </w:rPr>
        <w:t>Fractional polynomials</w:t>
      </w:r>
    </w:p>
    <w:p w14:paraId="64A601D9" w14:textId="4FA1CC3B" w:rsidR="00B33438" w:rsidRDefault="00B33438" w:rsidP="000A0120">
      <w:pPr>
        <w:autoSpaceDE w:val="0"/>
        <w:autoSpaceDN w:val="0"/>
        <w:adjustRightInd w:val="0"/>
        <w:rPr>
          <w:rFonts w:ascii="STIX-Bold" w:eastAsiaTheme="minorHAnsi" w:hAnsi="STIX-Bold" w:cs="STIX-Bold"/>
          <w:b/>
          <w:bCs/>
          <w:lang w:val="en-GB" w:eastAsia="en-US"/>
        </w:rPr>
      </w:pPr>
    </w:p>
    <w:p w14:paraId="0D24CA94" w14:textId="77777777" w:rsidR="00B33438" w:rsidRDefault="00B33438" w:rsidP="000A0120">
      <w:pPr>
        <w:autoSpaceDE w:val="0"/>
        <w:autoSpaceDN w:val="0"/>
        <w:adjustRightInd w:val="0"/>
        <w:rPr>
          <w:rFonts w:ascii="STIX-Bold" w:eastAsiaTheme="minorHAnsi" w:hAnsi="STIX-Bold" w:cs="STIX-Bold"/>
          <w:b/>
          <w:bCs/>
          <w:lang w:val="en-GB" w:eastAsia="en-US"/>
        </w:rPr>
      </w:pPr>
    </w:p>
    <w:p w14:paraId="76F05E5B" w14:textId="77777777" w:rsidR="007130BF" w:rsidRDefault="007130BF" w:rsidP="000A0120">
      <w:pPr>
        <w:autoSpaceDE w:val="0"/>
        <w:autoSpaceDN w:val="0"/>
        <w:adjustRightInd w:val="0"/>
        <w:rPr>
          <w:rFonts w:ascii="STIX-Bold" w:eastAsiaTheme="minorHAnsi" w:hAnsi="STIX-Bold" w:cs="STIX-Bold"/>
          <w:b/>
          <w:bCs/>
          <w:lang w:val="en-GB" w:eastAsia="en-US"/>
        </w:rPr>
      </w:pPr>
    </w:p>
    <w:p w14:paraId="7F9565B0" w14:textId="65B4C569" w:rsidR="000A0120" w:rsidRDefault="000A0120" w:rsidP="000A0120">
      <w:pPr>
        <w:autoSpaceDE w:val="0"/>
        <w:autoSpaceDN w:val="0"/>
        <w:adjustRightInd w:val="0"/>
        <w:rPr>
          <w:rFonts w:ascii="STIX-Bold" w:eastAsiaTheme="minorHAnsi" w:hAnsi="STIX-Bold" w:cs="STIX-Bold"/>
          <w:b/>
          <w:bCs/>
          <w:lang w:val="en-GB" w:eastAsia="en-US"/>
        </w:rPr>
      </w:pPr>
      <w:r>
        <w:rPr>
          <w:rFonts w:ascii="STIX-Bold" w:eastAsiaTheme="minorHAnsi" w:hAnsi="STIX-Bold" w:cs="STIX-Bold"/>
          <w:b/>
          <w:bCs/>
          <w:lang w:val="en-GB" w:eastAsia="en-US"/>
        </w:rPr>
        <w:t>SIMULATION STUDY</w:t>
      </w:r>
    </w:p>
    <w:p w14:paraId="216B2034"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lastRenderedPageBreak/>
        <w:t>To assess the performance of these methods in realistic scenarios</w:t>
      </w:r>
    </w:p>
    <w:p w14:paraId="25BF29C2"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for Mendelian randomization, we performed a simulation</w:t>
      </w:r>
    </w:p>
    <w:p w14:paraId="31B1BA2A"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proofErr w:type="spellStart"/>
      <w:proofErr w:type="gramStart"/>
      <w:r>
        <w:rPr>
          <w:rFonts w:ascii="STIXGeneral-Regular" w:eastAsiaTheme="minorHAnsi" w:hAnsi="STIXGeneral-Regular" w:cs="STIXGeneral-Regular"/>
          <w:sz w:val="20"/>
          <w:szCs w:val="20"/>
          <w:lang w:val="en-GB" w:eastAsia="en-US"/>
        </w:rPr>
        <w:t>study.We</w:t>
      </w:r>
      <w:proofErr w:type="spellEnd"/>
      <w:proofErr w:type="gramEnd"/>
      <w:r>
        <w:rPr>
          <w:rFonts w:ascii="STIXGeneral-Regular" w:eastAsiaTheme="minorHAnsi" w:hAnsi="STIXGeneral-Regular" w:cs="STIXGeneral-Regular"/>
          <w:sz w:val="20"/>
          <w:szCs w:val="20"/>
          <w:lang w:val="en-GB" w:eastAsia="en-US"/>
        </w:rPr>
        <w:t xml:space="preserve"> simulated data for 10,000 individuals for an IV</w:t>
      </w:r>
    </w:p>
    <w:p w14:paraId="0A3FAA1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Cambria Math" w:eastAsia="STIXMath-Italic" w:hAnsi="Cambria Math" w:cs="Cambria Math"/>
          <w:i/>
          <w:iCs/>
          <w:sz w:val="20"/>
          <w:szCs w:val="20"/>
          <w:lang w:val="en-GB" w:eastAsia="en-US"/>
        </w:rPr>
        <w:t>𝐺</w:t>
      </w:r>
      <w:r>
        <w:rPr>
          <w:rFonts w:ascii="STIXGeneral-Regular" w:eastAsiaTheme="minorHAnsi" w:hAnsi="STIXGeneral-Regular" w:cs="STIXGeneral-Regular"/>
          <w:sz w:val="20"/>
          <w:szCs w:val="20"/>
          <w:lang w:val="en-GB" w:eastAsia="en-US"/>
        </w:rPr>
        <w:t xml:space="preserve">, a continuous exposure </w:t>
      </w:r>
      <w:r>
        <w:rPr>
          <w:rFonts w:ascii="Cambria Math" w:eastAsia="STIXMath-Italic" w:hAnsi="Cambria Math" w:cs="Cambria Math"/>
          <w:i/>
          <w:iCs/>
          <w:sz w:val="20"/>
          <w:szCs w:val="20"/>
          <w:lang w:val="en-GB" w:eastAsia="en-US"/>
        </w:rPr>
        <w:t>𝑋</w:t>
      </w:r>
      <w:r>
        <w:rPr>
          <w:rFonts w:ascii="STIXMath-Italic" w:eastAsia="STIXMath-Italic" w:hAnsi="STIX-Bold"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that takes only positive values, a</w:t>
      </w:r>
    </w:p>
    <w:p w14:paraId="476BE242"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continuous outcome </w:t>
      </w:r>
      <w:proofErr w:type="gramStart"/>
      <w:r>
        <w:rPr>
          <w:rFonts w:ascii="Cambria Math" w:eastAsia="STIXMath-Italic" w:hAnsi="Cambria Math" w:cs="Cambria Math"/>
          <w:i/>
          <w:iCs/>
          <w:sz w:val="20"/>
          <w:szCs w:val="20"/>
          <w:lang w:val="en-GB" w:eastAsia="en-US"/>
        </w:rPr>
        <w:t>𝑌</w:t>
      </w:r>
      <w:r>
        <w:rPr>
          <w:rFonts w:ascii="STIXMath-Italic" w:eastAsia="STIXMath-Italic" w:hAnsi="STIX-Bold"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w:t>
      </w:r>
      <w:proofErr w:type="gramEnd"/>
      <w:r>
        <w:rPr>
          <w:rFonts w:ascii="STIXGeneral-Regular" w:eastAsiaTheme="minorHAnsi" w:hAnsi="STIXGeneral-Regular" w:cs="STIXGeneral-Regular"/>
          <w:sz w:val="20"/>
          <w:szCs w:val="20"/>
          <w:lang w:val="en-GB" w:eastAsia="en-US"/>
        </w:rPr>
        <w:t xml:space="preserve"> and a confounder </w:t>
      </w:r>
      <w:r>
        <w:rPr>
          <w:rFonts w:ascii="Cambria Math" w:eastAsia="STIXMath-Italic" w:hAnsi="Cambria Math" w:cs="Cambria Math"/>
          <w:i/>
          <w:iCs/>
          <w:sz w:val="20"/>
          <w:szCs w:val="20"/>
          <w:lang w:val="en-GB" w:eastAsia="en-US"/>
        </w:rPr>
        <w:t>𝑈</w:t>
      </w:r>
      <w:r>
        <w:rPr>
          <w:rFonts w:ascii="STIXMath-Italic" w:eastAsia="STIXMath-Italic" w:hAnsi="STIX-Bold"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(assumed to be</w:t>
      </w:r>
    </w:p>
    <w:p w14:paraId="10D3CB88"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unmeasured). The data-generating model for individual </w:t>
      </w:r>
      <w:r>
        <w:rPr>
          <w:rFonts w:ascii="Cambria Math" w:eastAsia="STIXMath-Italic" w:hAnsi="Cambria Math" w:cs="Cambria Math"/>
          <w:i/>
          <w:iCs/>
          <w:sz w:val="20"/>
          <w:szCs w:val="20"/>
          <w:lang w:val="en-GB" w:eastAsia="en-US"/>
        </w:rPr>
        <w:t>𝑖</w:t>
      </w:r>
      <w:r>
        <w:rPr>
          <w:rFonts w:ascii="STIXMath-Italic" w:eastAsia="STIXMath-Italic" w:hAnsi="STIX-Bold"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is</w:t>
      </w:r>
    </w:p>
    <w:p w14:paraId="2833D3CF" w14:textId="77777777" w:rsidR="000A0120" w:rsidRDefault="000A0120" w:rsidP="000A0120">
      <w:pPr>
        <w:autoSpaceDE w:val="0"/>
        <w:autoSpaceDN w:val="0"/>
        <w:adjustRightInd w:val="0"/>
        <w:rPr>
          <w:rFonts w:ascii="STIXMath-Italic" w:eastAsia="STIXMath-Italic" w:hAnsi="STIX-Bold" w:cs="STIXMath-Italic"/>
          <w:i/>
          <w:iCs/>
          <w:sz w:val="15"/>
          <w:szCs w:val="15"/>
          <w:lang w:val="en-GB" w:eastAsia="en-US"/>
        </w:rPr>
      </w:pPr>
      <w:r>
        <w:rPr>
          <w:rFonts w:ascii="Cambria Math" w:eastAsia="STIXMath-Italic" w:hAnsi="Cambria Math" w:cs="Cambria Math"/>
          <w:i/>
          <w:iCs/>
          <w:sz w:val="20"/>
          <w:szCs w:val="20"/>
          <w:lang w:val="en-GB" w:eastAsia="en-US"/>
        </w:rPr>
        <w:t>𝑥</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15"/>
          <w:szCs w:val="15"/>
          <w:lang w:val="en-GB" w:eastAsia="en-US"/>
        </w:rPr>
        <w:t xml:space="preserve"> </w:t>
      </w:r>
      <w:r>
        <w:rPr>
          <w:rFonts w:ascii="STIXMath-Regular" w:eastAsia="STIXMath-Regular" w:hAnsi="STIX-Bold" w:cs="STIXMath-Regular"/>
          <w:sz w:val="20"/>
          <w:szCs w:val="20"/>
          <w:lang w:val="en-GB" w:eastAsia="en-US"/>
        </w:rPr>
        <w:t>= 2+0</w:t>
      </w:r>
      <w:r>
        <w:rPr>
          <w:rFonts w:ascii="STIXMath-Italic" w:eastAsia="STIXMath-Italic" w:hAnsi="STIX-Bold" w:cs="STIXMath-Italic"/>
          <w:i/>
          <w:iCs/>
          <w:sz w:val="20"/>
          <w:szCs w:val="20"/>
          <w:lang w:val="en-GB" w:eastAsia="en-US"/>
        </w:rPr>
        <w:t>.</w:t>
      </w:r>
      <w:r>
        <w:rPr>
          <w:rFonts w:ascii="STIXMath-Regular" w:eastAsia="STIXMath-Regular" w:hAnsi="STIX-Bold" w:cs="STIXMath-Regular"/>
          <w:sz w:val="20"/>
          <w:szCs w:val="20"/>
          <w:lang w:val="en-GB" w:eastAsia="en-US"/>
        </w:rPr>
        <w:t>25</w:t>
      </w:r>
      <w:r>
        <w:rPr>
          <w:rFonts w:ascii="Cambria Math" w:eastAsia="STIXMath-Italic" w:hAnsi="Cambria Math" w:cs="Cambria Math"/>
          <w:i/>
          <w:iCs/>
          <w:sz w:val="20"/>
          <w:szCs w:val="20"/>
          <w:lang w:val="en-GB" w:eastAsia="en-US"/>
        </w:rPr>
        <w:t>𝑔</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15"/>
          <w:szCs w:val="15"/>
          <w:lang w:val="en-GB" w:eastAsia="en-US"/>
        </w:rPr>
        <w:t xml:space="preserve"> </w:t>
      </w:r>
      <w:r>
        <w:rPr>
          <w:rFonts w:ascii="STIXMath-Regular" w:eastAsia="STIXMath-Regular" w:hAnsi="STIX-Bold" w:cs="STIXMath-Regular"/>
          <w:sz w:val="20"/>
          <w:szCs w:val="20"/>
          <w:lang w:val="en-GB" w:eastAsia="en-US"/>
        </w:rPr>
        <w:t xml:space="preserve">+ </w:t>
      </w:r>
      <w:r>
        <w:rPr>
          <w:rFonts w:ascii="Cambria Math" w:eastAsia="STIXMath-Italic" w:hAnsi="Cambria Math" w:cs="Cambria Math"/>
          <w:i/>
          <w:iCs/>
          <w:sz w:val="20"/>
          <w:szCs w:val="20"/>
          <w:lang w:val="en-GB" w:eastAsia="en-US"/>
        </w:rPr>
        <w:t>𝑢</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15"/>
          <w:szCs w:val="15"/>
          <w:lang w:val="en-GB" w:eastAsia="en-US"/>
        </w:rPr>
        <w:t xml:space="preserve"> </w:t>
      </w:r>
      <w:r>
        <w:rPr>
          <w:rFonts w:ascii="STIXMath-Regular" w:eastAsia="STIXMath-Regular" w:hAnsi="STIX-Bold" w:cs="STIXMath-Regular"/>
          <w:sz w:val="20"/>
          <w:szCs w:val="20"/>
          <w:lang w:val="en-GB" w:eastAsia="en-US"/>
        </w:rPr>
        <w:t xml:space="preserve">+ </w:t>
      </w:r>
      <w:r>
        <w:rPr>
          <w:rFonts w:ascii="Cambria Math" w:eastAsia="STIXMath-Italic" w:hAnsi="Cambria Math" w:cs="Cambria Math"/>
          <w:i/>
          <w:iCs/>
          <w:sz w:val="20"/>
          <w:szCs w:val="20"/>
          <w:lang w:val="en-GB" w:eastAsia="en-US"/>
        </w:rPr>
        <w:t>𝜖</w:t>
      </w:r>
      <w:r>
        <w:rPr>
          <w:rFonts w:ascii="Cambria Math" w:eastAsia="STIXMath-Italic" w:hAnsi="Cambria Math" w:cs="Cambria Math"/>
          <w:i/>
          <w:iCs/>
          <w:sz w:val="15"/>
          <w:szCs w:val="15"/>
          <w:lang w:val="en-GB" w:eastAsia="en-US"/>
        </w:rPr>
        <w:t>𝑋𝑖</w:t>
      </w:r>
    </w:p>
    <w:p w14:paraId="675176E7" w14:textId="77777777" w:rsidR="000A0120" w:rsidRDefault="000A0120" w:rsidP="000A0120">
      <w:pPr>
        <w:autoSpaceDE w:val="0"/>
        <w:autoSpaceDN w:val="0"/>
        <w:adjustRightInd w:val="0"/>
        <w:rPr>
          <w:rFonts w:ascii="STIXMath-Italic" w:eastAsia="STIXMath-Italic" w:hAnsi="STIX-Bold" w:cs="STIXMath-Italic"/>
          <w:i/>
          <w:iCs/>
          <w:sz w:val="20"/>
          <w:szCs w:val="20"/>
          <w:lang w:val="en-GB" w:eastAsia="en-US"/>
        </w:rPr>
      </w:pPr>
      <w:r>
        <w:rPr>
          <w:rFonts w:ascii="Cambria Math" w:eastAsia="STIXMath-Italic" w:hAnsi="Cambria Math" w:cs="Cambria Math"/>
          <w:i/>
          <w:iCs/>
          <w:sz w:val="20"/>
          <w:szCs w:val="20"/>
          <w:lang w:val="en-GB" w:eastAsia="en-US"/>
        </w:rPr>
        <w:t>𝑦</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15"/>
          <w:szCs w:val="15"/>
          <w:lang w:val="en-GB" w:eastAsia="en-US"/>
        </w:rPr>
        <w:t xml:space="preserve"> </w:t>
      </w:r>
      <w:r>
        <w:rPr>
          <w:rFonts w:ascii="STIXMath-Regular" w:eastAsia="STIXMath-Regular" w:hAnsi="STIX-Bold" w:cs="STIXMath-Regular"/>
          <w:sz w:val="20"/>
          <w:szCs w:val="20"/>
          <w:lang w:val="en-GB" w:eastAsia="en-US"/>
        </w:rPr>
        <w:t xml:space="preserve">= </w:t>
      </w:r>
      <w:r>
        <w:rPr>
          <w:rFonts w:ascii="Cambria Math" w:eastAsia="STIXMath-Italic" w:hAnsi="Cambria Math" w:cs="Cambria Math"/>
          <w:i/>
          <w:iCs/>
          <w:sz w:val="20"/>
          <w:szCs w:val="20"/>
          <w:lang w:val="en-GB" w:eastAsia="en-US"/>
        </w:rPr>
        <w:t>ℎ</w:t>
      </w:r>
      <w:r>
        <w:rPr>
          <w:rFonts w:ascii="STIXMath-Regular" w:eastAsia="STIXMath-Regular" w:hAnsi="STIX-Bold" w:cs="STIXMath-Regular"/>
          <w:sz w:val="20"/>
          <w:szCs w:val="20"/>
          <w:lang w:val="en-GB" w:eastAsia="en-US"/>
        </w:rPr>
        <w:t>(</w:t>
      </w:r>
      <w:r>
        <w:rPr>
          <w:rFonts w:ascii="Cambria Math" w:eastAsia="STIXMath-Italic" w:hAnsi="Cambria Math" w:cs="Cambria Math"/>
          <w:i/>
          <w:iCs/>
          <w:sz w:val="20"/>
          <w:szCs w:val="20"/>
          <w:lang w:val="en-GB" w:eastAsia="en-US"/>
        </w:rPr>
        <w:t>𝑥</w:t>
      </w:r>
      <w:r>
        <w:rPr>
          <w:rFonts w:ascii="Cambria Math" w:eastAsia="STIXMath-Italic" w:hAnsi="Cambria Math" w:cs="Cambria Math"/>
          <w:i/>
          <w:iCs/>
          <w:sz w:val="15"/>
          <w:szCs w:val="15"/>
          <w:lang w:val="en-GB" w:eastAsia="en-US"/>
        </w:rPr>
        <w:t>𝑖</w:t>
      </w:r>
      <w:r>
        <w:rPr>
          <w:rFonts w:ascii="STIXMath-Regular" w:eastAsia="STIXMath-Regular" w:hAnsi="STIX-Bold" w:cs="STIXMath-Regular"/>
          <w:sz w:val="20"/>
          <w:szCs w:val="20"/>
          <w:lang w:val="en-GB" w:eastAsia="en-US"/>
        </w:rPr>
        <w:t>) + 0</w:t>
      </w:r>
      <w:r>
        <w:rPr>
          <w:rFonts w:ascii="STIXMath-Italic" w:eastAsia="STIXMath-Italic" w:hAnsi="STIX-Bold" w:cs="STIXMath-Italic"/>
          <w:i/>
          <w:iCs/>
          <w:sz w:val="20"/>
          <w:szCs w:val="20"/>
          <w:lang w:val="en-GB" w:eastAsia="en-US"/>
        </w:rPr>
        <w:t>.</w:t>
      </w:r>
      <w:r>
        <w:rPr>
          <w:rFonts w:ascii="STIXMath-Regular" w:eastAsia="STIXMath-Regular" w:hAnsi="STIX-Bold" w:cs="STIXMath-Regular"/>
          <w:sz w:val="20"/>
          <w:szCs w:val="20"/>
          <w:lang w:val="en-GB" w:eastAsia="en-US"/>
        </w:rPr>
        <w:t>8</w:t>
      </w:r>
      <w:r>
        <w:rPr>
          <w:rFonts w:ascii="Cambria Math" w:eastAsia="STIXMath-Italic" w:hAnsi="Cambria Math" w:cs="Cambria Math"/>
          <w:i/>
          <w:iCs/>
          <w:sz w:val="20"/>
          <w:szCs w:val="20"/>
          <w:lang w:val="en-GB" w:eastAsia="en-US"/>
        </w:rPr>
        <w:t>𝑢</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15"/>
          <w:szCs w:val="15"/>
          <w:lang w:val="en-GB" w:eastAsia="en-US"/>
        </w:rPr>
        <w:t xml:space="preserve"> </w:t>
      </w:r>
      <w:r>
        <w:rPr>
          <w:rFonts w:ascii="STIXMath-Regular" w:eastAsia="STIXMath-Regular" w:hAnsi="STIX-Bold" w:cs="STIXMath-Regular"/>
          <w:sz w:val="20"/>
          <w:szCs w:val="20"/>
          <w:lang w:val="en-GB" w:eastAsia="en-US"/>
        </w:rPr>
        <w:t xml:space="preserve">+ </w:t>
      </w:r>
      <w:r>
        <w:rPr>
          <w:rFonts w:ascii="Cambria Math" w:eastAsia="STIXMath-Italic" w:hAnsi="Cambria Math" w:cs="Cambria Math"/>
          <w:i/>
          <w:iCs/>
          <w:sz w:val="20"/>
          <w:szCs w:val="20"/>
          <w:lang w:val="en-GB" w:eastAsia="en-US"/>
        </w:rPr>
        <w:t>𝜖</w:t>
      </w:r>
      <w:r>
        <w:rPr>
          <w:rFonts w:ascii="Cambria Math" w:eastAsia="STIXMath-Italic" w:hAnsi="Cambria Math" w:cs="Cambria Math"/>
          <w:i/>
          <w:iCs/>
          <w:sz w:val="15"/>
          <w:szCs w:val="15"/>
          <w:lang w:val="en-GB" w:eastAsia="en-US"/>
        </w:rPr>
        <w:t>𝑌</w:t>
      </w:r>
      <w:r>
        <w:rPr>
          <w:rFonts w:ascii="STIXMath-Italic" w:eastAsia="STIXMath-Italic" w:hAnsi="STIX-Bold" w:cs="STIXMath-Italic"/>
          <w:i/>
          <w:iCs/>
          <w:sz w:val="15"/>
          <w:szCs w:val="15"/>
          <w:lang w:val="en-GB" w:eastAsia="en-US"/>
        </w:rPr>
        <w:t xml:space="preserve"> </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20"/>
          <w:szCs w:val="20"/>
          <w:lang w:val="en-GB" w:eastAsia="en-US"/>
        </w:rPr>
        <w:t>,</w:t>
      </w:r>
    </w:p>
    <w:p w14:paraId="3B4B596E" w14:textId="77777777" w:rsidR="000A0120" w:rsidRDefault="000A0120" w:rsidP="000A0120">
      <w:pPr>
        <w:autoSpaceDE w:val="0"/>
        <w:autoSpaceDN w:val="0"/>
        <w:adjustRightInd w:val="0"/>
        <w:rPr>
          <w:rFonts w:ascii="STIXMath-Regular" w:eastAsia="STIXMath-Regular" w:hAnsi="STIX-Bold" w:cs="STIXMath-Regular"/>
          <w:sz w:val="20"/>
          <w:szCs w:val="20"/>
          <w:lang w:val="en-GB" w:eastAsia="en-US"/>
        </w:rPr>
      </w:pPr>
      <w:r>
        <w:rPr>
          <w:rFonts w:ascii="STIXGeneral-Regular" w:eastAsiaTheme="minorHAnsi" w:hAnsi="STIXGeneral-Regular" w:cs="STIXGeneral-Regular"/>
          <w:sz w:val="20"/>
          <w:szCs w:val="20"/>
          <w:lang w:val="en-GB" w:eastAsia="en-US"/>
        </w:rPr>
        <w:t xml:space="preserve">where </w:t>
      </w:r>
      <w:r>
        <w:rPr>
          <w:rFonts w:ascii="Cambria Math" w:eastAsia="STIXMath-Italic" w:hAnsi="Cambria Math" w:cs="Cambria Math"/>
          <w:i/>
          <w:iCs/>
          <w:sz w:val="20"/>
          <w:szCs w:val="20"/>
          <w:lang w:val="en-GB" w:eastAsia="en-US"/>
        </w:rPr>
        <w:t>𝑔</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15"/>
          <w:szCs w:val="15"/>
          <w:lang w:val="en-GB" w:eastAsia="en-US"/>
        </w:rPr>
        <w:t xml:space="preserve"> </w:t>
      </w:r>
      <w:r>
        <w:rPr>
          <w:rFonts w:ascii="Cambria Math" w:eastAsia="STIXMath-Regular" w:hAnsi="Cambria Math" w:cs="Cambria Math"/>
          <w:sz w:val="20"/>
          <w:szCs w:val="20"/>
          <w:lang w:val="en-GB" w:eastAsia="en-US"/>
        </w:rPr>
        <w:t>∼</w:t>
      </w:r>
      <w:r>
        <w:rPr>
          <w:rFonts w:ascii="STIXMath-Regular" w:eastAsia="STIXMath-Regular" w:hAnsi="STIX-Bold" w:cs="STIXMath-Regular"/>
          <w:sz w:val="20"/>
          <w:szCs w:val="20"/>
          <w:lang w:val="en-GB" w:eastAsia="en-US"/>
        </w:rPr>
        <w:t xml:space="preserve"> </w:t>
      </w:r>
      <w:proofErr w:type="gramStart"/>
      <w:r>
        <w:rPr>
          <w:rFonts w:ascii="STIXGeneral-Regular" w:eastAsiaTheme="minorHAnsi" w:hAnsi="STIXGeneral-Regular" w:cs="STIXGeneral-Regular"/>
          <w:sz w:val="20"/>
          <w:szCs w:val="20"/>
          <w:lang w:val="en-GB" w:eastAsia="en-US"/>
        </w:rPr>
        <w:t>Bin(</w:t>
      </w:r>
      <w:proofErr w:type="gramEnd"/>
      <w:r>
        <w:rPr>
          <w:rFonts w:ascii="STIXGeneral-Regular" w:eastAsiaTheme="minorHAnsi" w:hAnsi="STIXGeneral-Regular" w:cs="STIXGeneral-Regular"/>
          <w:sz w:val="20"/>
          <w:szCs w:val="20"/>
          <w:lang w:val="en-GB" w:eastAsia="en-US"/>
        </w:rPr>
        <w:t xml:space="preserve">2, 0.3), </w:t>
      </w:r>
      <w:r>
        <w:rPr>
          <w:rFonts w:ascii="Cambria Math" w:eastAsia="STIXMath-Italic" w:hAnsi="Cambria Math" w:cs="Cambria Math"/>
          <w:i/>
          <w:iCs/>
          <w:sz w:val="20"/>
          <w:szCs w:val="20"/>
          <w:lang w:val="en-GB" w:eastAsia="en-US"/>
        </w:rPr>
        <w:t>𝜖</w:t>
      </w:r>
      <w:r>
        <w:rPr>
          <w:rFonts w:ascii="Cambria Math" w:eastAsia="STIXMath-Italic" w:hAnsi="Cambria Math" w:cs="Cambria Math"/>
          <w:i/>
          <w:iCs/>
          <w:sz w:val="15"/>
          <w:szCs w:val="15"/>
          <w:lang w:val="en-GB" w:eastAsia="en-US"/>
        </w:rPr>
        <w:t>𝑋𝑖</w:t>
      </w:r>
      <w:r>
        <w:rPr>
          <w:rFonts w:ascii="STIXMath-Italic" w:eastAsia="STIXMath-Italic" w:hAnsi="STIX-Bold" w:cs="STIXMath-Italic"/>
          <w:i/>
          <w:iCs/>
          <w:sz w:val="15"/>
          <w:szCs w:val="15"/>
          <w:lang w:val="en-GB" w:eastAsia="en-US"/>
        </w:rPr>
        <w:t xml:space="preserve"> </w:t>
      </w:r>
      <w:r>
        <w:rPr>
          <w:rFonts w:ascii="Cambria Math" w:eastAsia="STIXMath-Regular" w:hAnsi="Cambria Math" w:cs="Cambria Math"/>
          <w:sz w:val="20"/>
          <w:szCs w:val="20"/>
          <w:lang w:val="en-GB" w:eastAsia="en-US"/>
        </w:rPr>
        <w:t>∼</w:t>
      </w:r>
      <w:r>
        <w:rPr>
          <w:rFonts w:ascii="STIXMath-Regular" w:eastAsia="STIXMath-Regular" w:hAnsi="STIX-Bold" w:cs="STIXMath-Regular"/>
          <w:sz w:val="20"/>
          <w:szCs w:val="20"/>
          <w:lang w:val="en-GB" w:eastAsia="en-US"/>
        </w:rPr>
        <w:t xml:space="preserve"> </w:t>
      </w:r>
      <w:r>
        <w:rPr>
          <w:rFonts w:ascii="STIXGeneral-Regular" w:eastAsiaTheme="minorHAnsi" w:hAnsi="STIXGeneral-Regular" w:cs="STIXGeneral-Regular"/>
          <w:sz w:val="20"/>
          <w:szCs w:val="20"/>
          <w:lang w:val="en-GB" w:eastAsia="en-US"/>
        </w:rPr>
        <w:t xml:space="preserve">Exp(1), </w:t>
      </w:r>
      <w:r>
        <w:rPr>
          <w:rFonts w:ascii="Cambria Math" w:eastAsia="STIXMath-Italic" w:hAnsi="Cambria Math" w:cs="Cambria Math"/>
          <w:i/>
          <w:iCs/>
          <w:sz w:val="20"/>
          <w:szCs w:val="20"/>
          <w:lang w:val="en-GB" w:eastAsia="en-US"/>
        </w:rPr>
        <w:t>𝑢</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15"/>
          <w:szCs w:val="15"/>
          <w:lang w:val="en-GB" w:eastAsia="en-US"/>
        </w:rPr>
        <w:t xml:space="preserve"> </w:t>
      </w:r>
      <w:r>
        <w:rPr>
          <w:rFonts w:ascii="Cambria Math" w:eastAsia="STIXMath-Regular" w:hAnsi="Cambria Math" w:cs="Cambria Math"/>
          <w:sz w:val="20"/>
          <w:szCs w:val="20"/>
          <w:lang w:val="en-GB" w:eastAsia="en-US"/>
        </w:rPr>
        <w:t>∼</w:t>
      </w:r>
      <w:r>
        <w:rPr>
          <w:rFonts w:ascii="STIXMath-Regular" w:eastAsia="STIXMath-Regular" w:hAnsi="STIX-Bold" w:cs="STIXMath-Regular"/>
          <w:sz w:val="20"/>
          <w:szCs w:val="20"/>
          <w:lang w:val="en-GB" w:eastAsia="en-US"/>
        </w:rPr>
        <w:t xml:space="preserve"> </w:t>
      </w:r>
      <w:proofErr w:type="spellStart"/>
      <w:r>
        <w:rPr>
          <w:rFonts w:ascii="STIXGeneral-Regular" w:eastAsiaTheme="minorHAnsi" w:hAnsi="STIXGeneral-Regular" w:cs="STIXGeneral-Regular"/>
          <w:sz w:val="20"/>
          <w:szCs w:val="20"/>
          <w:lang w:val="en-GB" w:eastAsia="en-US"/>
        </w:rPr>
        <w:t>Unif</w:t>
      </w:r>
      <w:proofErr w:type="spellEnd"/>
      <w:r>
        <w:rPr>
          <w:rFonts w:ascii="STIXGeneral-Regular" w:eastAsiaTheme="minorHAnsi" w:hAnsi="STIXGeneral-Regular" w:cs="STIXGeneral-Regular"/>
          <w:sz w:val="20"/>
          <w:szCs w:val="20"/>
          <w:lang w:val="en-GB" w:eastAsia="en-US"/>
        </w:rPr>
        <w:t xml:space="preserve">(0,1), </w:t>
      </w:r>
      <w:r>
        <w:rPr>
          <w:rFonts w:ascii="Cambria Math" w:eastAsia="STIXMath-Italic" w:hAnsi="Cambria Math" w:cs="Cambria Math"/>
          <w:i/>
          <w:iCs/>
          <w:sz w:val="20"/>
          <w:szCs w:val="20"/>
          <w:lang w:val="en-GB" w:eastAsia="en-US"/>
        </w:rPr>
        <w:t>𝜖</w:t>
      </w:r>
      <w:r>
        <w:rPr>
          <w:rFonts w:ascii="Cambria Math" w:eastAsia="STIXMath-Italic" w:hAnsi="Cambria Math" w:cs="Cambria Math"/>
          <w:i/>
          <w:iCs/>
          <w:sz w:val="15"/>
          <w:szCs w:val="15"/>
          <w:lang w:val="en-GB" w:eastAsia="en-US"/>
        </w:rPr>
        <w:t>𝑌</w:t>
      </w:r>
      <w:r>
        <w:rPr>
          <w:rFonts w:ascii="STIXMath-Italic" w:eastAsia="STIXMath-Italic" w:hAnsi="STIX-Bold" w:cs="STIXMath-Italic"/>
          <w:i/>
          <w:iCs/>
          <w:sz w:val="15"/>
          <w:szCs w:val="15"/>
          <w:lang w:val="en-GB" w:eastAsia="en-US"/>
        </w:rPr>
        <w:t xml:space="preserve"> </w:t>
      </w:r>
      <w:r>
        <w:rPr>
          <w:rFonts w:ascii="Cambria Math" w:eastAsia="STIXMath-Italic" w:hAnsi="Cambria Math" w:cs="Cambria Math"/>
          <w:i/>
          <w:iCs/>
          <w:sz w:val="15"/>
          <w:szCs w:val="15"/>
          <w:lang w:val="en-GB" w:eastAsia="en-US"/>
        </w:rPr>
        <w:t>𝑖</w:t>
      </w:r>
      <w:r>
        <w:rPr>
          <w:rFonts w:ascii="STIXMath-Italic" w:eastAsia="STIXMath-Italic" w:hAnsi="STIX-Bold" w:cs="STIXMath-Italic"/>
          <w:i/>
          <w:iCs/>
          <w:sz w:val="15"/>
          <w:szCs w:val="15"/>
          <w:lang w:val="en-GB" w:eastAsia="en-US"/>
        </w:rPr>
        <w:t xml:space="preserve"> </w:t>
      </w:r>
      <w:r>
        <w:rPr>
          <w:rFonts w:ascii="Cambria Math" w:eastAsia="STIXMath-Regular" w:hAnsi="Cambria Math" w:cs="Cambria Math"/>
          <w:sz w:val="20"/>
          <w:szCs w:val="20"/>
          <w:lang w:val="en-GB" w:eastAsia="en-US"/>
        </w:rPr>
        <w:t>∼</w:t>
      </w:r>
    </w:p>
    <w:p w14:paraId="54B29ECF"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proofErr w:type="gramStart"/>
      <w:r>
        <w:rPr>
          <w:rFonts w:ascii="Cambria Math" w:eastAsia="STIXMath-Italic" w:hAnsi="Cambria Math" w:cs="Cambria Math"/>
          <w:i/>
          <w:iCs/>
          <w:sz w:val="20"/>
          <w:szCs w:val="20"/>
          <w:lang w:val="en-GB" w:eastAsia="en-US"/>
        </w:rPr>
        <w:t>𝑁</w:t>
      </w:r>
      <w:r>
        <w:rPr>
          <w:rFonts w:ascii="STIXMath-Regular" w:eastAsia="STIXMath-Regular" w:hAnsi="STIX-Bold" w:cs="STIXMath-Regular"/>
          <w:sz w:val="20"/>
          <w:szCs w:val="20"/>
          <w:lang w:val="en-GB" w:eastAsia="en-US"/>
        </w:rPr>
        <w:t>(</w:t>
      </w:r>
      <w:proofErr w:type="gramEnd"/>
      <w:r>
        <w:rPr>
          <w:rFonts w:ascii="STIXMath-Regular" w:eastAsia="STIXMath-Regular" w:hAnsi="STIX-Bold" w:cs="STIXMath-Regular"/>
          <w:sz w:val="20"/>
          <w:szCs w:val="20"/>
          <w:lang w:val="en-GB" w:eastAsia="en-US"/>
        </w:rPr>
        <w:t>0</w:t>
      </w:r>
      <w:r>
        <w:rPr>
          <w:rFonts w:ascii="STIXMath-Italic" w:eastAsia="STIXMath-Italic" w:hAnsi="STIX-Bold" w:cs="STIXMath-Italic"/>
          <w:i/>
          <w:iCs/>
          <w:sz w:val="20"/>
          <w:szCs w:val="20"/>
          <w:lang w:val="en-GB" w:eastAsia="en-US"/>
        </w:rPr>
        <w:t xml:space="preserve">, </w:t>
      </w:r>
      <w:r>
        <w:rPr>
          <w:rFonts w:ascii="STIXMath-Regular" w:eastAsia="STIXMath-Regular" w:hAnsi="STIX-Bold" w:cs="STIXMath-Regular"/>
          <w:sz w:val="20"/>
          <w:szCs w:val="20"/>
          <w:lang w:val="en-GB" w:eastAsia="en-US"/>
        </w:rPr>
        <w:t>1)</w:t>
      </w:r>
      <w:r>
        <w:rPr>
          <w:rFonts w:ascii="STIXGeneral-Regular" w:eastAsiaTheme="minorHAnsi" w:hAnsi="STIXGeneral-Regular" w:cs="STIXGeneral-Regular"/>
          <w:sz w:val="20"/>
          <w:szCs w:val="20"/>
          <w:lang w:val="en-GB" w:eastAsia="en-US"/>
        </w:rPr>
        <w:t xml:space="preserve">, and </w:t>
      </w:r>
      <w:r>
        <w:rPr>
          <w:rFonts w:ascii="Cambria Math" w:eastAsia="STIXMath-Italic" w:hAnsi="Cambria Math" w:cs="Cambria Math"/>
          <w:i/>
          <w:iCs/>
          <w:sz w:val="20"/>
          <w:szCs w:val="20"/>
          <w:lang w:val="en-GB" w:eastAsia="en-US"/>
        </w:rPr>
        <w:t>ℎ</w:t>
      </w:r>
      <w:r>
        <w:rPr>
          <w:rFonts w:ascii="STIXMath-Regular" w:eastAsia="STIXMath-Regular" w:hAnsi="STIX-Bold" w:cs="STIXMath-Regular"/>
          <w:sz w:val="20"/>
          <w:szCs w:val="20"/>
          <w:lang w:val="en-GB" w:eastAsia="en-US"/>
        </w:rPr>
        <w:t>(</w:t>
      </w:r>
      <w:r>
        <w:rPr>
          <w:rFonts w:ascii="Cambria Math" w:eastAsia="STIXMath-Italic" w:hAnsi="Cambria Math" w:cs="Cambria Math"/>
          <w:i/>
          <w:iCs/>
          <w:sz w:val="20"/>
          <w:szCs w:val="20"/>
          <w:lang w:val="en-GB" w:eastAsia="en-US"/>
        </w:rPr>
        <w:t>𝑥</w:t>
      </w:r>
      <w:r>
        <w:rPr>
          <w:rFonts w:ascii="Cambria Math" w:eastAsia="STIXMath-Italic" w:hAnsi="Cambria Math" w:cs="Cambria Math"/>
          <w:i/>
          <w:iCs/>
          <w:sz w:val="15"/>
          <w:szCs w:val="15"/>
          <w:lang w:val="en-GB" w:eastAsia="en-US"/>
        </w:rPr>
        <w:t>𝑖</w:t>
      </w:r>
      <w:r>
        <w:rPr>
          <w:rFonts w:ascii="STIXMath-Regular" w:eastAsia="STIXMath-Regular" w:hAnsi="STIX-Bold" w:cs="STIXMath-Regular"/>
          <w:sz w:val="20"/>
          <w:szCs w:val="20"/>
          <w:lang w:val="en-GB" w:eastAsia="en-US"/>
        </w:rPr>
        <w:t xml:space="preserve">) </w:t>
      </w:r>
      <w:r>
        <w:rPr>
          <w:rFonts w:ascii="STIXGeneral-Regular" w:eastAsiaTheme="minorHAnsi" w:hAnsi="STIXGeneral-Regular" w:cs="STIXGeneral-Regular"/>
          <w:sz w:val="20"/>
          <w:szCs w:val="20"/>
          <w:lang w:val="en-GB" w:eastAsia="en-US"/>
        </w:rPr>
        <w:t>is the function relating the exposure to</w:t>
      </w:r>
    </w:p>
    <w:p w14:paraId="638360D6"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the outcome (the exposure-outcome relationship). Exposure</w:t>
      </w:r>
    </w:p>
    <w:p w14:paraId="4226D253"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values were taken to be positive and away from zero so</w:t>
      </w:r>
    </w:p>
    <w:p w14:paraId="665F9929"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that the outcome takes sensible values for log and negative</w:t>
      </w:r>
    </w:p>
    <w:p w14:paraId="7C83A005"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power functions. The IV explains 2.6% of the variance in the</w:t>
      </w:r>
    </w:p>
    <w:p w14:paraId="609ECFC2"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exposure.</w:t>
      </w:r>
    </w:p>
    <w:p w14:paraId="47952DB4" w14:textId="77777777" w:rsidR="000A0120" w:rsidRDefault="000A0120" w:rsidP="000A0120">
      <w:pPr>
        <w:autoSpaceDE w:val="0"/>
        <w:autoSpaceDN w:val="0"/>
        <w:adjustRightInd w:val="0"/>
        <w:rPr>
          <w:rFonts w:ascii="STIXGeneral-Bold" w:eastAsiaTheme="minorHAnsi" w:hAnsi="STIXGeneral-Bold" w:cs="STIXGeneral-Bold"/>
          <w:b/>
          <w:bCs/>
          <w:lang w:val="en-GB" w:eastAsia="en-US"/>
        </w:rPr>
      </w:pPr>
      <w:r>
        <w:rPr>
          <w:rFonts w:ascii="STIXGeneral-Bold" w:eastAsiaTheme="minorHAnsi" w:hAnsi="STIXGeneral-Bold" w:cs="STIXGeneral-Bold"/>
          <w:b/>
          <w:bCs/>
          <w:lang w:val="en-GB" w:eastAsia="en-US"/>
        </w:rPr>
        <w:t>3.1 Choice of exposure-outcome model</w:t>
      </w:r>
    </w:p>
    <w:p w14:paraId="41071F44"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For the fractional polynomial method, all possible fractional</w:t>
      </w:r>
    </w:p>
    <w:p w14:paraId="49475B7B"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polynomials of degrees 1 and 2 were considered as the functional</w:t>
      </w:r>
    </w:p>
    <w:p w14:paraId="5F88EF54"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form of the exposure-outcome relationship. Combinations of effect sizes for the </w:t>
      </w:r>
      <w:r>
        <w:rPr>
          <w:rFonts w:ascii="Cambria Math" w:eastAsia="STIXMath-Italic" w:hAnsi="Cambria Math" w:cs="Cambria Math"/>
          <w:i/>
          <w:iCs/>
          <w:sz w:val="20"/>
          <w:szCs w:val="20"/>
          <w:lang w:val="en-GB" w:eastAsia="en-US"/>
        </w:rPr>
        <w:t>𝛽</w:t>
      </w:r>
      <w:r>
        <w:rPr>
          <w:rFonts w:ascii="STIXMath-Italic" w:eastAsia="STIXMath-Italic" w:hAnsi="STIXGeneral-Regular"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parameters were chosen</w:t>
      </w:r>
    </w:p>
    <w:p w14:paraId="23524442"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ranging from 0 to 2. For fractional polynomials of degree</w:t>
      </w:r>
    </w:p>
    <w:p w14:paraId="26114A2E" w14:textId="77777777" w:rsidR="000A0120" w:rsidRDefault="000A0120" w:rsidP="000A0120">
      <w:pPr>
        <w:autoSpaceDE w:val="0"/>
        <w:autoSpaceDN w:val="0"/>
        <w:adjustRightInd w:val="0"/>
        <w:rPr>
          <w:rFonts w:ascii="STIXMath-Regular" w:eastAsia="STIXMath-Regular" w:hAnsi="STIXGeneral-Regular" w:cs="STIXMath-Regular"/>
          <w:sz w:val="15"/>
          <w:szCs w:val="15"/>
          <w:lang w:val="en-GB" w:eastAsia="en-US"/>
        </w:rPr>
      </w:pPr>
      <w:r>
        <w:rPr>
          <w:rFonts w:ascii="STIXGeneral-Regular" w:eastAsiaTheme="minorHAnsi" w:hAnsi="STIXGeneral-Regular" w:cs="STIXGeneral-Regular"/>
          <w:sz w:val="20"/>
          <w:szCs w:val="20"/>
          <w:lang w:val="en-GB" w:eastAsia="en-US"/>
        </w:rPr>
        <w:t xml:space="preserve">2, we also considered effects in opposing directions for </w:t>
      </w:r>
      <w:r>
        <w:rPr>
          <w:rFonts w:ascii="Cambria Math" w:eastAsia="STIXMath-Italic" w:hAnsi="Cambria Math" w:cs="Cambria Math"/>
          <w:i/>
          <w:iCs/>
          <w:sz w:val="20"/>
          <w:szCs w:val="20"/>
          <w:lang w:val="en-GB" w:eastAsia="en-US"/>
        </w:rPr>
        <w:t>𝛽</w:t>
      </w:r>
      <w:r>
        <w:rPr>
          <w:rFonts w:ascii="STIXMath-Regular" w:eastAsia="STIXMath-Regular" w:hAnsi="STIXGeneral-Regular" w:cs="STIXMath-Regular"/>
          <w:sz w:val="15"/>
          <w:szCs w:val="15"/>
          <w:lang w:val="en-GB" w:eastAsia="en-US"/>
        </w:rPr>
        <w:t>1</w:t>
      </w:r>
    </w:p>
    <w:p w14:paraId="00579504"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and </w:t>
      </w:r>
      <w:r>
        <w:rPr>
          <w:rFonts w:ascii="Cambria Math" w:eastAsia="STIXMath-Italic" w:hAnsi="Cambria Math" w:cs="Cambria Math"/>
          <w:i/>
          <w:iCs/>
          <w:sz w:val="20"/>
          <w:szCs w:val="20"/>
          <w:lang w:val="en-GB" w:eastAsia="en-US"/>
        </w:rPr>
        <w:t>𝛽</w:t>
      </w:r>
      <w:r>
        <w:rPr>
          <w:rFonts w:ascii="STIXMath-Regular" w:eastAsia="STIXMath-Regular" w:hAnsi="STIXGeneral-Regular" w:cs="STIXMath-Regular"/>
          <w:sz w:val="15"/>
          <w:szCs w:val="15"/>
          <w:lang w:val="en-GB" w:eastAsia="en-US"/>
        </w:rPr>
        <w:t>2</w:t>
      </w:r>
      <w:r>
        <w:rPr>
          <w:rFonts w:ascii="STIXGeneral-Regular" w:eastAsiaTheme="minorHAnsi" w:hAnsi="STIXGeneral-Regular" w:cs="STIXGeneral-Regular"/>
          <w:sz w:val="20"/>
          <w:szCs w:val="20"/>
          <w:lang w:val="en-GB" w:eastAsia="en-US"/>
        </w:rPr>
        <w:t>; these simulations yielded similar results to those discussed</w:t>
      </w:r>
    </w:p>
    <w:p w14:paraId="3AFC66D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here (results not shown). </w:t>
      </w:r>
      <w:proofErr w:type="gramStart"/>
      <w:r>
        <w:rPr>
          <w:rFonts w:ascii="STIXGeneral-Regular" w:eastAsiaTheme="minorHAnsi" w:hAnsi="STIXGeneral-Regular" w:cs="STIXGeneral-Regular"/>
          <w:sz w:val="20"/>
          <w:szCs w:val="20"/>
          <w:lang w:val="en-GB" w:eastAsia="en-US"/>
        </w:rPr>
        <w:t>Fixed-effects</w:t>
      </w:r>
      <w:proofErr w:type="gramEnd"/>
      <w:r>
        <w:rPr>
          <w:rFonts w:ascii="STIXGeneral-Regular" w:eastAsiaTheme="minorHAnsi" w:hAnsi="STIXGeneral-Regular" w:cs="STIXGeneral-Regular"/>
          <w:sz w:val="20"/>
          <w:szCs w:val="20"/>
          <w:lang w:val="en-GB" w:eastAsia="en-US"/>
        </w:rPr>
        <w:t xml:space="preserve"> </w:t>
      </w:r>
      <w:proofErr w:type="spellStart"/>
      <w:r>
        <w:rPr>
          <w:rFonts w:ascii="STIXGeneral-Regular" w:eastAsiaTheme="minorHAnsi" w:hAnsi="STIXGeneral-Regular" w:cs="STIXGeneral-Regular"/>
          <w:sz w:val="20"/>
          <w:szCs w:val="20"/>
          <w:lang w:val="en-GB" w:eastAsia="en-US"/>
        </w:rPr>
        <w:t>metaregression</w:t>
      </w:r>
      <w:proofErr w:type="spellEnd"/>
    </w:p>
    <w:p w14:paraId="0001016D"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was used in the simulations, however, </w:t>
      </w:r>
      <w:proofErr w:type="gramStart"/>
      <w:r>
        <w:rPr>
          <w:rFonts w:ascii="STIXGeneral-Regular" w:eastAsiaTheme="minorHAnsi" w:hAnsi="STIXGeneral-Regular" w:cs="STIXGeneral-Regular"/>
          <w:sz w:val="20"/>
          <w:szCs w:val="20"/>
          <w:lang w:val="en-GB" w:eastAsia="en-US"/>
        </w:rPr>
        <w:t>random-effects</w:t>
      </w:r>
      <w:proofErr w:type="gramEnd"/>
      <w:r>
        <w:rPr>
          <w:rFonts w:ascii="STIXGeneral-Regular" w:eastAsiaTheme="minorHAnsi" w:hAnsi="STIXGeneral-Regular" w:cs="STIXGeneral-Regular"/>
          <w:sz w:val="20"/>
          <w:szCs w:val="20"/>
          <w:lang w:val="en-GB" w:eastAsia="en-US"/>
        </w:rPr>
        <w:t xml:space="preserve"> </w:t>
      </w:r>
      <w:proofErr w:type="spellStart"/>
      <w:r>
        <w:rPr>
          <w:rFonts w:ascii="STIXGeneral-Regular" w:eastAsiaTheme="minorHAnsi" w:hAnsi="STIXGeneral-Regular" w:cs="STIXGeneral-Regular"/>
          <w:sz w:val="20"/>
          <w:szCs w:val="20"/>
          <w:lang w:val="en-GB" w:eastAsia="en-US"/>
        </w:rPr>
        <w:t>metaregression</w:t>
      </w:r>
      <w:proofErr w:type="spellEnd"/>
    </w:p>
    <w:p w14:paraId="41A05584"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yielded similar results (results not shown).</w:t>
      </w:r>
    </w:p>
    <w:p w14:paraId="3EFD7528"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For the piecewise linear method and comparisons between</w:t>
      </w:r>
    </w:p>
    <w:p w14:paraId="1C845CD2"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methods, linear, quadratic, square-root, and logarithmic</w:t>
      </w:r>
    </w:p>
    <w:p w14:paraId="1CE99D3D"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functions were considered as the functional form of the</w:t>
      </w:r>
    </w:p>
    <w:p w14:paraId="4941E26F"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exposure-outcome relationship, as well as a threshold</w:t>
      </w:r>
    </w:p>
    <w:p w14:paraId="7F989BC8"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model:</w:t>
      </w:r>
    </w:p>
    <w:p w14:paraId="1C9D313C" w14:textId="77777777" w:rsidR="000A0120" w:rsidRDefault="000A0120" w:rsidP="000A0120">
      <w:pPr>
        <w:autoSpaceDE w:val="0"/>
        <w:autoSpaceDN w:val="0"/>
        <w:adjustRightInd w:val="0"/>
        <w:rPr>
          <w:rFonts w:ascii="STIXMath-Regular" w:eastAsia="STIXMath-Regular" w:hAnsi="STIXGeneral-Regular" w:cs="STIXMath-Regular"/>
          <w:sz w:val="20"/>
          <w:szCs w:val="20"/>
          <w:lang w:val="en-GB" w:eastAsia="en-US"/>
        </w:rPr>
      </w:pPr>
      <w:r>
        <w:rPr>
          <w:rFonts w:ascii="Cambria Math" w:eastAsia="STIXMath-Italic" w:hAnsi="Cambria Math" w:cs="Cambria Math"/>
          <w:i/>
          <w:iCs/>
          <w:sz w:val="20"/>
          <w:szCs w:val="20"/>
          <w:lang w:val="en-GB" w:eastAsia="en-US"/>
        </w:rPr>
        <w:t>ℎ</w:t>
      </w:r>
      <w:r>
        <w:rPr>
          <w:rFonts w:ascii="STIXMath-Regular" w:eastAsia="STIXMath-Regular" w:hAnsi="STIXGeneral-Regular" w:cs="STIXMath-Regular"/>
          <w:sz w:val="20"/>
          <w:szCs w:val="20"/>
          <w:lang w:val="en-GB" w:eastAsia="en-US"/>
        </w:rPr>
        <w:t>(</w:t>
      </w:r>
      <w:r>
        <w:rPr>
          <w:rFonts w:ascii="Cambria Math" w:eastAsia="STIXMath-Italic" w:hAnsi="Cambria Math" w:cs="Cambria Math"/>
          <w:i/>
          <w:iCs/>
          <w:sz w:val="20"/>
          <w:szCs w:val="20"/>
          <w:lang w:val="en-GB" w:eastAsia="en-US"/>
        </w:rPr>
        <w:t>𝑥</w:t>
      </w:r>
      <w:r>
        <w:rPr>
          <w:rFonts w:ascii="Cambria Math" w:eastAsia="STIXMath-Italic" w:hAnsi="Cambria Math" w:cs="Cambria Math"/>
          <w:i/>
          <w:iCs/>
          <w:sz w:val="15"/>
          <w:szCs w:val="15"/>
          <w:lang w:val="en-GB" w:eastAsia="en-US"/>
        </w:rPr>
        <w:t>𝑖</w:t>
      </w:r>
      <w:r>
        <w:rPr>
          <w:rFonts w:ascii="STIXMath-Regular" w:eastAsia="STIXMath-Regular" w:hAnsi="STIXGeneral-Regular" w:cs="STIXMath-Regular"/>
          <w:sz w:val="20"/>
          <w:szCs w:val="20"/>
          <w:lang w:val="en-GB" w:eastAsia="en-US"/>
        </w:rPr>
        <w:t>) =</w:t>
      </w:r>
    </w:p>
    <w:p w14:paraId="55767BB9" w14:textId="77777777" w:rsidR="000A0120" w:rsidRDefault="000A0120" w:rsidP="000A0120">
      <w:pPr>
        <w:autoSpaceDE w:val="0"/>
        <w:autoSpaceDN w:val="0"/>
        <w:adjustRightInd w:val="0"/>
        <w:rPr>
          <w:rFonts w:ascii="STIXMathExtensions-Regular" w:eastAsiaTheme="minorHAnsi" w:hAnsi="STIXMathExtensions-Regular" w:cs="STIXMathExtensions-Regular"/>
          <w:sz w:val="20"/>
          <w:szCs w:val="20"/>
          <w:lang w:val="en-GB" w:eastAsia="en-US"/>
        </w:rPr>
      </w:pPr>
      <w:r>
        <w:rPr>
          <w:rFonts w:ascii="STIXMathExtensions-Regular" w:eastAsiaTheme="minorHAnsi" w:hAnsi="STIXMathExtensions-Regular" w:cs="STIXMathExtensions-Regular"/>
          <w:sz w:val="20"/>
          <w:szCs w:val="20"/>
          <w:lang w:val="en-GB" w:eastAsia="en-US"/>
        </w:rPr>
        <w:t>{</w:t>
      </w:r>
    </w:p>
    <w:p w14:paraId="3D755980" w14:textId="77777777" w:rsidR="000A0120" w:rsidRDefault="000A0120" w:rsidP="000A0120">
      <w:pPr>
        <w:autoSpaceDE w:val="0"/>
        <w:autoSpaceDN w:val="0"/>
        <w:adjustRightInd w:val="0"/>
        <w:rPr>
          <w:rFonts w:ascii="STIXMath-Regular" w:eastAsia="STIXMath-Regular" w:hAnsi="STIXGeneral-Regular" w:cs="STIXMath-Regular"/>
          <w:sz w:val="20"/>
          <w:szCs w:val="20"/>
          <w:lang w:val="en-GB" w:eastAsia="en-US"/>
        </w:rPr>
      </w:pPr>
      <w:r>
        <w:rPr>
          <w:rFonts w:ascii="STIXMath-Regular" w:eastAsia="STIXMath-Regular" w:hAnsi="STIXGeneral-Regular" w:cs="STIXMath-Regular"/>
          <w:sz w:val="20"/>
          <w:szCs w:val="20"/>
          <w:lang w:val="en-GB" w:eastAsia="en-US"/>
        </w:rPr>
        <w:t xml:space="preserve">0 </w:t>
      </w:r>
      <w:r>
        <w:rPr>
          <w:rFonts w:ascii="STIXGeneral-Regular" w:eastAsiaTheme="minorHAnsi" w:hAnsi="STIXGeneral-Regular" w:cs="STIXGeneral-Regular"/>
          <w:sz w:val="20"/>
          <w:szCs w:val="20"/>
          <w:lang w:val="en-GB" w:eastAsia="en-US"/>
        </w:rPr>
        <w:t xml:space="preserve">if </w:t>
      </w:r>
      <w:r>
        <w:rPr>
          <w:rFonts w:ascii="Cambria Math" w:eastAsia="STIXMath-Italic" w:hAnsi="Cambria Math" w:cs="Cambria Math"/>
          <w:i/>
          <w:iCs/>
          <w:sz w:val="20"/>
          <w:szCs w:val="20"/>
          <w:lang w:val="en-GB" w:eastAsia="en-US"/>
        </w:rPr>
        <w:t>𝑥</w:t>
      </w:r>
      <w:r>
        <w:rPr>
          <w:rFonts w:ascii="Cambria Math" w:eastAsia="STIXMath-Italic" w:hAnsi="Cambria Math" w:cs="Cambria Math"/>
          <w:i/>
          <w:iCs/>
          <w:sz w:val="15"/>
          <w:szCs w:val="15"/>
          <w:lang w:val="en-GB" w:eastAsia="en-US"/>
        </w:rPr>
        <w:t>𝑖</w:t>
      </w:r>
      <w:r>
        <w:rPr>
          <w:rFonts w:ascii="STIXMath-Italic" w:eastAsia="STIXMath-Italic" w:hAnsi="STIXGeneral-Regular" w:cs="STIXMath-Italic"/>
          <w:i/>
          <w:iCs/>
          <w:sz w:val="15"/>
          <w:szCs w:val="15"/>
          <w:lang w:val="en-GB" w:eastAsia="en-US"/>
        </w:rPr>
        <w:t xml:space="preserve"> </w:t>
      </w:r>
      <w:r>
        <w:rPr>
          <w:rFonts w:ascii="STIXMathCalligraphy-Regular" w:eastAsia="STIXMathCalligraphy-Regular" w:hAnsi="STIXGeneral-Regular" w:cs="STIXMathCalligraphy-Regular" w:hint="eastAsia"/>
          <w:sz w:val="20"/>
          <w:szCs w:val="20"/>
          <w:lang w:val="en-GB" w:eastAsia="en-US"/>
        </w:rPr>
        <w:t>≤</w:t>
      </w:r>
      <w:r>
        <w:rPr>
          <w:rFonts w:ascii="STIXMathCalligraphy-Regular" w:eastAsia="STIXMathCalligraphy-Regular" w:hAnsi="STIXGeneral-Regular" w:cs="STIXMathCalligraphy-Regular"/>
          <w:sz w:val="20"/>
          <w:szCs w:val="20"/>
          <w:lang w:val="en-GB" w:eastAsia="en-US"/>
        </w:rPr>
        <w:t xml:space="preserve"> </w:t>
      </w:r>
      <w:r>
        <w:rPr>
          <w:rFonts w:ascii="STIXMath-Regular" w:eastAsia="STIXMath-Regular" w:hAnsi="STIXGeneral-Regular" w:cs="STIXMath-Regular"/>
          <w:sz w:val="20"/>
          <w:szCs w:val="20"/>
          <w:lang w:val="en-GB" w:eastAsia="en-US"/>
        </w:rPr>
        <w:t>3</w:t>
      </w:r>
      <w:r>
        <w:rPr>
          <w:rFonts w:ascii="STIXMath-Italic" w:eastAsia="STIXMath-Italic" w:hAnsi="STIXGeneral-Regular" w:cs="STIXMath-Italic"/>
          <w:i/>
          <w:iCs/>
          <w:sz w:val="20"/>
          <w:szCs w:val="20"/>
          <w:lang w:val="en-GB" w:eastAsia="en-US"/>
        </w:rPr>
        <w:t>.</w:t>
      </w:r>
      <w:r>
        <w:rPr>
          <w:rFonts w:ascii="STIXMath-Regular" w:eastAsia="STIXMath-Regular" w:hAnsi="STIXGeneral-Regular" w:cs="STIXMath-Regular"/>
          <w:sz w:val="20"/>
          <w:szCs w:val="20"/>
          <w:lang w:val="en-GB" w:eastAsia="en-US"/>
        </w:rPr>
        <w:t>65</w:t>
      </w:r>
    </w:p>
    <w:p w14:paraId="59F74F8D" w14:textId="77777777" w:rsidR="000A0120" w:rsidRDefault="000A0120" w:rsidP="000A0120">
      <w:pPr>
        <w:autoSpaceDE w:val="0"/>
        <w:autoSpaceDN w:val="0"/>
        <w:adjustRightInd w:val="0"/>
        <w:rPr>
          <w:rFonts w:ascii="STIXMath-Italic" w:eastAsia="STIXMath-Italic" w:hAnsi="STIXGeneral-Regular" w:cs="STIXMath-Italic"/>
          <w:i/>
          <w:iCs/>
          <w:sz w:val="20"/>
          <w:szCs w:val="20"/>
          <w:lang w:val="en-GB" w:eastAsia="en-US"/>
        </w:rPr>
      </w:pPr>
      <w:r>
        <w:rPr>
          <w:rFonts w:ascii="Cambria Math" w:eastAsia="STIXMath-Italic" w:hAnsi="Cambria Math" w:cs="Cambria Math"/>
          <w:i/>
          <w:iCs/>
          <w:sz w:val="20"/>
          <w:szCs w:val="20"/>
          <w:lang w:val="en-GB" w:eastAsia="en-US"/>
        </w:rPr>
        <w:t>𝛽𝑥</w:t>
      </w:r>
      <w:r>
        <w:rPr>
          <w:rFonts w:ascii="Cambria Math" w:eastAsia="STIXMath-Italic" w:hAnsi="Cambria Math" w:cs="Cambria Math"/>
          <w:i/>
          <w:iCs/>
          <w:sz w:val="15"/>
          <w:szCs w:val="15"/>
          <w:lang w:val="en-GB" w:eastAsia="en-US"/>
        </w:rPr>
        <w:t>𝑖</w:t>
      </w:r>
      <w:r>
        <w:rPr>
          <w:rFonts w:ascii="STIXMath-Italic" w:eastAsia="STIXMath-Italic" w:hAnsi="STIXGeneral-Regular" w:cs="STIXMath-Italic"/>
          <w:i/>
          <w:iCs/>
          <w:sz w:val="15"/>
          <w:szCs w:val="15"/>
          <w:lang w:val="en-GB" w:eastAsia="en-US"/>
        </w:rPr>
        <w:t xml:space="preserve"> </w:t>
      </w:r>
      <w:r>
        <w:rPr>
          <w:rFonts w:ascii="STIXGeneral-Regular" w:eastAsiaTheme="minorHAnsi" w:hAnsi="STIXGeneral-Regular" w:cs="STIXGeneral-Regular"/>
          <w:sz w:val="20"/>
          <w:szCs w:val="20"/>
          <w:lang w:val="en-GB" w:eastAsia="en-US"/>
        </w:rPr>
        <w:t xml:space="preserve">if </w:t>
      </w:r>
      <w:r>
        <w:rPr>
          <w:rFonts w:ascii="Cambria Math" w:eastAsia="STIXMath-Italic" w:hAnsi="Cambria Math" w:cs="Cambria Math"/>
          <w:i/>
          <w:iCs/>
          <w:sz w:val="20"/>
          <w:szCs w:val="20"/>
          <w:lang w:val="en-GB" w:eastAsia="en-US"/>
        </w:rPr>
        <w:t>𝑥</w:t>
      </w:r>
      <w:r>
        <w:rPr>
          <w:rFonts w:ascii="Cambria Math" w:eastAsia="STIXMath-Italic" w:hAnsi="Cambria Math" w:cs="Cambria Math"/>
          <w:i/>
          <w:iCs/>
          <w:sz w:val="15"/>
          <w:szCs w:val="15"/>
          <w:lang w:val="en-GB" w:eastAsia="en-US"/>
        </w:rPr>
        <w:t>𝑖</w:t>
      </w:r>
      <w:r>
        <w:rPr>
          <w:rFonts w:ascii="STIXMath-Italic" w:eastAsia="STIXMath-Italic" w:hAnsi="STIXGeneral-Regular" w:cs="STIXMath-Italic"/>
          <w:i/>
          <w:iCs/>
          <w:sz w:val="15"/>
          <w:szCs w:val="15"/>
          <w:lang w:val="en-GB" w:eastAsia="en-US"/>
        </w:rPr>
        <w:t xml:space="preserve"> </w:t>
      </w:r>
      <w:r>
        <w:rPr>
          <w:rFonts w:ascii="STIXMath-Italic" w:eastAsia="STIXMath-Italic" w:hAnsi="STIXGeneral-Regular" w:cs="STIXMath-Italic"/>
          <w:i/>
          <w:iCs/>
          <w:sz w:val="20"/>
          <w:szCs w:val="20"/>
          <w:lang w:val="en-GB" w:eastAsia="en-US"/>
        </w:rPr>
        <w:t xml:space="preserve">&gt; </w:t>
      </w:r>
      <w:r>
        <w:rPr>
          <w:rFonts w:ascii="STIXMath-Regular" w:eastAsia="STIXMath-Regular" w:hAnsi="STIXGeneral-Regular" w:cs="STIXMath-Regular"/>
          <w:sz w:val="20"/>
          <w:szCs w:val="20"/>
          <w:lang w:val="en-GB" w:eastAsia="en-US"/>
        </w:rPr>
        <w:t>3</w:t>
      </w:r>
      <w:r>
        <w:rPr>
          <w:rFonts w:ascii="STIXMath-Italic" w:eastAsia="STIXMath-Italic" w:hAnsi="STIXGeneral-Regular" w:cs="STIXMath-Italic"/>
          <w:i/>
          <w:iCs/>
          <w:sz w:val="20"/>
          <w:szCs w:val="20"/>
          <w:lang w:val="en-GB" w:eastAsia="en-US"/>
        </w:rPr>
        <w:t>.</w:t>
      </w:r>
      <w:r>
        <w:rPr>
          <w:rFonts w:ascii="STIXMath-Regular" w:eastAsia="STIXMath-Regular" w:hAnsi="STIXGeneral-Regular" w:cs="STIXMath-Regular"/>
          <w:sz w:val="20"/>
          <w:szCs w:val="20"/>
          <w:lang w:val="en-GB" w:eastAsia="en-US"/>
        </w:rPr>
        <w:t>65</w:t>
      </w:r>
      <w:r>
        <w:rPr>
          <w:rFonts w:ascii="STIXMath-Italic" w:eastAsia="STIXMath-Italic" w:hAnsi="STIXGeneral-Regular" w:cs="STIXMath-Italic"/>
          <w:i/>
          <w:iCs/>
          <w:sz w:val="20"/>
          <w:szCs w:val="20"/>
          <w:lang w:val="en-GB" w:eastAsia="en-US"/>
        </w:rPr>
        <w:t>.</w:t>
      </w:r>
    </w:p>
    <w:p w14:paraId="7FB3BC12" w14:textId="77777777" w:rsidR="000A0120" w:rsidRDefault="000A0120" w:rsidP="000A0120">
      <w:pPr>
        <w:autoSpaceDE w:val="0"/>
        <w:autoSpaceDN w:val="0"/>
        <w:adjustRightInd w:val="0"/>
        <w:rPr>
          <w:rFonts w:ascii="STIXGeneral-Bold" w:eastAsiaTheme="minorHAnsi" w:hAnsi="STIXGeneral-Bold" w:cs="STIXGeneral-Bold"/>
          <w:b/>
          <w:bCs/>
          <w:lang w:val="en-GB" w:eastAsia="en-US"/>
        </w:rPr>
      </w:pPr>
      <w:r>
        <w:rPr>
          <w:rFonts w:ascii="STIXGeneral-Bold" w:eastAsiaTheme="minorHAnsi" w:hAnsi="STIXGeneral-Bold" w:cs="STIXGeneral-Bold"/>
          <w:b/>
          <w:bCs/>
          <w:lang w:val="en-GB" w:eastAsia="en-US"/>
        </w:rPr>
        <w:t>3.2 Evaluating the performance of the</w:t>
      </w:r>
    </w:p>
    <w:p w14:paraId="2D42F54D" w14:textId="77777777" w:rsidR="000A0120" w:rsidRDefault="000A0120" w:rsidP="000A0120">
      <w:pPr>
        <w:autoSpaceDE w:val="0"/>
        <w:autoSpaceDN w:val="0"/>
        <w:adjustRightInd w:val="0"/>
        <w:rPr>
          <w:rFonts w:ascii="STIXGeneral-Bold" w:eastAsiaTheme="minorHAnsi" w:hAnsi="STIXGeneral-Bold" w:cs="STIXGeneral-Bold"/>
          <w:b/>
          <w:bCs/>
          <w:lang w:val="en-GB" w:eastAsia="en-US"/>
        </w:rPr>
      </w:pPr>
      <w:r>
        <w:rPr>
          <w:rFonts w:ascii="STIXGeneral-Bold" w:eastAsiaTheme="minorHAnsi" w:hAnsi="STIXGeneral-Bold" w:cs="STIXGeneral-Bold"/>
          <w:b/>
          <w:bCs/>
          <w:lang w:val="en-GB" w:eastAsia="en-US"/>
        </w:rPr>
        <w:t>methods</w:t>
      </w:r>
    </w:p>
    <w:p w14:paraId="7CC9611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To evaluate the fractional polynomial method, we first fitted</w:t>
      </w:r>
    </w:p>
    <w:p w14:paraId="549D97B3"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the correct fractional polynomial model (i.e., with the correct</w:t>
      </w:r>
    </w:p>
    <w:p w14:paraId="3CD195A7"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degree and powers) and assessed the bias and coverage</w:t>
      </w:r>
    </w:p>
    <w:p w14:paraId="4F670986"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of the effect parameter estimates. Subsequently, we fitted all</w:t>
      </w:r>
    </w:p>
    <w:p w14:paraId="3EE53C1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fractional polynomials of the same degree and selected the</w:t>
      </w:r>
    </w:p>
    <w:p w14:paraId="7B3DF83E"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best-fitting polynomial based on the likelihood. We assessed</w:t>
      </w:r>
    </w:p>
    <w:p w14:paraId="136958D7"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the proportion of simulations where the best-fitting fractional</w:t>
      </w:r>
    </w:p>
    <w:p w14:paraId="4B81DC63"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polynomial was the correct fractional polynomial. If the correct</w:t>
      </w:r>
    </w:p>
    <w:p w14:paraId="4FF0A937"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fractional polynomial was not the best-fitting fractional</w:t>
      </w:r>
    </w:p>
    <w:p w14:paraId="5E98885B"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polynomial, we tested whether </w:t>
      </w:r>
      <w:proofErr w:type="spellStart"/>
      <w:r>
        <w:rPr>
          <w:rFonts w:ascii="STIXGeneral-Regular" w:eastAsiaTheme="minorHAnsi" w:hAnsi="STIXGeneral-Regular" w:cs="STIXGeneral-Regular"/>
          <w:sz w:val="20"/>
          <w:szCs w:val="20"/>
          <w:lang w:val="en-GB" w:eastAsia="en-US"/>
        </w:rPr>
        <w:t>itwas</w:t>
      </w:r>
      <w:proofErr w:type="spellEnd"/>
      <w:r>
        <w:rPr>
          <w:rFonts w:ascii="STIXGeneral-Regular" w:eastAsiaTheme="minorHAnsi" w:hAnsi="STIXGeneral-Regular" w:cs="STIXGeneral-Regular"/>
          <w:sz w:val="20"/>
          <w:szCs w:val="20"/>
          <w:lang w:val="en-GB" w:eastAsia="en-US"/>
        </w:rPr>
        <w:t xml:space="preserve"> in the group of fractional</w:t>
      </w:r>
    </w:p>
    <w:p w14:paraId="1CB4020C"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polynomials that fit the data almost as well as the best-fitting</w:t>
      </w:r>
    </w:p>
    <w:p w14:paraId="40BF4AEB"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polynomial; defined as those fractional polynomials where</w:t>
      </w:r>
    </w:p>
    <w:p w14:paraId="05A9FAEE"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twice the difference in the log-likelihood (compared with the</w:t>
      </w:r>
    </w:p>
    <w:p w14:paraId="650C42F7"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best-fitting </w:t>
      </w:r>
      <w:proofErr w:type="gramStart"/>
      <w:r>
        <w:rPr>
          <w:rFonts w:ascii="STIXGeneral-Regular" w:eastAsiaTheme="minorHAnsi" w:hAnsi="STIXGeneral-Regular" w:cs="STIXGeneral-Regular"/>
          <w:sz w:val="20"/>
          <w:szCs w:val="20"/>
          <w:lang w:val="en-GB" w:eastAsia="en-US"/>
        </w:rPr>
        <w:t>polynomial)was</w:t>
      </w:r>
      <w:proofErr w:type="gramEnd"/>
      <w:r>
        <w:rPr>
          <w:rFonts w:ascii="STIXGeneral-Regular" w:eastAsiaTheme="minorHAnsi" w:hAnsi="STIXGeneral-Regular" w:cs="STIXGeneral-Regular"/>
          <w:sz w:val="20"/>
          <w:szCs w:val="20"/>
          <w:lang w:val="en-GB" w:eastAsia="en-US"/>
        </w:rPr>
        <w:t xml:space="preserve"> less than the 90th percentile point</w:t>
      </w:r>
    </w:p>
    <w:p w14:paraId="2271FB03" w14:textId="77777777" w:rsidR="000A0120" w:rsidRDefault="000A0120" w:rsidP="000A0120">
      <w:pPr>
        <w:autoSpaceDE w:val="0"/>
        <w:autoSpaceDN w:val="0"/>
        <w:adjustRightInd w:val="0"/>
        <w:rPr>
          <w:rFonts w:ascii="STIXMath-Regular" w:eastAsia="STIXMath-Regular" w:hAnsi="STIXGeneral-Regular" w:cs="STIXMath-Regular"/>
          <w:sz w:val="15"/>
          <w:szCs w:val="15"/>
          <w:lang w:val="en-GB" w:eastAsia="en-US"/>
        </w:rPr>
      </w:pPr>
      <w:r>
        <w:rPr>
          <w:rFonts w:ascii="STIXGeneral-Regular" w:eastAsiaTheme="minorHAnsi" w:hAnsi="STIXGeneral-Regular" w:cs="STIXGeneral-Regular"/>
          <w:sz w:val="20"/>
          <w:szCs w:val="20"/>
          <w:lang w:val="en-GB" w:eastAsia="en-US"/>
        </w:rPr>
        <w:t xml:space="preserve">of a </w:t>
      </w:r>
      <w:r>
        <w:rPr>
          <w:rFonts w:ascii="Cambria Math" w:eastAsia="STIXMath-Italic" w:hAnsi="Cambria Math" w:cs="Cambria Math"/>
          <w:i/>
          <w:iCs/>
          <w:sz w:val="20"/>
          <w:szCs w:val="20"/>
          <w:lang w:val="en-GB" w:eastAsia="en-US"/>
        </w:rPr>
        <w:t>𝜒</w:t>
      </w:r>
      <w:r>
        <w:rPr>
          <w:rFonts w:ascii="STIXMath-Regular" w:eastAsia="STIXMath-Regular" w:hAnsi="STIXGeneral-Regular" w:cs="STIXMath-Regular"/>
          <w:sz w:val="15"/>
          <w:szCs w:val="15"/>
          <w:lang w:val="en-GB" w:eastAsia="en-US"/>
        </w:rPr>
        <w:t>2</w:t>
      </w:r>
    </w:p>
    <w:p w14:paraId="09B7708B" w14:textId="77777777" w:rsidR="000A0120" w:rsidRDefault="000A0120" w:rsidP="000A0120">
      <w:pPr>
        <w:autoSpaceDE w:val="0"/>
        <w:autoSpaceDN w:val="0"/>
        <w:adjustRightInd w:val="0"/>
        <w:rPr>
          <w:rFonts w:ascii="STIXMath-Italic" w:eastAsia="STIXMath-Italic" w:hAnsi="STIXGeneral-Regular" w:cs="STIXMath-Italic"/>
          <w:i/>
          <w:iCs/>
          <w:sz w:val="15"/>
          <w:szCs w:val="15"/>
          <w:lang w:val="en-GB" w:eastAsia="en-US"/>
        </w:rPr>
      </w:pPr>
      <w:r>
        <w:rPr>
          <w:rFonts w:ascii="Cambria Math" w:eastAsia="STIXMath-Italic" w:hAnsi="Cambria Math" w:cs="Cambria Math"/>
          <w:i/>
          <w:iCs/>
          <w:sz w:val="15"/>
          <w:szCs w:val="15"/>
          <w:lang w:val="en-GB" w:eastAsia="en-US"/>
        </w:rPr>
        <w:t>𝑚</w:t>
      </w:r>
    </w:p>
    <w:p w14:paraId="5D653ECA"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distribution, where </w:t>
      </w:r>
      <w:r>
        <w:rPr>
          <w:rFonts w:ascii="Cambria Math" w:eastAsia="STIXMath-Italic" w:hAnsi="Cambria Math" w:cs="Cambria Math"/>
          <w:i/>
          <w:iCs/>
          <w:sz w:val="20"/>
          <w:szCs w:val="20"/>
          <w:lang w:val="en-GB" w:eastAsia="en-US"/>
        </w:rPr>
        <w:t>𝑚</w:t>
      </w:r>
      <w:r>
        <w:rPr>
          <w:rFonts w:ascii="STIXMath-Italic" w:eastAsia="STIXMath-Italic" w:hAnsi="STIXGeneral-Regular" w:cs="STIXMath-Italic"/>
          <w:i/>
          <w:iCs/>
          <w:sz w:val="20"/>
          <w:szCs w:val="20"/>
          <w:lang w:val="en-GB" w:eastAsia="en-US"/>
        </w:rPr>
        <w:t xml:space="preserve"> </w:t>
      </w:r>
      <w:r>
        <w:rPr>
          <w:rFonts w:ascii="STIXMath-Regular" w:eastAsia="STIXMath-Regular" w:hAnsi="STIXGeneral-Regular" w:cs="STIXMath-Regular"/>
          <w:sz w:val="20"/>
          <w:szCs w:val="20"/>
          <w:lang w:val="en-GB" w:eastAsia="en-US"/>
        </w:rPr>
        <w:t xml:space="preserve">= 1 </w:t>
      </w:r>
      <w:r>
        <w:rPr>
          <w:rFonts w:ascii="STIXGeneral-Regular" w:eastAsiaTheme="minorHAnsi" w:hAnsi="STIXGeneral-Regular" w:cs="STIXGeneral-Regular"/>
          <w:sz w:val="20"/>
          <w:szCs w:val="20"/>
          <w:lang w:val="en-GB" w:eastAsia="en-US"/>
        </w:rPr>
        <w:t>for comparing fractional</w:t>
      </w:r>
    </w:p>
    <w:p w14:paraId="1026B15D"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lastRenderedPageBreak/>
        <w:t xml:space="preserve">polynomials of degree 1 and </w:t>
      </w:r>
      <w:r>
        <w:rPr>
          <w:rFonts w:ascii="Cambria Math" w:eastAsia="STIXMath-Italic" w:hAnsi="Cambria Math" w:cs="Cambria Math"/>
          <w:i/>
          <w:iCs/>
          <w:sz w:val="20"/>
          <w:szCs w:val="20"/>
          <w:lang w:val="en-GB" w:eastAsia="en-US"/>
        </w:rPr>
        <w:t>𝑚</w:t>
      </w:r>
      <w:r>
        <w:rPr>
          <w:rFonts w:ascii="STIXMath-Italic" w:eastAsia="STIXMath-Italic" w:hAnsi="STIXGeneral-Regular" w:cs="STIXMath-Italic"/>
          <w:i/>
          <w:iCs/>
          <w:sz w:val="20"/>
          <w:szCs w:val="20"/>
          <w:lang w:val="en-GB" w:eastAsia="en-US"/>
        </w:rPr>
        <w:t xml:space="preserve"> </w:t>
      </w:r>
      <w:r>
        <w:rPr>
          <w:rFonts w:ascii="STIXMath-Regular" w:eastAsia="STIXMath-Regular" w:hAnsi="STIXGeneral-Regular" w:cs="STIXMath-Regular"/>
          <w:sz w:val="20"/>
          <w:szCs w:val="20"/>
          <w:lang w:val="en-GB" w:eastAsia="en-US"/>
        </w:rPr>
        <w:t xml:space="preserve">= 2 </w:t>
      </w:r>
      <w:r>
        <w:rPr>
          <w:rFonts w:ascii="STIXGeneral-Regular" w:eastAsiaTheme="minorHAnsi" w:hAnsi="STIXGeneral-Regular" w:cs="STIXGeneral-Regular"/>
          <w:sz w:val="20"/>
          <w:szCs w:val="20"/>
          <w:lang w:val="en-GB" w:eastAsia="en-US"/>
        </w:rPr>
        <w:t>for comparing polynomials</w:t>
      </w:r>
    </w:p>
    <w:p w14:paraId="376EF86E"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of degree 2.</w:t>
      </w:r>
    </w:p>
    <w:p w14:paraId="569982C5" w14:textId="77777777" w:rsidR="00B33438" w:rsidRDefault="00B33438" w:rsidP="000A0120">
      <w:pPr>
        <w:autoSpaceDE w:val="0"/>
        <w:autoSpaceDN w:val="0"/>
        <w:adjustRightInd w:val="0"/>
        <w:rPr>
          <w:rFonts w:ascii="STIXGeneral-Regular" w:eastAsiaTheme="minorHAnsi" w:hAnsi="STIXGeneral-Regular" w:cs="STIXGeneral-Regular"/>
          <w:sz w:val="20"/>
          <w:szCs w:val="20"/>
          <w:lang w:val="en-GB" w:eastAsia="en-US"/>
        </w:rPr>
      </w:pPr>
    </w:p>
    <w:p w14:paraId="5783BFA0" w14:textId="577C4CC2"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For comparing the fit of the fractional polynomial and</w:t>
      </w:r>
    </w:p>
    <w:p w14:paraId="745B3084"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piecewise linear models, we used the following heuristic</w:t>
      </w:r>
    </w:p>
    <w:p w14:paraId="69613E86"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function:</w:t>
      </w:r>
    </w:p>
    <w:p w14:paraId="52A87D36" w14:textId="77777777" w:rsidR="000A0120" w:rsidRDefault="000A0120" w:rsidP="000A0120">
      <w:pPr>
        <w:autoSpaceDE w:val="0"/>
        <w:autoSpaceDN w:val="0"/>
        <w:adjustRightInd w:val="0"/>
        <w:rPr>
          <w:rFonts w:ascii="STIXMath-Italic" w:eastAsia="STIXMath-Italic" w:hAnsi="STIXGeneral-Regular" w:cs="STIXMath-Italic"/>
          <w:i/>
          <w:iCs/>
          <w:sz w:val="15"/>
          <w:szCs w:val="15"/>
          <w:lang w:val="en-GB" w:eastAsia="en-US"/>
        </w:rPr>
      </w:pPr>
      <w:r>
        <w:rPr>
          <w:rFonts w:ascii="STIXMathExtensions-Regular" w:eastAsiaTheme="minorHAnsi" w:hAnsi="STIXMathExtensions-Regular" w:cs="STIXMathExtensions-Regular"/>
          <w:sz w:val="20"/>
          <w:szCs w:val="20"/>
          <w:lang w:val="en-GB" w:eastAsia="en-US"/>
        </w:rPr>
        <w:t>Σ</w:t>
      </w:r>
      <w:r>
        <w:rPr>
          <w:rFonts w:ascii="Cambria Math" w:eastAsia="STIXMath-Italic" w:hAnsi="Cambria Math" w:cs="Cambria Math"/>
          <w:i/>
          <w:iCs/>
          <w:sz w:val="15"/>
          <w:szCs w:val="15"/>
          <w:lang w:val="en-GB" w:eastAsia="en-US"/>
        </w:rPr>
        <w:t>𝐾</w:t>
      </w:r>
    </w:p>
    <w:p w14:paraId="24D854FD" w14:textId="77777777" w:rsidR="000A0120" w:rsidRDefault="000A0120" w:rsidP="000A0120">
      <w:pPr>
        <w:autoSpaceDE w:val="0"/>
        <w:autoSpaceDN w:val="0"/>
        <w:adjustRightInd w:val="0"/>
        <w:rPr>
          <w:rFonts w:ascii="STIXMath-Regular" w:eastAsia="STIXMath-Regular" w:hAnsi="STIXGeneral-Regular" w:cs="STIXMath-Regular"/>
          <w:sz w:val="15"/>
          <w:szCs w:val="15"/>
          <w:lang w:val="en-GB" w:eastAsia="en-US"/>
        </w:rPr>
      </w:pPr>
      <w:r>
        <w:rPr>
          <w:rFonts w:ascii="Cambria Math" w:eastAsia="STIXMath-Italic" w:hAnsi="Cambria Math" w:cs="Cambria Math"/>
          <w:i/>
          <w:iCs/>
          <w:sz w:val="15"/>
          <w:szCs w:val="15"/>
          <w:lang w:val="en-GB" w:eastAsia="en-US"/>
        </w:rPr>
        <w:t>𝑘</w:t>
      </w:r>
      <w:r>
        <w:rPr>
          <w:rFonts w:ascii="STIXMath-Regular" w:eastAsia="STIXMath-Regular" w:hAnsi="STIXGeneral-Regular" w:cs="STIXMath-Regular"/>
          <w:sz w:val="15"/>
          <w:szCs w:val="15"/>
          <w:lang w:val="en-GB" w:eastAsia="en-US"/>
        </w:rPr>
        <w:t>=1</w:t>
      </w:r>
    </w:p>
    <w:p w14:paraId="1A41359F" w14:textId="77777777" w:rsidR="000A0120" w:rsidRDefault="000A0120" w:rsidP="000A0120">
      <w:pPr>
        <w:autoSpaceDE w:val="0"/>
        <w:autoSpaceDN w:val="0"/>
        <w:adjustRightInd w:val="0"/>
        <w:rPr>
          <w:rFonts w:ascii="STIXMathExtensions-Regular" w:eastAsiaTheme="minorHAnsi" w:hAnsi="STIXMathExtensions-Regular" w:cs="STIXMathExtensions-Regular"/>
          <w:sz w:val="20"/>
          <w:szCs w:val="20"/>
          <w:lang w:val="en-GB" w:eastAsia="en-US"/>
        </w:rPr>
      </w:pPr>
      <w:r>
        <w:rPr>
          <w:rFonts w:ascii="STIXMathExtensions-Regular" w:eastAsiaTheme="minorHAnsi" w:hAnsi="STIXMathExtensions-Regular" w:cs="STIXMathExtensions-Regular"/>
          <w:sz w:val="20"/>
          <w:szCs w:val="20"/>
          <w:lang w:val="en-GB" w:eastAsia="en-US"/>
        </w:rPr>
        <w:t>||</w:t>
      </w:r>
    </w:p>
    <w:p w14:paraId="52B2C1B8" w14:textId="77777777" w:rsidR="000A0120" w:rsidRDefault="000A0120" w:rsidP="000A0120">
      <w:pPr>
        <w:autoSpaceDE w:val="0"/>
        <w:autoSpaceDN w:val="0"/>
        <w:adjustRightInd w:val="0"/>
        <w:rPr>
          <w:rFonts w:ascii="STIXMath-Italic" w:eastAsia="STIXMath-Italic" w:hAnsi="STIXGeneral-Regular" w:cs="STIXMath-Italic"/>
          <w:i/>
          <w:iCs/>
          <w:sz w:val="20"/>
          <w:szCs w:val="20"/>
          <w:lang w:val="en-GB" w:eastAsia="en-US"/>
        </w:rPr>
      </w:pPr>
      <w:r>
        <w:rPr>
          <w:rFonts w:ascii="STIXMath-Italic" w:eastAsia="STIXMath-Italic" w:hAnsi="STIXGeneral-Regular" w:cs="STIXMath-Italic" w:hint="eastAsia"/>
          <w:i/>
          <w:iCs/>
          <w:sz w:val="20"/>
          <w:szCs w:val="20"/>
          <w:lang w:val="en-GB" w:eastAsia="en-US"/>
        </w:rPr>
        <w:t>̂̄</w:t>
      </w:r>
    </w:p>
    <w:p w14:paraId="2EBE8916" w14:textId="77777777" w:rsidR="000A0120" w:rsidRDefault="000A0120" w:rsidP="000A0120">
      <w:pPr>
        <w:autoSpaceDE w:val="0"/>
        <w:autoSpaceDN w:val="0"/>
        <w:adjustRightInd w:val="0"/>
        <w:rPr>
          <w:rFonts w:ascii="STIXMath-Italic" w:eastAsia="STIXMath-Italic" w:hAnsi="STIXGeneral-Regular" w:cs="STIXMath-Italic"/>
          <w:i/>
          <w:iCs/>
          <w:sz w:val="15"/>
          <w:szCs w:val="15"/>
          <w:lang w:val="en-GB" w:eastAsia="en-US"/>
        </w:rPr>
      </w:pPr>
      <w:r>
        <w:rPr>
          <w:rFonts w:ascii="Cambria Math" w:eastAsia="STIXMath-Italic" w:hAnsi="Cambria Math" w:cs="Cambria Math"/>
          <w:i/>
          <w:iCs/>
          <w:sz w:val="20"/>
          <w:szCs w:val="20"/>
          <w:lang w:val="en-GB" w:eastAsia="en-US"/>
        </w:rPr>
        <w:t>𝑦</w:t>
      </w:r>
      <w:r>
        <w:rPr>
          <w:rFonts w:ascii="Cambria Math" w:eastAsia="STIXMath-Italic" w:hAnsi="Cambria Math" w:cs="Cambria Math"/>
          <w:i/>
          <w:iCs/>
          <w:sz w:val="15"/>
          <w:szCs w:val="15"/>
          <w:lang w:val="en-GB" w:eastAsia="en-US"/>
        </w:rPr>
        <w:t>𝑘</w:t>
      </w:r>
      <w:r>
        <w:rPr>
          <w:rFonts w:ascii="STIXMath-Italic" w:eastAsia="STIXMath-Italic" w:hAnsi="STIXGeneral-Regular" w:cs="STIXMath-Italic"/>
          <w:i/>
          <w:iCs/>
          <w:sz w:val="15"/>
          <w:szCs w:val="15"/>
          <w:lang w:val="en-GB" w:eastAsia="en-US"/>
        </w:rPr>
        <w:t xml:space="preserve"> </w:t>
      </w:r>
      <w:r>
        <w:rPr>
          <w:rFonts w:ascii="STIXMath-Regular" w:eastAsia="STIXMath-Regular" w:hAnsi="STIXGeneral-Regular" w:cs="STIXMath-Regular" w:hint="eastAsia"/>
          <w:sz w:val="20"/>
          <w:szCs w:val="20"/>
          <w:lang w:val="en-GB" w:eastAsia="en-US"/>
        </w:rPr>
        <w:t>−</w:t>
      </w:r>
      <w:r>
        <w:rPr>
          <w:rFonts w:ascii="STIXMath-Regular" w:eastAsia="STIXMath-Regular" w:hAnsi="STIXGeneral-Regular" w:cs="STIXMath-Regular"/>
          <w:sz w:val="20"/>
          <w:szCs w:val="20"/>
          <w:lang w:val="en-GB" w:eastAsia="en-US"/>
        </w:rPr>
        <w:t xml:space="preserve"> </w:t>
      </w:r>
      <w:r>
        <w:rPr>
          <w:rFonts w:ascii="Cambria Math" w:eastAsia="STIXMath-Italic" w:hAnsi="Cambria Math" w:cs="Cambria Math"/>
          <w:i/>
          <w:iCs/>
          <w:sz w:val="20"/>
          <w:szCs w:val="20"/>
          <w:lang w:val="en-GB" w:eastAsia="en-US"/>
        </w:rPr>
        <w:t>𝑦</w:t>
      </w:r>
      <w:r>
        <w:rPr>
          <w:rFonts w:ascii="Yu Gothic" w:eastAsia="Yu Gothic" w:hAnsi="Yu Gothic" w:cs="Yu Gothic" w:hint="eastAsia"/>
          <w:i/>
          <w:iCs/>
          <w:sz w:val="20"/>
          <w:szCs w:val="20"/>
          <w:lang w:val="en-GB" w:eastAsia="en-US"/>
        </w:rPr>
        <w:t>̄</w:t>
      </w:r>
      <w:r>
        <w:rPr>
          <w:rFonts w:ascii="Cambria Math" w:eastAsia="STIXMath-Italic" w:hAnsi="Cambria Math" w:cs="Cambria Math"/>
          <w:i/>
          <w:iCs/>
          <w:sz w:val="15"/>
          <w:szCs w:val="15"/>
          <w:lang w:val="en-GB" w:eastAsia="en-US"/>
        </w:rPr>
        <w:t>𝑘</w:t>
      </w:r>
    </w:p>
    <w:p w14:paraId="5E9DD147" w14:textId="77777777" w:rsidR="000A0120" w:rsidRDefault="000A0120" w:rsidP="000A0120">
      <w:pPr>
        <w:autoSpaceDE w:val="0"/>
        <w:autoSpaceDN w:val="0"/>
        <w:adjustRightInd w:val="0"/>
        <w:rPr>
          <w:rFonts w:ascii="STIXMathExtensions-Regular" w:eastAsiaTheme="minorHAnsi" w:hAnsi="STIXMathExtensions-Regular" w:cs="STIXMathExtensions-Regular"/>
          <w:sz w:val="20"/>
          <w:szCs w:val="20"/>
          <w:lang w:val="en-GB" w:eastAsia="en-US"/>
        </w:rPr>
      </w:pPr>
      <w:r>
        <w:rPr>
          <w:rFonts w:ascii="STIXMathExtensions-Regular" w:eastAsiaTheme="minorHAnsi" w:hAnsi="STIXMathExtensions-Regular" w:cs="STIXMathExtensions-Regular"/>
          <w:sz w:val="20"/>
          <w:szCs w:val="20"/>
          <w:lang w:val="en-GB" w:eastAsia="en-US"/>
        </w:rPr>
        <w:t>||</w:t>
      </w:r>
    </w:p>
    <w:p w14:paraId="67728B26"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Math-Italic" w:eastAsia="STIXMath-Italic" w:hAnsi="STIXGeneral-Regular"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(3)</w:t>
      </w:r>
    </w:p>
    <w:p w14:paraId="30512266"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where summation is across the </w:t>
      </w:r>
      <w:r>
        <w:rPr>
          <w:rFonts w:ascii="Cambria Math" w:eastAsia="STIXMath-Italic" w:hAnsi="Cambria Math" w:cs="Cambria Math"/>
          <w:i/>
          <w:iCs/>
          <w:sz w:val="20"/>
          <w:szCs w:val="20"/>
          <w:lang w:val="en-GB" w:eastAsia="en-US"/>
        </w:rPr>
        <w:t>𝐾</w:t>
      </w:r>
      <w:r>
        <w:rPr>
          <w:rFonts w:ascii="STIXMath-Italic" w:eastAsia="STIXMath-Italic" w:hAnsi="STIXGeneral-Regular"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 xml:space="preserve">quantile groups, and </w:t>
      </w:r>
      <w:r>
        <w:rPr>
          <w:rFonts w:ascii="Cambria Math" w:eastAsia="STIXMath-Italic" w:hAnsi="Cambria Math" w:cs="Cambria Math"/>
          <w:i/>
          <w:iCs/>
          <w:sz w:val="20"/>
          <w:szCs w:val="20"/>
          <w:lang w:val="en-GB" w:eastAsia="en-US"/>
        </w:rPr>
        <w:t>𝑦</w:t>
      </w:r>
      <w:r>
        <w:rPr>
          <w:rFonts w:ascii="Yu Gothic" w:eastAsia="Yu Gothic" w:hAnsi="Yu Gothic" w:cs="Yu Gothic" w:hint="eastAsia"/>
          <w:i/>
          <w:iCs/>
          <w:sz w:val="20"/>
          <w:szCs w:val="20"/>
          <w:lang w:val="en-GB" w:eastAsia="en-US"/>
        </w:rPr>
        <w:t>̄</w:t>
      </w:r>
      <w:r>
        <w:rPr>
          <w:rFonts w:ascii="Cambria Math" w:eastAsia="STIXMath-Italic" w:hAnsi="Cambria Math" w:cs="Cambria Math"/>
          <w:i/>
          <w:iCs/>
          <w:sz w:val="15"/>
          <w:szCs w:val="15"/>
          <w:lang w:val="en-GB" w:eastAsia="en-US"/>
        </w:rPr>
        <w:t>𝑘</w:t>
      </w:r>
      <w:r>
        <w:rPr>
          <w:rFonts w:ascii="STIXMath-Italic" w:eastAsia="STIXMath-Italic" w:hAnsi="STIXGeneral-Regular" w:cs="STIXMath-Italic"/>
          <w:i/>
          <w:iCs/>
          <w:sz w:val="15"/>
          <w:szCs w:val="15"/>
          <w:lang w:val="en-GB" w:eastAsia="en-US"/>
        </w:rPr>
        <w:t xml:space="preserve"> </w:t>
      </w:r>
      <w:r>
        <w:rPr>
          <w:rFonts w:ascii="STIXGeneral-Regular" w:eastAsiaTheme="minorHAnsi" w:hAnsi="STIXGeneral-Regular" w:cs="STIXGeneral-Regular"/>
          <w:sz w:val="20"/>
          <w:szCs w:val="20"/>
          <w:lang w:val="en-GB" w:eastAsia="en-US"/>
        </w:rPr>
        <w:t>is</w:t>
      </w:r>
    </w:p>
    <w:p w14:paraId="33A1649E"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the expected value of the outcome evaluated at </w:t>
      </w:r>
      <w:proofErr w:type="spellStart"/>
      <w:r>
        <w:rPr>
          <w:rFonts w:ascii="STIXGeneral-Regular" w:eastAsiaTheme="minorHAnsi" w:hAnsi="STIXGeneral-Regular" w:cs="STIXGeneral-Regular"/>
          <w:sz w:val="20"/>
          <w:szCs w:val="20"/>
          <w:lang w:val="en-GB" w:eastAsia="en-US"/>
        </w:rPr>
        <w:t>themean</w:t>
      </w:r>
      <w:proofErr w:type="spellEnd"/>
      <w:r>
        <w:rPr>
          <w:rFonts w:ascii="STIXGeneral-Regular" w:eastAsiaTheme="minorHAnsi" w:hAnsi="STIXGeneral-Regular" w:cs="STIXGeneral-Regular"/>
          <w:sz w:val="20"/>
          <w:szCs w:val="20"/>
          <w:lang w:val="en-GB" w:eastAsia="en-US"/>
        </w:rPr>
        <w:t xml:space="preserve"> value</w:t>
      </w:r>
    </w:p>
    <w:p w14:paraId="519DD8C4"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of the exposure in each quantile group.</w:t>
      </w:r>
    </w:p>
    <w:p w14:paraId="2F91A91A" w14:textId="77777777" w:rsidR="000A0120" w:rsidRDefault="000A0120" w:rsidP="000A0120">
      <w:pPr>
        <w:autoSpaceDE w:val="0"/>
        <w:autoSpaceDN w:val="0"/>
        <w:adjustRightInd w:val="0"/>
        <w:rPr>
          <w:rFonts w:ascii="STIXGeneral-Bold" w:eastAsiaTheme="minorHAnsi" w:hAnsi="STIXGeneral-Bold" w:cs="STIXGeneral-Bold"/>
          <w:b/>
          <w:bCs/>
          <w:lang w:val="en-GB" w:eastAsia="en-US"/>
        </w:rPr>
      </w:pPr>
      <w:r>
        <w:rPr>
          <w:rFonts w:ascii="STIXGeneral-Bold" w:eastAsiaTheme="minorHAnsi" w:hAnsi="STIXGeneral-Bold" w:cs="STIXGeneral-Bold"/>
          <w:b/>
          <w:bCs/>
          <w:lang w:val="en-GB" w:eastAsia="en-US"/>
        </w:rPr>
        <w:t>3.3 Varying the number of strata</w:t>
      </w:r>
    </w:p>
    <w:p w14:paraId="02111261"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In the initial simulations, the population was split based on</w:t>
      </w:r>
    </w:p>
    <w:p w14:paraId="1718C591" w14:textId="77777777" w:rsidR="00B33438"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the IV-free exposure into decile groups. Further simulations</w:t>
      </w:r>
    </w:p>
    <w:p w14:paraId="3290AC24" w14:textId="5A3AA6AB" w:rsidR="000A0120" w:rsidRDefault="000A0120" w:rsidP="000A0120">
      <w:pPr>
        <w:autoSpaceDE w:val="0"/>
        <w:autoSpaceDN w:val="0"/>
        <w:adjustRightInd w:val="0"/>
        <w:rPr>
          <w:rFonts w:ascii="STIXGeneral-Bold" w:eastAsiaTheme="minorHAnsi" w:hAnsi="STIXGeneral-Bold" w:cs="STIXGeneral-Bold"/>
          <w:b/>
          <w:bCs/>
          <w:lang w:val="en-GB" w:eastAsia="en-US"/>
        </w:rPr>
      </w:pPr>
      <w:r w:rsidRPr="000A0120">
        <w:rPr>
          <w:rFonts w:ascii="STIXGeneral-Bold" w:eastAsiaTheme="minorHAnsi" w:hAnsi="STIXGeneral-Bold" w:cs="STIXGeneral-Bold"/>
          <w:b/>
          <w:bCs/>
          <w:lang w:val="en-GB" w:eastAsia="en-US"/>
        </w:rPr>
        <w:t xml:space="preserve"> </w:t>
      </w:r>
      <w:r>
        <w:rPr>
          <w:rFonts w:ascii="STIXGeneral-Bold" w:eastAsiaTheme="minorHAnsi" w:hAnsi="STIXGeneral-Bold" w:cs="STIXGeneral-Bold"/>
          <w:b/>
          <w:bCs/>
          <w:lang w:val="en-GB" w:eastAsia="en-US"/>
        </w:rPr>
        <w:t>3.4 Additional simulations to assess impact of</w:t>
      </w:r>
    </w:p>
    <w:p w14:paraId="7328AA94" w14:textId="77777777" w:rsidR="000A0120" w:rsidRDefault="000A0120" w:rsidP="000A0120">
      <w:pPr>
        <w:autoSpaceDE w:val="0"/>
        <w:autoSpaceDN w:val="0"/>
        <w:adjustRightInd w:val="0"/>
        <w:rPr>
          <w:rFonts w:ascii="STIXGeneral-Bold" w:eastAsiaTheme="minorHAnsi" w:hAnsi="STIXGeneral-Bold" w:cs="STIXGeneral-Bold"/>
          <w:b/>
          <w:bCs/>
          <w:lang w:val="en-GB" w:eastAsia="en-US"/>
        </w:rPr>
      </w:pPr>
      <w:r>
        <w:rPr>
          <w:rFonts w:ascii="STIXGeneral-Bold" w:eastAsiaTheme="minorHAnsi" w:hAnsi="STIXGeneral-Bold" w:cs="STIXGeneral-Bold"/>
          <w:b/>
          <w:bCs/>
          <w:lang w:val="en-GB" w:eastAsia="en-US"/>
        </w:rPr>
        <w:t>violations of assumptions</w:t>
      </w:r>
    </w:p>
    <w:p w14:paraId="7A24F73C"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We performed additional simulations in which the underlying</w:t>
      </w:r>
    </w:p>
    <w:p w14:paraId="772DA238"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assumptions that the effect of the IV on the exposure and</w:t>
      </w:r>
    </w:p>
    <w:p w14:paraId="2CB52E1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the effect of the exposure on the outcome are fixed and independent</w:t>
      </w:r>
    </w:p>
    <w:p w14:paraId="3DB4EF0F"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were relaxed. In these simulations, we assessed both</w:t>
      </w:r>
    </w:p>
    <w:p w14:paraId="6143E4B8"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proofErr w:type="spellStart"/>
      <w:r>
        <w:rPr>
          <w:rFonts w:ascii="STIXGeneral-Regular" w:eastAsiaTheme="minorHAnsi" w:hAnsi="STIXGeneral-Regular" w:cs="STIXGeneral-Regular"/>
          <w:sz w:val="20"/>
          <w:szCs w:val="20"/>
          <w:lang w:val="en-GB" w:eastAsia="en-US"/>
        </w:rPr>
        <w:t>modeling</w:t>
      </w:r>
      <w:proofErr w:type="spellEnd"/>
      <w:r>
        <w:rPr>
          <w:rFonts w:ascii="STIXGeneral-Regular" w:eastAsiaTheme="minorHAnsi" w:hAnsi="STIXGeneral-Regular" w:cs="STIXGeneral-Regular"/>
          <w:sz w:val="20"/>
          <w:szCs w:val="20"/>
          <w:lang w:val="en-GB" w:eastAsia="en-US"/>
        </w:rPr>
        <w:t xml:space="preserve"> assumptions by allowing the effect of the IV on the</w:t>
      </w:r>
    </w:p>
    <w:p w14:paraId="04AA519F"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exposure to vary (by drawing the effect parameter from a normal</w:t>
      </w:r>
    </w:p>
    <w:p w14:paraId="1509EE05"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distribution </w:t>
      </w:r>
      <w:proofErr w:type="gramStart"/>
      <w:r>
        <w:rPr>
          <w:rFonts w:ascii="Cambria Math" w:eastAsia="STIXMath-Italic" w:hAnsi="Cambria Math" w:cs="Cambria Math"/>
          <w:i/>
          <w:iCs/>
          <w:sz w:val="20"/>
          <w:szCs w:val="20"/>
          <w:lang w:val="en-GB" w:eastAsia="en-US"/>
        </w:rPr>
        <w:t>𝑁</w:t>
      </w:r>
      <w:r>
        <w:rPr>
          <w:rFonts w:ascii="STIXMath-Regular" w:eastAsia="STIXMath-Regular" w:hAnsi="STIXGeneral-Bold" w:cs="STIXMath-Regular"/>
          <w:sz w:val="20"/>
          <w:szCs w:val="20"/>
          <w:lang w:val="en-GB" w:eastAsia="en-US"/>
        </w:rPr>
        <w:t>(</w:t>
      </w:r>
      <w:proofErr w:type="gramEnd"/>
      <w:r>
        <w:rPr>
          <w:rFonts w:ascii="STIXMath-Regular" w:eastAsia="STIXMath-Regular" w:hAnsi="STIXGeneral-Bold" w:cs="STIXMath-Regular"/>
          <w:sz w:val="20"/>
          <w:szCs w:val="20"/>
          <w:lang w:val="en-GB" w:eastAsia="en-US"/>
        </w:rPr>
        <w:t>0</w:t>
      </w:r>
      <w:r>
        <w:rPr>
          <w:rFonts w:ascii="STIXMath-Italic" w:eastAsia="STIXMath-Italic" w:hAnsi="STIXGeneral-Bold" w:cs="STIXMath-Italic"/>
          <w:i/>
          <w:iCs/>
          <w:sz w:val="20"/>
          <w:szCs w:val="20"/>
          <w:lang w:val="en-GB" w:eastAsia="en-US"/>
        </w:rPr>
        <w:t>.</w:t>
      </w:r>
      <w:r>
        <w:rPr>
          <w:rFonts w:ascii="STIXMath-Regular" w:eastAsia="STIXMath-Regular" w:hAnsi="STIXGeneral-Bold" w:cs="STIXMath-Regular"/>
          <w:sz w:val="20"/>
          <w:szCs w:val="20"/>
          <w:lang w:val="en-GB" w:eastAsia="en-US"/>
        </w:rPr>
        <w:t>25</w:t>
      </w:r>
      <w:r>
        <w:rPr>
          <w:rFonts w:ascii="STIXMath-Italic" w:eastAsia="STIXMath-Italic" w:hAnsi="STIXGeneral-Bold" w:cs="STIXMath-Italic"/>
          <w:i/>
          <w:iCs/>
          <w:sz w:val="20"/>
          <w:szCs w:val="20"/>
          <w:lang w:val="en-GB" w:eastAsia="en-US"/>
        </w:rPr>
        <w:t xml:space="preserve">, </w:t>
      </w:r>
      <w:r>
        <w:rPr>
          <w:rFonts w:ascii="STIXMath-Regular" w:eastAsia="STIXMath-Regular" w:hAnsi="STIXGeneral-Bold" w:cs="STIXMath-Regular"/>
          <w:sz w:val="20"/>
          <w:szCs w:val="20"/>
          <w:lang w:val="en-GB" w:eastAsia="en-US"/>
        </w:rPr>
        <w:t>0</w:t>
      </w:r>
      <w:r>
        <w:rPr>
          <w:rFonts w:ascii="STIXMath-Italic" w:eastAsia="STIXMath-Italic" w:hAnsi="STIXGeneral-Bold" w:cs="STIXMath-Italic"/>
          <w:i/>
          <w:iCs/>
          <w:sz w:val="20"/>
          <w:szCs w:val="20"/>
          <w:lang w:val="en-GB" w:eastAsia="en-US"/>
        </w:rPr>
        <w:t>.</w:t>
      </w:r>
      <w:r>
        <w:rPr>
          <w:rFonts w:ascii="STIXMath-Regular" w:eastAsia="STIXMath-Regular" w:hAnsi="STIXGeneral-Bold" w:cs="STIXMath-Regular"/>
          <w:sz w:val="20"/>
          <w:szCs w:val="20"/>
          <w:lang w:val="en-GB" w:eastAsia="en-US"/>
        </w:rPr>
        <w:t>1</w:t>
      </w:r>
      <w:r>
        <w:rPr>
          <w:rFonts w:ascii="STIXMath-Regular" w:eastAsia="STIXMath-Regular" w:hAnsi="STIXGeneral-Bold" w:cs="STIXMath-Regular"/>
          <w:sz w:val="15"/>
          <w:szCs w:val="15"/>
          <w:lang w:val="en-GB" w:eastAsia="en-US"/>
        </w:rPr>
        <w:t>2</w:t>
      </w:r>
      <w:r>
        <w:rPr>
          <w:rFonts w:ascii="STIXMath-Regular" w:eastAsia="STIXMath-Regular" w:hAnsi="STIXGeneral-Bold" w:cs="STIXMath-Regular"/>
          <w:sz w:val="20"/>
          <w:szCs w:val="20"/>
          <w:lang w:val="en-GB" w:eastAsia="en-US"/>
        </w:rPr>
        <w:t xml:space="preserve">) </w:t>
      </w:r>
      <w:r>
        <w:rPr>
          <w:rFonts w:ascii="STIXGeneral-Regular" w:eastAsiaTheme="minorHAnsi" w:hAnsi="STIXGeneral-Regular" w:cs="STIXGeneral-Regular"/>
          <w:sz w:val="20"/>
          <w:szCs w:val="20"/>
          <w:lang w:val="en-GB" w:eastAsia="en-US"/>
        </w:rPr>
        <w:t>for each individual in the population),</w:t>
      </w:r>
    </w:p>
    <w:p w14:paraId="38FD0491"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and allowing the exposure-outcome relationship to</w:t>
      </w:r>
    </w:p>
    <w:p w14:paraId="5DA504D8"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vary (by drawing the causal parameter from a normal distribution</w:t>
      </w:r>
    </w:p>
    <w:p w14:paraId="1EB7A7F7"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proofErr w:type="gramStart"/>
      <w:r>
        <w:rPr>
          <w:rFonts w:ascii="Cambria Math" w:eastAsia="STIXMath-Italic" w:hAnsi="Cambria Math" w:cs="Cambria Math"/>
          <w:i/>
          <w:iCs/>
          <w:sz w:val="20"/>
          <w:szCs w:val="20"/>
          <w:lang w:val="en-GB" w:eastAsia="en-US"/>
        </w:rPr>
        <w:t>𝑁</w:t>
      </w:r>
      <w:r>
        <w:rPr>
          <w:rFonts w:ascii="STIXMath-Regular" w:eastAsia="STIXMath-Regular" w:hAnsi="STIXGeneral-Bold" w:cs="STIXMath-Regular"/>
          <w:sz w:val="20"/>
          <w:szCs w:val="20"/>
          <w:lang w:val="en-GB" w:eastAsia="en-US"/>
        </w:rPr>
        <w:t>(</w:t>
      </w:r>
      <w:proofErr w:type="gramEnd"/>
      <w:r>
        <w:rPr>
          <w:rFonts w:ascii="Cambria Math" w:eastAsia="STIXMath-Italic" w:hAnsi="Cambria Math" w:cs="Cambria Math"/>
          <w:i/>
          <w:iCs/>
          <w:sz w:val="20"/>
          <w:szCs w:val="20"/>
          <w:lang w:val="en-GB" w:eastAsia="en-US"/>
        </w:rPr>
        <w:t>𝛽</w:t>
      </w:r>
      <w:r>
        <w:rPr>
          <w:rFonts w:ascii="STIXMath-Italic" w:eastAsia="STIXMath-Italic" w:hAnsi="STIXGeneral-Bold" w:cs="STIXMath-Italic"/>
          <w:i/>
          <w:iCs/>
          <w:sz w:val="20"/>
          <w:szCs w:val="20"/>
          <w:lang w:val="en-GB" w:eastAsia="en-US"/>
        </w:rPr>
        <w:t xml:space="preserve">, </w:t>
      </w:r>
      <w:r>
        <w:rPr>
          <w:rFonts w:ascii="STIXMath-Regular" w:eastAsia="STIXMath-Regular" w:hAnsi="STIXGeneral-Bold" w:cs="STIXMath-Regular"/>
          <w:sz w:val="20"/>
          <w:szCs w:val="20"/>
          <w:lang w:val="en-GB" w:eastAsia="en-US"/>
        </w:rPr>
        <w:t>0</w:t>
      </w:r>
      <w:r>
        <w:rPr>
          <w:rFonts w:ascii="STIXMath-Italic" w:eastAsia="STIXMath-Italic" w:hAnsi="STIXGeneral-Bold" w:cs="STIXMath-Italic"/>
          <w:i/>
          <w:iCs/>
          <w:sz w:val="20"/>
          <w:szCs w:val="20"/>
          <w:lang w:val="en-GB" w:eastAsia="en-US"/>
        </w:rPr>
        <w:t>.</w:t>
      </w:r>
      <w:r>
        <w:rPr>
          <w:rFonts w:ascii="STIXMath-Regular" w:eastAsia="STIXMath-Regular" w:hAnsi="STIXGeneral-Bold" w:cs="STIXMath-Regular"/>
          <w:sz w:val="20"/>
          <w:szCs w:val="20"/>
          <w:lang w:val="en-GB" w:eastAsia="en-US"/>
        </w:rPr>
        <w:t>2</w:t>
      </w:r>
      <w:r>
        <w:rPr>
          <w:rFonts w:ascii="STIXMath-Regular" w:eastAsia="STIXMath-Regular" w:hAnsi="STIXGeneral-Bold" w:cs="STIXMath-Regular"/>
          <w:sz w:val="15"/>
          <w:szCs w:val="15"/>
          <w:lang w:val="en-GB" w:eastAsia="en-US"/>
        </w:rPr>
        <w:t>2</w:t>
      </w:r>
      <w:r>
        <w:rPr>
          <w:rFonts w:ascii="STIXMath-Regular" w:eastAsia="STIXMath-Regular" w:hAnsi="STIXGeneral-Bold" w:cs="STIXMath-Regular"/>
          <w:sz w:val="20"/>
          <w:szCs w:val="20"/>
          <w:lang w:val="en-GB" w:eastAsia="en-US"/>
        </w:rPr>
        <w:t xml:space="preserve">) </w:t>
      </w:r>
      <w:r>
        <w:rPr>
          <w:rFonts w:ascii="STIXGeneral-Regular" w:eastAsiaTheme="minorHAnsi" w:hAnsi="STIXGeneral-Regular" w:cs="STIXGeneral-Regular"/>
          <w:sz w:val="20"/>
          <w:szCs w:val="20"/>
          <w:lang w:val="en-GB" w:eastAsia="en-US"/>
        </w:rPr>
        <w:t>for each individual in the population). We</w:t>
      </w:r>
    </w:p>
    <w:p w14:paraId="06B36BE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assessed the impact of allowing each of these parameters to</w:t>
      </w:r>
    </w:p>
    <w:p w14:paraId="2C3E2C3F"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vary separately and both to vary together. In addition, we also</w:t>
      </w:r>
    </w:p>
    <w:p w14:paraId="68342561"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allowed variation in both parameters to be correlated by drawing</w:t>
      </w:r>
    </w:p>
    <w:p w14:paraId="338AF8CB"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the parameters from a bivariate normal distribution with</w:t>
      </w:r>
    </w:p>
    <w:p w14:paraId="75775591"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correlation 0.2. For fractional polynomials of degree 2, only</w:t>
      </w:r>
    </w:p>
    <w:p w14:paraId="7E1A830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the causal parameter for the second polynomial was allowed</w:t>
      </w:r>
    </w:p>
    <w:p w14:paraId="5A20836C"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to vary across individuals.</w:t>
      </w:r>
    </w:p>
    <w:p w14:paraId="2C5E99C8"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We also performed further simulations using a </w:t>
      </w:r>
      <w:proofErr w:type="spellStart"/>
      <w:r>
        <w:rPr>
          <w:rFonts w:ascii="STIXGeneral-Regular" w:eastAsiaTheme="minorHAnsi" w:hAnsi="STIXGeneral-Regular" w:cs="STIXGeneral-Regular"/>
          <w:sz w:val="20"/>
          <w:szCs w:val="20"/>
          <w:lang w:val="en-GB" w:eastAsia="en-US"/>
        </w:rPr>
        <w:t>lowfrequency</w:t>
      </w:r>
      <w:proofErr w:type="spellEnd"/>
    </w:p>
    <w:p w14:paraId="443E557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genetic variant having a large effect on the exposure</w:t>
      </w:r>
    </w:p>
    <w:p w14:paraId="266083FA"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(minor allele frequency </w:t>
      </w:r>
      <w:r>
        <w:rPr>
          <w:rFonts w:ascii="STIXMath-Regular" w:eastAsia="STIXMath-Regular" w:hAnsi="STIXGeneral-Bold" w:cs="STIXMath-Regular"/>
          <w:sz w:val="20"/>
          <w:szCs w:val="20"/>
          <w:lang w:val="en-GB" w:eastAsia="en-US"/>
        </w:rPr>
        <w:t xml:space="preserve">= </w:t>
      </w:r>
      <w:r>
        <w:rPr>
          <w:rFonts w:ascii="STIXGeneral-Regular" w:eastAsiaTheme="minorHAnsi" w:hAnsi="STIXGeneral-Regular" w:cs="STIXGeneral-Regular"/>
          <w:sz w:val="20"/>
          <w:szCs w:val="20"/>
          <w:lang w:val="en-GB" w:eastAsia="en-US"/>
        </w:rPr>
        <w:t>0.03, linear effect on the exposure</w:t>
      </w:r>
    </w:p>
    <w:p w14:paraId="5FB3E2F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Math-Regular" w:eastAsia="STIXMath-Regular" w:hAnsi="STIXGeneral-Bold" w:cs="STIXMath-Regular"/>
          <w:sz w:val="20"/>
          <w:szCs w:val="20"/>
          <w:lang w:val="en-GB" w:eastAsia="en-US"/>
        </w:rPr>
        <w:t xml:space="preserve">= </w:t>
      </w:r>
      <w:r>
        <w:rPr>
          <w:rFonts w:ascii="STIXGeneral-Regular" w:eastAsiaTheme="minorHAnsi" w:hAnsi="STIXGeneral-Regular" w:cs="STIXGeneral-Regular"/>
          <w:sz w:val="20"/>
          <w:szCs w:val="20"/>
          <w:lang w:val="en-GB" w:eastAsia="en-US"/>
        </w:rPr>
        <w:t>0.75), and using the original genetic variant but having a</w:t>
      </w:r>
    </w:p>
    <w:p w14:paraId="1315F838"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proofErr w:type="spellStart"/>
      <w:r>
        <w:rPr>
          <w:rFonts w:ascii="STIXGeneral-Regular" w:eastAsiaTheme="minorHAnsi" w:hAnsi="STIXGeneral-Regular" w:cs="STIXGeneral-Regular"/>
          <w:sz w:val="20"/>
          <w:szCs w:val="20"/>
          <w:lang w:val="en-GB" w:eastAsia="en-US"/>
        </w:rPr>
        <w:t>superadditive</w:t>
      </w:r>
      <w:proofErr w:type="spellEnd"/>
      <w:r>
        <w:rPr>
          <w:rFonts w:ascii="STIXGeneral-Regular" w:eastAsiaTheme="minorHAnsi" w:hAnsi="STIXGeneral-Regular" w:cs="STIXGeneral-Regular"/>
          <w:sz w:val="20"/>
          <w:szCs w:val="20"/>
          <w:lang w:val="en-GB" w:eastAsia="en-US"/>
        </w:rPr>
        <w:t xml:space="preserve"> (first allele increases exposure by 0.1 units, second</w:t>
      </w:r>
    </w:p>
    <w:p w14:paraId="4CE02674"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by 0.3 units) and a </w:t>
      </w:r>
      <w:proofErr w:type="spellStart"/>
      <w:r>
        <w:rPr>
          <w:rFonts w:ascii="STIXGeneral-Regular" w:eastAsiaTheme="minorHAnsi" w:hAnsi="STIXGeneral-Regular" w:cs="STIXGeneral-Regular"/>
          <w:sz w:val="20"/>
          <w:szCs w:val="20"/>
          <w:lang w:val="en-GB" w:eastAsia="en-US"/>
        </w:rPr>
        <w:t>subadditive</w:t>
      </w:r>
      <w:proofErr w:type="spellEnd"/>
      <w:r>
        <w:rPr>
          <w:rFonts w:ascii="STIXGeneral-Regular" w:eastAsiaTheme="minorHAnsi" w:hAnsi="STIXGeneral-Regular" w:cs="STIXGeneral-Regular"/>
          <w:sz w:val="20"/>
          <w:szCs w:val="20"/>
          <w:lang w:val="en-GB" w:eastAsia="en-US"/>
        </w:rPr>
        <w:t xml:space="preserve"> (first allele increases exposure</w:t>
      </w:r>
    </w:p>
    <w:p w14:paraId="4E300D20" w14:textId="77777777" w:rsidR="000A0120" w:rsidRDefault="000A0120" w:rsidP="000A0120">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by 0.3 units, second by 0.1 units) effect on the exposure</w:t>
      </w:r>
    </w:p>
    <w:p w14:paraId="7991EBE1" w14:textId="24746E6D" w:rsidR="000A0120" w:rsidRDefault="000A0120" w:rsidP="000A0120">
      <w:pPr>
        <w:spacing w:after="160" w:line="259" w:lineRule="auto"/>
        <w:rPr>
          <w:rFonts w:cstheme="minorHAnsi"/>
          <w:b/>
          <w:bCs/>
          <w:color w:val="000000" w:themeColor="text1"/>
          <w:lang w:val="en-US"/>
        </w:rPr>
      </w:pPr>
      <w:r>
        <w:rPr>
          <w:rFonts w:ascii="STIXGeneral-Regular" w:eastAsiaTheme="minorHAnsi" w:hAnsi="STIXGeneral-Regular" w:cs="STIXGeneral-Regular"/>
          <w:sz w:val="20"/>
          <w:szCs w:val="20"/>
          <w:lang w:val="en-GB" w:eastAsia="en-US"/>
        </w:rPr>
        <w:t>in the data-generating model.</w:t>
      </w:r>
    </w:p>
    <w:p w14:paraId="07927C25" w14:textId="333F05E8" w:rsidR="00842947" w:rsidRDefault="00842947" w:rsidP="007629F7">
      <w:pPr>
        <w:spacing w:after="160" w:line="259" w:lineRule="auto"/>
        <w:rPr>
          <w:rFonts w:cstheme="minorHAnsi"/>
          <w:color w:val="000000" w:themeColor="text1"/>
          <w:lang w:val="en-US"/>
        </w:rPr>
      </w:pPr>
    </w:p>
    <w:p w14:paraId="13D25E0A" w14:textId="1FDEBB5E" w:rsidR="00842947" w:rsidRDefault="00842947" w:rsidP="007629F7">
      <w:pPr>
        <w:spacing w:after="160" w:line="259" w:lineRule="auto"/>
        <w:rPr>
          <w:rFonts w:cstheme="minorHAnsi"/>
          <w:b/>
          <w:bCs/>
          <w:color w:val="000000" w:themeColor="text1"/>
          <w:lang w:val="en-US"/>
        </w:rPr>
      </w:pPr>
      <w:r>
        <w:rPr>
          <w:rFonts w:cstheme="minorHAnsi"/>
          <w:b/>
          <w:bCs/>
          <w:color w:val="000000" w:themeColor="text1"/>
          <w:lang w:val="en-US"/>
        </w:rPr>
        <w:t>Methods</w:t>
      </w:r>
    </w:p>
    <w:p w14:paraId="39ACBDC4" w14:textId="19CB5593" w:rsidR="00B76EFE" w:rsidRDefault="00B76EFE" w:rsidP="007629F7">
      <w:pPr>
        <w:spacing w:after="160" w:line="259" w:lineRule="auto"/>
      </w:pPr>
      <w:r>
        <w:t>Heuristic statistic</w:t>
      </w:r>
    </w:p>
    <w:p w14:paraId="2DF80EA2" w14:textId="77777777" w:rsidR="00B76EFE" w:rsidRDefault="00B76EFE" w:rsidP="00B76EFE">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lastRenderedPageBreak/>
        <w:t>we used the following heuristic</w:t>
      </w:r>
    </w:p>
    <w:p w14:paraId="20563139" w14:textId="77777777" w:rsidR="00B76EFE" w:rsidRDefault="00B76EFE" w:rsidP="00B76EFE">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function:</w:t>
      </w:r>
    </w:p>
    <w:p w14:paraId="25AB1F6A" w14:textId="77777777" w:rsidR="00B76EFE" w:rsidRDefault="00B76EFE" w:rsidP="00B76EFE">
      <w:pPr>
        <w:autoSpaceDE w:val="0"/>
        <w:autoSpaceDN w:val="0"/>
        <w:adjustRightInd w:val="0"/>
        <w:rPr>
          <w:rFonts w:ascii="STIXMath-Italic" w:eastAsia="STIXMath-Italic" w:hAnsi="STIXGeneral-Regular" w:cs="STIXMath-Italic"/>
          <w:i/>
          <w:iCs/>
          <w:sz w:val="15"/>
          <w:szCs w:val="15"/>
          <w:lang w:val="en-GB" w:eastAsia="en-US"/>
        </w:rPr>
      </w:pPr>
      <w:r>
        <w:rPr>
          <w:rFonts w:ascii="STIXMathExtensions-Regular" w:eastAsiaTheme="minorHAnsi" w:hAnsi="STIXMathExtensions-Regular" w:cs="STIXMathExtensions-Regular"/>
          <w:sz w:val="20"/>
          <w:szCs w:val="20"/>
          <w:lang w:val="en-GB" w:eastAsia="en-US"/>
        </w:rPr>
        <w:t>Σ</w:t>
      </w:r>
      <w:r>
        <w:rPr>
          <w:rFonts w:ascii="Cambria Math" w:eastAsia="STIXMath-Italic" w:hAnsi="Cambria Math" w:cs="Cambria Math"/>
          <w:i/>
          <w:iCs/>
          <w:sz w:val="15"/>
          <w:szCs w:val="15"/>
          <w:lang w:val="en-GB" w:eastAsia="en-US"/>
        </w:rPr>
        <w:t>𝐾</w:t>
      </w:r>
    </w:p>
    <w:p w14:paraId="30E0F8D4" w14:textId="77777777" w:rsidR="00B76EFE" w:rsidRDefault="00B76EFE" w:rsidP="00B76EFE">
      <w:pPr>
        <w:autoSpaceDE w:val="0"/>
        <w:autoSpaceDN w:val="0"/>
        <w:adjustRightInd w:val="0"/>
        <w:rPr>
          <w:rFonts w:ascii="STIXMath-Regular" w:eastAsia="STIXMath-Regular" w:hAnsi="STIXGeneral-Regular" w:cs="STIXMath-Regular"/>
          <w:sz w:val="15"/>
          <w:szCs w:val="15"/>
          <w:lang w:val="en-GB" w:eastAsia="en-US"/>
        </w:rPr>
      </w:pPr>
      <w:r>
        <w:rPr>
          <w:rFonts w:ascii="Cambria Math" w:eastAsia="STIXMath-Italic" w:hAnsi="Cambria Math" w:cs="Cambria Math"/>
          <w:i/>
          <w:iCs/>
          <w:sz w:val="15"/>
          <w:szCs w:val="15"/>
          <w:lang w:val="en-GB" w:eastAsia="en-US"/>
        </w:rPr>
        <w:t>𝑘</w:t>
      </w:r>
      <w:r>
        <w:rPr>
          <w:rFonts w:ascii="STIXMath-Regular" w:eastAsia="STIXMath-Regular" w:hAnsi="STIXGeneral-Regular" w:cs="STIXMath-Regular"/>
          <w:sz w:val="15"/>
          <w:szCs w:val="15"/>
          <w:lang w:val="en-GB" w:eastAsia="en-US"/>
        </w:rPr>
        <w:t>=1</w:t>
      </w:r>
    </w:p>
    <w:p w14:paraId="41B6B641" w14:textId="77777777" w:rsidR="00B76EFE" w:rsidRDefault="00B76EFE" w:rsidP="00B76EFE">
      <w:pPr>
        <w:autoSpaceDE w:val="0"/>
        <w:autoSpaceDN w:val="0"/>
        <w:adjustRightInd w:val="0"/>
        <w:rPr>
          <w:rFonts w:ascii="STIXMathExtensions-Regular" w:eastAsiaTheme="minorHAnsi" w:hAnsi="STIXMathExtensions-Regular" w:cs="STIXMathExtensions-Regular"/>
          <w:sz w:val="20"/>
          <w:szCs w:val="20"/>
          <w:lang w:val="en-GB" w:eastAsia="en-US"/>
        </w:rPr>
      </w:pPr>
      <w:r>
        <w:rPr>
          <w:rFonts w:ascii="STIXMathExtensions-Regular" w:eastAsiaTheme="minorHAnsi" w:hAnsi="STIXMathExtensions-Regular" w:cs="STIXMathExtensions-Regular"/>
          <w:sz w:val="20"/>
          <w:szCs w:val="20"/>
          <w:lang w:val="en-GB" w:eastAsia="en-US"/>
        </w:rPr>
        <w:t>||</w:t>
      </w:r>
    </w:p>
    <w:p w14:paraId="197AC245" w14:textId="77777777" w:rsidR="00B76EFE" w:rsidRDefault="00B76EFE" w:rsidP="00B76EFE">
      <w:pPr>
        <w:autoSpaceDE w:val="0"/>
        <w:autoSpaceDN w:val="0"/>
        <w:adjustRightInd w:val="0"/>
        <w:rPr>
          <w:rFonts w:ascii="STIXMath-Italic" w:eastAsia="STIXMath-Italic" w:hAnsi="STIXGeneral-Regular" w:cs="STIXMath-Italic"/>
          <w:i/>
          <w:iCs/>
          <w:sz w:val="20"/>
          <w:szCs w:val="20"/>
          <w:lang w:val="en-GB" w:eastAsia="en-US"/>
        </w:rPr>
      </w:pPr>
      <w:r>
        <w:rPr>
          <w:rFonts w:ascii="STIXMath-Italic" w:eastAsia="STIXMath-Italic" w:hAnsi="STIXGeneral-Regular" w:cs="STIXMath-Italic" w:hint="eastAsia"/>
          <w:i/>
          <w:iCs/>
          <w:sz w:val="20"/>
          <w:szCs w:val="20"/>
          <w:lang w:val="en-GB" w:eastAsia="en-US"/>
        </w:rPr>
        <w:t>̂̄</w:t>
      </w:r>
    </w:p>
    <w:p w14:paraId="157B7EB3" w14:textId="77777777" w:rsidR="00B76EFE" w:rsidRDefault="00B76EFE" w:rsidP="00B76EFE">
      <w:pPr>
        <w:autoSpaceDE w:val="0"/>
        <w:autoSpaceDN w:val="0"/>
        <w:adjustRightInd w:val="0"/>
        <w:rPr>
          <w:rFonts w:ascii="STIXMath-Italic" w:eastAsia="STIXMath-Italic" w:hAnsi="STIXGeneral-Regular" w:cs="STIXMath-Italic"/>
          <w:i/>
          <w:iCs/>
          <w:sz w:val="15"/>
          <w:szCs w:val="15"/>
          <w:lang w:val="en-GB" w:eastAsia="en-US"/>
        </w:rPr>
      </w:pPr>
      <w:r>
        <w:rPr>
          <w:rFonts w:ascii="Cambria Math" w:eastAsia="STIXMath-Italic" w:hAnsi="Cambria Math" w:cs="Cambria Math"/>
          <w:i/>
          <w:iCs/>
          <w:sz w:val="20"/>
          <w:szCs w:val="20"/>
          <w:lang w:val="en-GB" w:eastAsia="en-US"/>
        </w:rPr>
        <w:t>𝑦</w:t>
      </w:r>
      <w:r>
        <w:rPr>
          <w:rFonts w:ascii="Cambria Math" w:eastAsia="STIXMath-Italic" w:hAnsi="Cambria Math" w:cs="Cambria Math"/>
          <w:i/>
          <w:iCs/>
          <w:sz w:val="15"/>
          <w:szCs w:val="15"/>
          <w:lang w:val="en-GB" w:eastAsia="en-US"/>
        </w:rPr>
        <w:t>𝑘</w:t>
      </w:r>
      <w:r>
        <w:rPr>
          <w:rFonts w:ascii="STIXMath-Italic" w:eastAsia="STIXMath-Italic" w:hAnsi="STIXGeneral-Regular" w:cs="STIXMath-Italic"/>
          <w:i/>
          <w:iCs/>
          <w:sz w:val="15"/>
          <w:szCs w:val="15"/>
          <w:lang w:val="en-GB" w:eastAsia="en-US"/>
        </w:rPr>
        <w:t xml:space="preserve"> </w:t>
      </w:r>
      <w:r>
        <w:rPr>
          <w:rFonts w:ascii="STIXMath-Regular" w:eastAsia="STIXMath-Regular" w:hAnsi="STIXGeneral-Regular" w:cs="STIXMath-Regular" w:hint="eastAsia"/>
          <w:sz w:val="20"/>
          <w:szCs w:val="20"/>
          <w:lang w:val="en-GB" w:eastAsia="en-US"/>
        </w:rPr>
        <w:t>−</w:t>
      </w:r>
      <w:r>
        <w:rPr>
          <w:rFonts w:ascii="STIXMath-Regular" w:eastAsia="STIXMath-Regular" w:hAnsi="STIXGeneral-Regular" w:cs="STIXMath-Regular"/>
          <w:sz w:val="20"/>
          <w:szCs w:val="20"/>
          <w:lang w:val="en-GB" w:eastAsia="en-US"/>
        </w:rPr>
        <w:t xml:space="preserve"> </w:t>
      </w:r>
      <w:r>
        <w:rPr>
          <w:rFonts w:ascii="Cambria Math" w:eastAsia="STIXMath-Italic" w:hAnsi="Cambria Math" w:cs="Cambria Math"/>
          <w:i/>
          <w:iCs/>
          <w:sz w:val="20"/>
          <w:szCs w:val="20"/>
          <w:lang w:val="en-GB" w:eastAsia="en-US"/>
        </w:rPr>
        <w:t>𝑦</w:t>
      </w:r>
      <w:r>
        <w:rPr>
          <w:rFonts w:ascii="Yu Gothic" w:eastAsia="Yu Gothic" w:hAnsi="Yu Gothic" w:cs="Yu Gothic" w:hint="eastAsia"/>
          <w:i/>
          <w:iCs/>
          <w:sz w:val="20"/>
          <w:szCs w:val="20"/>
          <w:lang w:val="en-GB" w:eastAsia="en-US"/>
        </w:rPr>
        <w:t>̄</w:t>
      </w:r>
      <w:r>
        <w:rPr>
          <w:rFonts w:ascii="Cambria Math" w:eastAsia="STIXMath-Italic" w:hAnsi="Cambria Math" w:cs="Cambria Math"/>
          <w:i/>
          <w:iCs/>
          <w:sz w:val="15"/>
          <w:szCs w:val="15"/>
          <w:lang w:val="en-GB" w:eastAsia="en-US"/>
        </w:rPr>
        <w:t>𝑘</w:t>
      </w:r>
    </w:p>
    <w:p w14:paraId="3DB86441" w14:textId="77777777" w:rsidR="00B76EFE" w:rsidRDefault="00B76EFE" w:rsidP="00B76EFE">
      <w:pPr>
        <w:autoSpaceDE w:val="0"/>
        <w:autoSpaceDN w:val="0"/>
        <w:adjustRightInd w:val="0"/>
        <w:rPr>
          <w:rFonts w:ascii="STIXMathExtensions-Regular" w:eastAsiaTheme="minorHAnsi" w:hAnsi="STIXMathExtensions-Regular" w:cs="STIXMathExtensions-Regular"/>
          <w:sz w:val="20"/>
          <w:szCs w:val="20"/>
          <w:lang w:val="en-GB" w:eastAsia="en-US"/>
        </w:rPr>
      </w:pPr>
      <w:r>
        <w:rPr>
          <w:rFonts w:ascii="STIXMathExtensions-Regular" w:eastAsiaTheme="minorHAnsi" w:hAnsi="STIXMathExtensions-Regular" w:cs="STIXMathExtensions-Regular"/>
          <w:sz w:val="20"/>
          <w:szCs w:val="20"/>
          <w:lang w:val="en-GB" w:eastAsia="en-US"/>
        </w:rPr>
        <w:t>||</w:t>
      </w:r>
    </w:p>
    <w:p w14:paraId="65EAF989" w14:textId="77777777" w:rsidR="00B76EFE" w:rsidRDefault="00B76EFE" w:rsidP="00B76EFE">
      <w:pPr>
        <w:autoSpaceDE w:val="0"/>
        <w:autoSpaceDN w:val="0"/>
        <w:adjustRightInd w:val="0"/>
        <w:rPr>
          <w:rFonts w:ascii="STIXGeneral-Regular" w:eastAsiaTheme="minorHAnsi" w:hAnsi="STIXGeneral-Regular" w:cs="STIXGeneral-Regular"/>
          <w:sz w:val="20"/>
          <w:szCs w:val="20"/>
          <w:lang w:val="en-GB" w:eastAsia="en-US"/>
        </w:rPr>
      </w:pPr>
      <w:r>
        <w:rPr>
          <w:rFonts w:ascii="STIXMath-Italic" w:eastAsia="STIXMath-Italic" w:hAnsi="STIXGeneral-Regular"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(3)</w:t>
      </w:r>
    </w:p>
    <w:p w14:paraId="0273FA81" w14:textId="77777777" w:rsidR="00B76EFE" w:rsidRDefault="00B76EFE" w:rsidP="00B76EFE">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where summation is across the </w:t>
      </w:r>
      <w:r>
        <w:rPr>
          <w:rFonts w:ascii="Cambria Math" w:eastAsia="STIXMath-Italic" w:hAnsi="Cambria Math" w:cs="Cambria Math"/>
          <w:i/>
          <w:iCs/>
          <w:sz w:val="20"/>
          <w:szCs w:val="20"/>
          <w:lang w:val="en-GB" w:eastAsia="en-US"/>
        </w:rPr>
        <w:t>𝐾</w:t>
      </w:r>
      <w:r>
        <w:rPr>
          <w:rFonts w:ascii="STIXMath-Italic" w:eastAsia="STIXMath-Italic" w:hAnsi="STIXGeneral-Regular" w:cs="STIXMath-Italic"/>
          <w:i/>
          <w:iCs/>
          <w:sz w:val="20"/>
          <w:szCs w:val="20"/>
          <w:lang w:val="en-GB" w:eastAsia="en-US"/>
        </w:rPr>
        <w:t xml:space="preserve"> </w:t>
      </w:r>
      <w:r>
        <w:rPr>
          <w:rFonts w:ascii="STIXGeneral-Regular" w:eastAsiaTheme="minorHAnsi" w:hAnsi="STIXGeneral-Regular" w:cs="STIXGeneral-Regular"/>
          <w:sz w:val="20"/>
          <w:szCs w:val="20"/>
          <w:lang w:val="en-GB" w:eastAsia="en-US"/>
        </w:rPr>
        <w:t xml:space="preserve">quantile groups, and </w:t>
      </w:r>
      <w:r>
        <w:rPr>
          <w:rFonts w:ascii="Cambria Math" w:eastAsia="STIXMath-Italic" w:hAnsi="Cambria Math" w:cs="Cambria Math"/>
          <w:i/>
          <w:iCs/>
          <w:sz w:val="20"/>
          <w:szCs w:val="20"/>
          <w:lang w:val="en-GB" w:eastAsia="en-US"/>
        </w:rPr>
        <w:t>𝑦</w:t>
      </w:r>
      <w:r>
        <w:rPr>
          <w:rFonts w:ascii="Yu Gothic" w:eastAsia="Yu Gothic" w:hAnsi="Yu Gothic" w:cs="Yu Gothic" w:hint="eastAsia"/>
          <w:i/>
          <w:iCs/>
          <w:sz w:val="20"/>
          <w:szCs w:val="20"/>
          <w:lang w:val="en-GB" w:eastAsia="en-US"/>
        </w:rPr>
        <w:t>̄</w:t>
      </w:r>
      <w:r>
        <w:rPr>
          <w:rFonts w:ascii="Cambria Math" w:eastAsia="STIXMath-Italic" w:hAnsi="Cambria Math" w:cs="Cambria Math"/>
          <w:i/>
          <w:iCs/>
          <w:sz w:val="15"/>
          <w:szCs w:val="15"/>
          <w:lang w:val="en-GB" w:eastAsia="en-US"/>
        </w:rPr>
        <w:t>𝑘</w:t>
      </w:r>
      <w:r>
        <w:rPr>
          <w:rFonts w:ascii="STIXMath-Italic" w:eastAsia="STIXMath-Italic" w:hAnsi="STIXGeneral-Regular" w:cs="STIXMath-Italic"/>
          <w:i/>
          <w:iCs/>
          <w:sz w:val="15"/>
          <w:szCs w:val="15"/>
          <w:lang w:val="en-GB" w:eastAsia="en-US"/>
        </w:rPr>
        <w:t xml:space="preserve"> </w:t>
      </w:r>
      <w:r>
        <w:rPr>
          <w:rFonts w:ascii="STIXGeneral-Regular" w:eastAsiaTheme="minorHAnsi" w:hAnsi="STIXGeneral-Regular" w:cs="STIXGeneral-Regular"/>
          <w:sz w:val="20"/>
          <w:szCs w:val="20"/>
          <w:lang w:val="en-GB" w:eastAsia="en-US"/>
        </w:rPr>
        <w:t>is</w:t>
      </w:r>
    </w:p>
    <w:p w14:paraId="365DD266" w14:textId="289EB9ED" w:rsidR="00B76EFE" w:rsidRDefault="00B76EFE" w:rsidP="00B76EFE">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the expected value of the outcome evaluated at the mean value</w:t>
      </w:r>
    </w:p>
    <w:p w14:paraId="109476B7" w14:textId="485D5AFD" w:rsidR="00B76EFE" w:rsidRDefault="00B76EFE" w:rsidP="00B76EFE">
      <w:pPr>
        <w:spacing w:after="160" w:line="259" w:lineRule="auto"/>
      </w:pPr>
      <w:r>
        <w:rPr>
          <w:rFonts w:ascii="STIXGeneral-Regular" w:eastAsiaTheme="minorHAnsi" w:hAnsi="STIXGeneral-Regular" w:cs="STIXGeneral-Regular"/>
          <w:sz w:val="20"/>
          <w:szCs w:val="20"/>
          <w:lang w:val="en-GB" w:eastAsia="en-US"/>
        </w:rPr>
        <w:t>of the exposure in each quantile group.</w:t>
      </w:r>
    </w:p>
    <w:p w14:paraId="3EC6BB2C" w14:textId="32F8DF1F" w:rsidR="00842947" w:rsidRDefault="00B76EFE" w:rsidP="007629F7">
      <w:pPr>
        <w:spacing w:after="160" w:line="259" w:lineRule="auto"/>
        <w:rPr>
          <w:rFonts w:cstheme="minorHAnsi"/>
          <w:b/>
          <w:bCs/>
          <w:color w:val="000000" w:themeColor="text1"/>
          <w:lang w:val="en-US"/>
        </w:rPr>
      </w:pPr>
      <w:r>
        <w:t>The heuristic statistic (mean (SD) across simulations) is the sum of the absolute values of the predicted value of the outcome minus the correct value of the outcome at the mean value of the exposure in deciles of the IV-free distribution</w:t>
      </w:r>
    </w:p>
    <w:p w14:paraId="5AE3B2C8" w14:textId="561F6F6B" w:rsidR="00842947" w:rsidRDefault="00842947" w:rsidP="007629F7">
      <w:pPr>
        <w:spacing w:after="160" w:line="259" w:lineRule="auto"/>
        <w:rPr>
          <w:rFonts w:cstheme="minorHAnsi"/>
          <w:b/>
          <w:bCs/>
          <w:color w:val="000000" w:themeColor="text1"/>
          <w:lang w:val="en-US"/>
        </w:rPr>
      </w:pPr>
      <w:r>
        <w:rPr>
          <w:rFonts w:cstheme="minorHAnsi"/>
          <w:b/>
          <w:bCs/>
          <w:color w:val="000000" w:themeColor="text1"/>
          <w:lang w:val="en-US"/>
        </w:rPr>
        <w:t xml:space="preserve">Results </w:t>
      </w:r>
    </w:p>
    <w:p w14:paraId="6A5AE232" w14:textId="2F740C68" w:rsidR="00260BBB" w:rsidRDefault="00260BBB" w:rsidP="00260BBB">
      <w:pPr>
        <w:pStyle w:val="Caption"/>
        <w:keepNext/>
      </w:pPr>
      <w:r>
        <w:t xml:space="preserve">Table </w:t>
      </w:r>
      <w:r w:rsidR="00B33438">
        <w:fldChar w:fldCharType="begin"/>
      </w:r>
      <w:r w:rsidR="00B33438">
        <w:instrText xml:space="preserve"> SEQ Table \* ARABIC </w:instrText>
      </w:r>
      <w:r w:rsidR="00B33438">
        <w:fldChar w:fldCharType="separate"/>
      </w:r>
      <w:r w:rsidR="007130BF">
        <w:rPr>
          <w:noProof/>
        </w:rPr>
        <w:t>2</w:t>
      </w:r>
      <w:r w:rsidR="00B33438">
        <w:rPr>
          <w:noProof/>
        </w:rPr>
        <w:fldChar w:fldCharType="end"/>
      </w:r>
      <w:r>
        <w:t xml:space="preserve"> Simulation results for degree 1 polynomials</w:t>
      </w:r>
    </w:p>
    <w:tbl>
      <w:tblPr>
        <w:tblW w:w="10405" w:type="dxa"/>
        <w:tblInd w:w="-678" w:type="dxa"/>
        <w:tblLayout w:type="fixed"/>
        <w:tblLook w:val="04A0" w:firstRow="1" w:lastRow="0" w:firstColumn="1" w:lastColumn="0" w:noHBand="0" w:noVBand="1"/>
      </w:tblPr>
      <w:tblGrid>
        <w:gridCol w:w="531"/>
        <w:gridCol w:w="567"/>
        <w:gridCol w:w="1702"/>
        <w:gridCol w:w="1134"/>
        <w:gridCol w:w="1559"/>
        <w:gridCol w:w="1134"/>
        <w:gridCol w:w="1134"/>
        <w:gridCol w:w="716"/>
        <w:gridCol w:w="992"/>
        <w:gridCol w:w="930"/>
        <w:gridCol w:w="6"/>
      </w:tblGrid>
      <w:tr w:rsidR="001D19A5" w:rsidRPr="00842947" w14:paraId="4B22326E" w14:textId="77777777" w:rsidTr="00260BBB">
        <w:trPr>
          <w:gridAfter w:val="1"/>
          <w:wAfter w:w="6" w:type="dxa"/>
          <w:trHeight w:val="300"/>
        </w:trPr>
        <w:tc>
          <w:tcPr>
            <w:tcW w:w="531" w:type="dxa"/>
            <w:tcBorders>
              <w:top w:val="nil"/>
              <w:left w:val="nil"/>
              <w:bottom w:val="nil"/>
              <w:right w:val="nil"/>
            </w:tcBorders>
            <w:shd w:val="clear" w:color="auto" w:fill="auto"/>
            <w:noWrap/>
            <w:vAlign w:val="bottom"/>
          </w:tcPr>
          <w:p w14:paraId="69358546" w14:textId="77777777" w:rsidR="001D19A5" w:rsidRDefault="001D19A5" w:rsidP="00701552">
            <w:pPr>
              <w:rPr>
                <w:rFonts w:ascii="Calibri" w:eastAsia="Times New Roman" w:hAnsi="Calibri" w:cs="Calibri"/>
                <w:color w:val="000000"/>
                <w:sz w:val="22"/>
                <w:szCs w:val="22"/>
                <w:lang w:val="en-GB" w:eastAsia="en-GB"/>
              </w:rPr>
            </w:pPr>
          </w:p>
        </w:tc>
        <w:tc>
          <w:tcPr>
            <w:tcW w:w="567" w:type="dxa"/>
            <w:tcBorders>
              <w:top w:val="nil"/>
              <w:left w:val="nil"/>
              <w:bottom w:val="nil"/>
              <w:right w:val="nil"/>
            </w:tcBorders>
            <w:shd w:val="clear" w:color="auto" w:fill="auto"/>
            <w:noWrap/>
            <w:vAlign w:val="bottom"/>
          </w:tcPr>
          <w:p w14:paraId="4546C8F0" w14:textId="77777777" w:rsidR="001D19A5" w:rsidRDefault="001D19A5" w:rsidP="00701552">
            <w:pPr>
              <w:rPr>
                <w:rFonts w:ascii="Calibri" w:eastAsia="Times New Roman" w:hAnsi="Calibri" w:cs="Calibri"/>
                <w:color w:val="000000"/>
                <w:sz w:val="22"/>
                <w:szCs w:val="22"/>
                <w:lang w:val="en-GB" w:eastAsia="en-GB"/>
              </w:rPr>
            </w:pPr>
          </w:p>
        </w:tc>
        <w:tc>
          <w:tcPr>
            <w:tcW w:w="5529" w:type="dxa"/>
            <w:gridSpan w:val="4"/>
            <w:tcBorders>
              <w:top w:val="nil"/>
              <w:left w:val="nil"/>
              <w:bottom w:val="nil"/>
              <w:right w:val="nil"/>
            </w:tcBorders>
            <w:shd w:val="clear" w:color="auto" w:fill="auto"/>
            <w:noWrap/>
            <w:vAlign w:val="bottom"/>
          </w:tcPr>
          <w:p w14:paraId="06884654" w14:textId="5343EF01" w:rsidR="001D19A5" w:rsidRDefault="001D19A5" w:rsidP="00701552">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Fitting correct FP</w:t>
            </w:r>
          </w:p>
        </w:tc>
        <w:tc>
          <w:tcPr>
            <w:tcW w:w="3772" w:type="dxa"/>
            <w:gridSpan w:val="4"/>
            <w:tcBorders>
              <w:top w:val="nil"/>
              <w:left w:val="nil"/>
              <w:bottom w:val="nil"/>
              <w:right w:val="nil"/>
            </w:tcBorders>
            <w:shd w:val="clear" w:color="auto" w:fill="auto"/>
            <w:noWrap/>
            <w:vAlign w:val="bottom"/>
          </w:tcPr>
          <w:p w14:paraId="5FA4AA32" w14:textId="78CD9EA1" w:rsidR="001D19A5" w:rsidRDefault="001D19A5" w:rsidP="00701552">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Fitting all FPs</w:t>
            </w:r>
          </w:p>
        </w:tc>
      </w:tr>
      <w:tr w:rsidR="001D19A5" w:rsidRPr="00842947" w14:paraId="660C0FFA" w14:textId="77777777" w:rsidTr="00260BBB">
        <w:trPr>
          <w:trHeight w:val="300"/>
        </w:trPr>
        <w:tc>
          <w:tcPr>
            <w:tcW w:w="531" w:type="dxa"/>
            <w:tcBorders>
              <w:top w:val="nil"/>
              <w:left w:val="nil"/>
              <w:bottom w:val="nil"/>
              <w:right w:val="nil"/>
            </w:tcBorders>
            <w:shd w:val="clear" w:color="auto" w:fill="auto"/>
            <w:noWrap/>
            <w:vAlign w:val="bottom"/>
          </w:tcPr>
          <w:p w14:paraId="5F52CEA1" w14:textId="77777777" w:rsidR="001D19A5" w:rsidRDefault="001D19A5" w:rsidP="001D19A5">
            <w:pPr>
              <w:rPr>
                <w:rFonts w:ascii="Calibri" w:eastAsia="Times New Roman" w:hAnsi="Calibri" w:cs="Calibri"/>
                <w:color w:val="000000"/>
                <w:sz w:val="22"/>
                <w:szCs w:val="22"/>
                <w:lang w:val="en-GB" w:eastAsia="en-GB"/>
              </w:rPr>
            </w:pPr>
          </w:p>
        </w:tc>
        <w:tc>
          <w:tcPr>
            <w:tcW w:w="567" w:type="dxa"/>
            <w:tcBorders>
              <w:top w:val="nil"/>
              <w:left w:val="nil"/>
              <w:bottom w:val="nil"/>
              <w:right w:val="nil"/>
            </w:tcBorders>
            <w:shd w:val="clear" w:color="auto" w:fill="auto"/>
            <w:noWrap/>
            <w:vAlign w:val="bottom"/>
          </w:tcPr>
          <w:p w14:paraId="06CDD0EE" w14:textId="77777777" w:rsidR="001D19A5" w:rsidRDefault="001D19A5" w:rsidP="001D19A5">
            <w:pPr>
              <w:rPr>
                <w:rFonts w:ascii="Calibri" w:eastAsia="Times New Roman" w:hAnsi="Calibri" w:cs="Calibri"/>
                <w:color w:val="000000"/>
                <w:sz w:val="22"/>
                <w:szCs w:val="22"/>
                <w:lang w:val="en-GB" w:eastAsia="en-GB"/>
              </w:rPr>
            </w:pPr>
          </w:p>
        </w:tc>
        <w:tc>
          <w:tcPr>
            <w:tcW w:w="2836" w:type="dxa"/>
            <w:gridSpan w:val="2"/>
            <w:tcBorders>
              <w:top w:val="nil"/>
              <w:left w:val="nil"/>
              <w:bottom w:val="nil"/>
              <w:right w:val="nil"/>
            </w:tcBorders>
            <w:shd w:val="clear" w:color="auto" w:fill="auto"/>
            <w:noWrap/>
            <w:vAlign w:val="bottom"/>
          </w:tcPr>
          <w:p w14:paraId="0E63DE72" w14:textId="711EEA37"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Individual </w:t>
            </w:r>
          </w:p>
        </w:tc>
        <w:tc>
          <w:tcPr>
            <w:tcW w:w="2693" w:type="dxa"/>
            <w:gridSpan w:val="2"/>
            <w:tcBorders>
              <w:top w:val="nil"/>
              <w:left w:val="nil"/>
              <w:bottom w:val="nil"/>
              <w:right w:val="nil"/>
            </w:tcBorders>
            <w:vAlign w:val="bottom"/>
          </w:tcPr>
          <w:p w14:paraId="2997F772" w14:textId="72B2C7F8"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Semi-summarized </w:t>
            </w:r>
          </w:p>
        </w:tc>
        <w:tc>
          <w:tcPr>
            <w:tcW w:w="1850" w:type="dxa"/>
            <w:gridSpan w:val="2"/>
            <w:tcBorders>
              <w:top w:val="nil"/>
              <w:left w:val="nil"/>
              <w:bottom w:val="nil"/>
              <w:right w:val="nil"/>
            </w:tcBorders>
            <w:shd w:val="clear" w:color="auto" w:fill="auto"/>
            <w:noWrap/>
            <w:vAlign w:val="bottom"/>
          </w:tcPr>
          <w:p w14:paraId="01D0741A" w14:textId="4FAE69D5"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Individual </w:t>
            </w:r>
          </w:p>
        </w:tc>
        <w:tc>
          <w:tcPr>
            <w:tcW w:w="1928" w:type="dxa"/>
            <w:gridSpan w:val="3"/>
            <w:tcBorders>
              <w:top w:val="nil"/>
              <w:left w:val="nil"/>
              <w:bottom w:val="nil"/>
              <w:right w:val="nil"/>
            </w:tcBorders>
            <w:vAlign w:val="bottom"/>
          </w:tcPr>
          <w:p w14:paraId="137AB8B1" w14:textId="4A0C3804"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Semi-summarized</w:t>
            </w:r>
          </w:p>
        </w:tc>
      </w:tr>
      <w:tr w:rsidR="001D19A5" w:rsidRPr="00842947" w14:paraId="12C89AFA" w14:textId="77777777" w:rsidTr="00260BBB">
        <w:trPr>
          <w:trHeight w:val="300"/>
        </w:trPr>
        <w:tc>
          <w:tcPr>
            <w:tcW w:w="531" w:type="dxa"/>
            <w:tcBorders>
              <w:top w:val="nil"/>
              <w:left w:val="nil"/>
              <w:bottom w:val="nil"/>
              <w:right w:val="nil"/>
            </w:tcBorders>
            <w:shd w:val="clear" w:color="auto" w:fill="auto"/>
            <w:noWrap/>
            <w:vAlign w:val="bottom"/>
          </w:tcPr>
          <w:p w14:paraId="53D08A74" w14:textId="77777777" w:rsidR="001D19A5" w:rsidRDefault="001D19A5" w:rsidP="001D19A5">
            <w:pPr>
              <w:rPr>
                <w:rFonts w:ascii="Calibri" w:eastAsia="Times New Roman" w:hAnsi="Calibri" w:cs="Calibri"/>
                <w:color w:val="000000"/>
                <w:sz w:val="22"/>
                <w:szCs w:val="22"/>
                <w:lang w:val="en-GB" w:eastAsia="en-GB"/>
              </w:rPr>
            </w:pPr>
          </w:p>
        </w:tc>
        <w:tc>
          <w:tcPr>
            <w:tcW w:w="567" w:type="dxa"/>
            <w:tcBorders>
              <w:top w:val="nil"/>
              <w:left w:val="nil"/>
              <w:bottom w:val="nil"/>
              <w:right w:val="nil"/>
            </w:tcBorders>
            <w:shd w:val="clear" w:color="auto" w:fill="auto"/>
            <w:noWrap/>
            <w:vAlign w:val="bottom"/>
          </w:tcPr>
          <w:p w14:paraId="025C5D76" w14:textId="77777777" w:rsidR="001D19A5" w:rsidRDefault="001D19A5" w:rsidP="001D19A5">
            <w:pPr>
              <w:rPr>
                <w:rFonts w:ascii="Calibri" w:eastAsia="Times New Roman" w:hAnsi="Calibri" w:cs="Calibri"/>
                <w:color w:val="000000"/>
                <w:sz w:val="22"/>
                <w:szCs w:val="22"/>
                <w:lang w:val="en-GB" w:eastAsia="en-GB"/>
              </w:rPr>
            </w:pPr>
          </w:p>
        </w:tc>
        <w:tc>
          <w:tcPr>
            <w:tcW w:w="1702" w:type="dxa"/>
            <w:tcBorders>
              <w:top w:val="nil"/>
              <w:left w:val="nil"/>
              <w:bottom w:val="nil"/>
              <w:right w:val="nil"/>
            </w:tcBorders>
            <w:shd w:val="clear" w:color="auto" w:fill="auto"/>
            <w:noWrap/>
            <w:vAlign w:val="bottom"/>
          </w:tcPr>
          <w:p w14:paraId="2C7A18C3" w14:textId="49341245"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Mean (SD) </w:t>
            </w:r>
            <w:r>
              <w:rPr>
                <w:rFonts w:ascii="Calibri" w:eastAsia="Times New Roman" w:hAnsi="Calibri" w:cs="Calibri"/>
                <w:color w:val="000000"/>
                <w:sz w:val="22"/>
                <w:szCs w:val="22"/>
                <w:lang w:val="en-GB" w:eastAsia="en-GB"/>
              </w:rPr>
              <w:br/>
              <w:t>[Mean S.E]</w:t>
            </w:r>
          </w:p>
        </w:tc>
        <w:tc>
          <w:tcPr>
            <w:tcW w:w="1134" w:type="dxa"/>
            <w:tcBorders>
              <w:top w:val="nil"/>
              <w:left w:val="nil"/>
              <w:bottom w:val="nil"/>
              <w:right w:val="nil"/>
            </w:tcBorders>
            <w:vAlign w:val="bottom"/>
          </w:tcPr>
          <w:p w14:paraId="6314C0B7" w14:textId="518F9B89"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Coverage</w:t>
            </w:r>
          </w:p>
        </w:tc>
        <w:tc>
          <w:tcPr>
            <w:tcW w:w="1559" w:type="dxa"/>
            <w:tcBorders>
              <w:top w:val="nil"/>
              <w:left w:val="nil"/>
              <w:bottom w:val="nil"/>
              <w:right w:val="nil"/>
            </w:tcBorders>
            <w:vAlign w:val="bottom"/>
          </w:tcPr>
          <w:p w14:paraId="2E320F16" w14:textId="6DADB402"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Mean (SD) </w:t>
            </w:r>
            <w:r>
              <w:rPr>
                <w:rFonts w:ascii="Calibri" w:eastAsia="Times New Roman" w:hAnsi="Calibri" w:cs="Calibri"/>
                <w:color w:val="000000"/>
                <w:sz w:val="22"/>
                <w:szCs w:val="22"/>
                <w:lang w:val="en-GB" w:eastAsia="en-GB"/>
              </w:rPr>
              <w:br/>
              <w:t>[Mean S.E]</w:t>
            </w:r>
          </w:p>
        </w:tc>
        <w:tc>
          <w:tcPr>
            <w:tcW w:w="1134" w:type="dxa"/>
            <w:tcBorders>
              <w:top w:val="nil"/>
              <w:left w:val="nil"/>
              <w:bottom w:val="nil"/>
              <w:right w:val="nil"/>
            </w:tcBorders>
            <w:vAlign w:val="bottom"/>
          </w:tcPr>
          <w:p w14:paraId="51799A54" w14:textId="0447DF77"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Coverage</w:t>
            </w:r>
          </w:p>
        </w:tc>
        <w:tc>
          <w:tcPr>
            <w:tcW w:w="1850" w:type="dxa"/>
            <w:gridSpan w:val="2"/>
            <w:tcBorders>
              <w:top w:val="nil"/>
              <w:left w:val="nil"/>
              <w:bottom w:val="nil"/>
              <w:right w:val="nil"/>
            </w:tcBorders>
            <w:shd w:val="clear" w:color="auto" w:fill="auto"/>
            <w:noWrap/>
            <w:vAlign w:val="bottom"/>
          </w:tcPr>
          <w:p w14:paraId="476980A3" w14:textId="6C628E76"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Powers</w:t>
            </w:r>
          </w:p>
        </w:tc>
        <w:tc>
          <w:tcPr>
            <w:tcW w:w="1928" w:type="dxa"/>
            <w:gridSpan w:val="3"/>
            <w:tcBorders>
              <w:top w:val="nil"/>
              <w:left w:val="nil"/>
              <w:bottom w:val="nil"/>
              <w:right w:val="nil"/>
            </w:tcBorders>
            <w:vAlign w:val="bottom"/>
          </w:tcPr>
          <w:p w14:paraId="2278E3D1" w14:textId="5D885F36"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Powers</w:t>
            </w:r>
          </w:p>
        </w:tc>
      </w:tr>
      <w:tr w:rsidR="00260BBB" w:rsidRPr="00842947" w14:paraId="7CAA0BB7" w14:textId="77777777" w:rsidTr="00260BBB">
        <w:trPr>
          <w:trHeight w:val="365"/>
        </w:trPr>
        <w:tc>
          <w:tcPr>
            <w:tcW w:w="531" w:type="dxa"/>
            <w:tcBorders>
              <w:top w:val="nil"/>
              <w:left w:val="nil"/>
              <w:bottom w:val="nil"/>
              <w:right w:val="nil"/>
            </w:tcBorders>
            <w:shd w:val="clear" w:color="auto" w:fill="auto"/>
            <w:noWrap/>
            <w:vAlign w:val="bottom"/>
            <w:hideMark/>
          </w:tcPr>
          <w:p w14:paraId="733C7A6D" w14:textId="4424FC24" w:rsidR="001D19A5" w:rsidRPr="00842947" w:rsidRDefault="00B33438" w:rsidP="001D19A5">
            <w:pPr>
              <w:rPr>
                <w:rFonts w:ascii="Calibri" w:eastAsia="Times New Roman" w:hAnsi="Calibri" w:cs="Calibri"/>
                <w:color w:val="000000"/>
                <w:sz w:val="22"/>
                <w:szCs w:val="22"/>
                <w:lang w:val="en-GB" w:eastAsia="en-GB"/>
              </w:rPr>
            </w:pPr>
            <m:oMathPara>
              <m:oMath>
                <m:sSub>
                  <m:sSubPr>
                    <m:ctrlPr>
                      <w:rPr>
                        <w:rFonts w:ascii="Cambria Math" w:eastAsia="Times New Roman" w:hAnsi="Cambria Math" w:cs="Calibri"/>
                        <w:i/>
                        <w:color w:val="000000"/>
                        <w:sz w:val="22"/>
                        <w:szCs w:val="22"/>
                        <w:lang w:val="en-GB" w:eastAsia="en-GB"/>
                      </w:rPr>
                    </m:ctrlPr>
                  </m:sSubPr>
                  <m:e>
                    <m:r>
                      <w:rPr>
                        <w:rFonts w:ascii="Cambria Math" w:eastAsia="Times New Roman" w:hAnsi="Cambria Math" w:cs="Calibri"/>
                        <w:color w:val="000000"/>
                        <w:sz w:val="22"/>
                        <w:szCs w:val="22"/>
                        <w:lang w:val="en-GB" w:eastAsia="en-GB"/>
                      </w:rPr>
                      <m:t>p</m:t>
                    </m:r>
                  </m:e>
                  <m:sub>
                    <m:r>
                      <w:rPr>
                        <w:rFonts w:ascii="Cambria Math" w:eastAsia="Times New Roman" w:hAnsi="Cambria Math" w:cs="Calibri"/>
                        <w:color w:val="000000"/>
                        <w:sz w:val="22"/>
                        <w:szCs w:val="22"/>
                        <w:lang w:val="en-GB" w:eastAsia="en-GB"/>
                      </w:rPr>
                      <m:t>1</m:t>
                    </m:r>
                  </m:sub>
                </m:sSub>
              </m:oMath>
            </m:oMathPara>
          </w:p>
        </w:tc>
        <w:tc>
          <w:tcPr>
            <w:tcW w:w="567" w:type="dxa"/>
            <w:tcBorders>
              <w:top w:val="nil"/>
              <w:left w:val="nil"/>
              <w:bottom w:val="nil"/>
              <w:right w:val="nil"/>
            </w:tcBorders>
            <w:shd w:val="clear" w:color="auto" w:fill="auto"/>
            <w:noWrap/>
            <w:vAlign w:val="bottom"/>
            <w:hideMark/>
          </w:tcPr>
          <w:p w14:paraId="72318AA6" w14:textId="1A2473A3" w:rsidR="001D19A5" w:rsidRPr="00842947" w:rsidRDefault="00B33438" w:rsidP="001D19A5">
            <w:pPr>
              <w:rPr>
                <w:rFonts w:ascii="Calibri" w:eastAsia="Times New Roman" w:hAnsi="Calibri" w:cs="Calibri"/>
                <w:color w:val="000000"/>
                <w:sz w:val="22"/>
                <w:szCs w:val="22"/>
                <w:lang w:val="en-GB" w:eastAsia="en-GB"/>
              </w:rPr>
            </w:pPr>
            <m:oMathPara>
              <m:oMath>
                <m:sSub>
                  <m:sSubPr>
                    <m:ctrlPr>
                      <w:rPr>
                        <w:rFonts w:ascii="Cambria Math" w:eastAsia="Times New Roman" w:hAnsi="Cambria Math" w:cs="Calibri"/>
                        <w:i/>
                        <w:color w:val="000000"/>
                        <w:sz w:val="22"/>
                        <w:szCs w:val="22"/>
                        <w:lang w:val="en-GB" w:eastAsia="en-GB"/>
                      </w:rPr>
                    </m:ctrlPr>
                  </m:sSubPr>
                  <m:e>
                    <m:r>
                      <w:rPr>
                        <w:rFonts w:ascii="Cambria Math" w:eastAsia="Times New Roman" w:hAnsi="Cambria Math" w:cs="Calibri"/>
                        <w:color w:val="000000"/>
                        <w:sz w:val="22"/>
                        <w:szCs w:val="22"/>
                        <w:lang w:val="en-GB" w:eastAsia="en-GB"/>
                      </w:rPr>
                      <m:t>β</m:t>
                    </m:r>
                  </m:e>
                  <m:sub>
                    <m:r>
                      <w:rPr>
                        <w:rFonts w:ascii="Cambria Math" w:eastAsia="Times New Roman" w:hAnsi="Cambria Math" w:cs="Calibri"/>
                        <w:color w:val="000000"/>
                        <w:sz w:val="22"/>
                        <w:szCs w:val="22"/>
                        <w:lang w:val="en-GB" w:eastAsia="en-GB"/>
                      </w:rPr>
                      <m:t>1</m:t>
                    </m:r>
                  </m:sub>
                </m:sSub>
                <m:r>
                  <w:rPr>
                    <w:rFonts w:ascii="Cambria Math" w:eastAsia="Times New Roman" w:hAnsi="Cambria Math" w:cs="Calibri"/>
                    <w:color w:val="000000"/>
                    <w:sz w:val="22"/>
                    <w:szCs w:val="22"/>
                    <w:lang w:val="en-GB" w:eastAsia="en-GB"/>
                  </w:rPr>
                  <m:t xml:space="preserve">  </m:t>
                </m:r>
              </m:oMath>
            </m:oMathPara>
          </w:p>
        </w:tc>
        <w:tc>
          <w:tcPr>
            <w:tcW w:w="1702" w:type="dxa"/>
            <w:tcBorders>
              <w:top w:val="nil"/>
              <w:left w:val="nil"/>
              <w:bottom w:val="nil"/>
              <w:right w:val="nil"/>
            </w:tcBorders>
            <w:shd w:val="clear" w:color="auto" w:fill="auto"/>
            <w:noWrap/>
            <w:vAlign w:val="bottom"/>
            <w:hideMark/>
          </w:tcPr>
          <w:p w14:paraId="71A10799" w14:textId="3958ACE9" w:rsidR="001D19A5" w:rsidRPr="00842947" w:rsidRDefault="00B33438" w:rsidP="001D19A5">
            <w:pPr>
              <w:rPr>
                <w:rFonts w:ascii="Calibri" w:eastAsia="Times New Roman" w:hAnsi="Calibri" w:cs="Calibri"/>
                <w:color w:val="000000"/>
                <w:sz w:val="22"/>
                <w:szCs w:val="22"/>
                <w:lang w:val="en-GB" w:eastAsia="en-GB"/>
              </w:rPr>
            </w:pPr>
            <m:oMath>
              <m:sSub>
                <m:sSubPr>
                  <m:ctrlPr>
                    <w:rPr>
                      <w:rFonts w:ascii="Cambria Math" w:eastAsia="Times New Roman" w:hAnsi="Cambria Math" w:cs="Calibri"/>
                      <w:i/>
                      <w:color w:val="000000"/>
                      <w:sz w:val="22"/>
                      <w:szCs w:val="22"/>
                      <w:lang w:val="en-GB" w:eastAsia="en-GB"/>
                    </w:rPr>
                  </m:ctrlPr>
                </m:sSubPr>
                <m:e>
                  <m:r>
                    <w:rPr>
                      <w:rFonts w:ascii="Cambria Math" w:eastAsia="Times New Roman" w:hAnsi="Cambria Math" w:cs="Calibri"/>
                      <w:color w:val="000000"/>
                      <w:sz w:val="22"/>
                      <w:szCs w:val="22"/>
                      <w:lang w:val="en-GB" w:eastAsia="en-GB"/>
                    </w:rPr>
                    <m:t>β</m:t>
                  </m:r>
                </m:e>
                <m:sub>
                  <m:r>
                    <w:rPr>
                      <w:rFonts w:ascii="Cambria Math" w:eastAsia="Times New Roman" w:hAnsi="Cambria Math" w:cs="Calibri"/>
                      <w:color w:val="000000"/>
                      <w:sz w:val="22"/>
                      <w:szCs w:val="22"/>
                      <w:lang w:val="en-GB" w:eastAsia="en-GB"/>
                    </w:rPr>
                    <m:t>1</m:t>
                  </m:r>
                </m:sub>
              </m:sSub>
              <m:r>
                <w:rPr>
                  <w:rFonts w:ascii="Cambria Math" w:eastAsia="Times New Roman" w:hAnsi="Cambria Math" w:cs="Calibri"/>
                  <w:color w:val="000000"/>
                  <w:sz w:val="22"/>
                  <w:szCs w:val="22"/>
                  <w:lang w:val="en-GB" w:eastAsia="en-GB"/>
                </w:rPr>
                <m:t xml:space="preserve">  </m:t>
              </m:r>
            </m:oMath>
            <w:r w:rsidR="001D19A5">
              <w:rPr>
                <w:rFonts w:ascii="Calibri" w:eastAsia="Times New Roman" w:hAnsi="Calibri" w:cs="Calibri"/>
                <w:color w:val="000000"/>
                <w:sz w:val="22"/>
                <w:szCs w:val="22"/>
                <w:lang w:val="en-GB" w:eastAsia="en-GB"/>
              </w:rPr>
              <w:t xml:space="preserve"> </w:t>
            </w:r>
          </w:p>
        </w:tc>
        <w:tc>
          <w:tcPr>
            <w:tcW w:w="1134" w:type="dxa"/>
            <w:tcBorders>
              <w:top w:val="nil"/>
              <w:left w:val="nil"/>
              <w:bottom w:val="nil"/>
              <w:right w:val="nil"/>
            </w:tcBorders>
            <w:vAlign w:val="bottom"/>
          </w:tcPr>
          <w:p w14:paraId="0B3F0426" w14:textId="40D5325F" w:rsidR="001D19A5" w:rsidRDefault="00B33438" w:rsidP="001D19A5">
            <w:pPr>
              <w:rPr>
                <w:rFonts w:ascii="Calibri" w:eastAsia="Times New Roman" w:hAnsi="Calibri" w:cs="Calibri"/>
                <w:color w:val="000000"/>
                <w:sz w:val="22"/>
                <w:szCs w:val="22"/>
                <w:lang w:val="en-GB" w:eastAsia="en-GB"/>
              </w:rPr>
            </w:pPr>
            <m:oMath>
              <m:sSub>
                <m:sSubPr>
                  <m:ctrlPr>
                    <w:rPr>
                      <w:rFonts w:ascii="Cambria Math" w:eastAsia="Times New Roman" w:hAnsi="Cambria Math" w:cs="Calibri"/>
                      <w:i/>
                      <w:color w:val="000000"/>
                      <w:sz w:val="22"/>
                      <w:szCs w:val="22"/>
                      <w:lang w:val="en-GB" w:eastAsia="en-GB"/>
                    </w:rPr>
                  </m:ctrlPr>
                </m:sSubPr>
                <m:e>
                  <m:r>
                    <w:rPr>
                      <w:rFonts w:ascii="Cambria Math" w:eastAsia="Times New Roman" w:hAnsi="Cambria Math" w:cs="Calibri"/>
                      <w:color w:val="000000"/>
                      <w:sz w:val="22"/>
                      <w:szCs w:val="22"/>
                      <w:lang w:val="en-GB" w:eastAsia="en-GB"/>
                    </w:rPr>
                    <m:t>β</m:t>
                  </m:r>
                </m:e>
                <m:sub>
                  <m:r>
                    <w:rPr>
                      <w:rFonts w:ascii="Cambria Math" w:eastAsia="Times New Roman" w:hAnsi="Cambria Math" w:cs="Calibri"/>
                      <w:color w:val="000000"/>
                      <w:sz w:val="22"/>
                      <w:szCs w:val="22"/>
                      <w:lang w:val="en-GB" w:eastAsia="en-GB"/>
                    </w:rPr>
                    <m:t>1</m:t>
                  </m:r>
                </m:sub>
              </m:sSub>
              <m:r>
                <w:rPr>
                  <w:rFonts w:ascii="Cambria Math" w:eastAsia="Times New Roman" w:hAnsi="Cambria Math" w:cs="Calibri"/>
                  <w:color w:val="000000"/>
                  <w:sz w:val="22"/>
                  <w:szCs w:val="22"/>
                  <w:lang w:val="en-GB" w:eastAsia="en-GB"/>
                </w:rPr>
                <m:t xml:space="preserve">  </m:t>
              </m:r>
            </m:oMath>
            <w:r w:rsidR="001D19A5">
              <w:rPr>
                <w:rFonts w:ascii="Calibri" w:eastAsia="Times New Roman" w:hAnsi="Calibri" w:cs="Calibri"/>
                <w:color w:val="000000"/>
                <w:sz w:val="22"/>
                <w:szCs w:val="22"/>
                <w:lang w:val="en-GB" w:eastAsia="en-GB"/>
              </w:rPr>
              <w:t xml:space="preserve"> </w:t>
            </w:r>
          </w:p>
        </w:tc>
        <w:tc>
          <w:tcPr>
            <w:tcW w:w="1559" w:type="dxa"/>
            <w:tcBorders>
              <w:top w:val="nil"/>
              <w:left w:val="nil"/>
              <w:bottom w:val="nil"/>
              <w:right w:val="nil"/>
            </w:tcBorders>
            <w:vAlign w:val="bottom"/>
          </w:tcPr>
          <w:p w14:paraId="0CA8FF17" w14:textId="4977FC53" w:rsidR="001D19A5" w:rsidRDefault="001D19A5" w:rsidP="001D19A5">
            <w:pPr>
              <w:rPr>
                <w:rFonts w:ascii="Calibri" w:eastAsia="Times New Roman" w:hAnsi="Calibri" w:cs="Calibri"/>
                <w:color w:val="000000"/>
                <w:sz w:val="22"/>
                <w:szCs w:val="22"/>
                <w:lang w:val="en-GB" w:eastAsia="en-GB"/>
              </w:rPr>
            </w:pPr>
            <m:oMathPara>
              <m:oMath>
                <m:r>
                  <m:rPr>
                    <m:sty m:val="p"/>
                  </m:rPr>
                  <w:rPr>
                    <w:rFonts w:ascii="Cambria Math" w:eastAsia="Times New Roman" w:hAnsi="Cambria Math" w:cs="Calibri"/>
                    <w:color w:val="000000"/>
                    <w:sz w:val="22"/>
                    <w:szCs w:val="22"/>
                    <w:lang w:val="en-GB" w:eastAsia="en-GB"/>
                  </w:rPr>
                  <w:br/>
                </m:r>
                <m:sSub>
                  <m:sSubPr>
                    <m:ctrlPr>
                      <w:rPr>
                        <w:rFonts w:ascii="Cambria Math" w:eastAsia="Times New Roman" w:hAnsi="Cambria Math" w:cs="Calibri"/>
                        <w:i/>
                        <w:color w:val="000000"/>
                        <w:sz w:val="22"/>
                        <w:szCs w:val="22"/>
                        <w:lang w:val="en-GB" w:eastAsia="en-GB"/>
                      </w:rPr>
                    </m:ctrlPr>
                  </m:sSubPr>
                  <m:e>
                    <m:r>
                      <w:rPr>
                        <w:rFonts w:ascii="Cambria Math" w:eastAsia="Times New Roman" w:hAnsi="Cambria Math" w:cs="Calibri"/>
                        <w:color w:val="000000"/>
                        <w:sz w:val="22"/>
                        <w:szCs w:val="22"/>
                        <w:lang w:val="en-GB" w:eastAsia="en-GB"/>
                      </w:rPr>
                      <m:t>β</m:t>
                    </m:r>
                  </m:e>
                  <m:sub>
                    <m:r>
                      <w:rPr>
                        <w:rFonts w:ascii="Cambria Math" w:eastAsia="Times New Roman" w:hAnsi="Cambria Math" w:cs="Calibri"/>
                        <w:color w:val="000000"/>
                        <w:sz w:val="22"/>
                        <w:szCs w:val="22"/>
                        <w:lang w:val="en-GB" w:eastAsia="en-GB"/>
                      </w:rPr>
                      <m:t>1</m:t>
                    </m:r>
                  </m:sub>
                </m:sSub>
                <m:r>
                  <w:rPr>
                    <w:rFonts w:ascii="Cambria Math" w:eastAsia="Times New Roman" w:hAnsi="Cambria Math" w:cs="Calibri"/>
                    <w:color w:val="000000"/>
                    <w:sz w:val="22"/>
                    <w:szCs w:val="22"/>
                    <w:lang w:val="en-GB" w:eastAsia="en-GB"/>
                  </w:rPr>
                  <m:t xml:space="preserve">  </m:t>
                </m:r>
              </m:oMath>
            </m:oMathPara>
            <w:r>
              <w:rPr>
                <w:rFonts w:ascii="Calibri" w:eastAsia="Times New Roman" w:hAnsi="Calibri" w:cs="Calibri"/>
                <w:color w:val="000000"/>
                <w:sz w:val="22"/>
                <w:szCs w:val="22"/>
                <w:lang w:val="en-GB" w:eastAsia="en-GB"/>
              </w:rPr>
              <w:t xml:space="preserve"> </w:t>
            </w:r>
          </w:p>
        </w:tc>
        <w:tc>
          <w:tcPr>
            <w:tcW w:w="1134" w:type="dxa"/>
            <w:tcBorders>
              <w:top w:val="nil"/>
              <w:left w:val="nil"/>
              <w:bottom w:val="nil"/>
              <w:right w:val="nil"/>
            </w:tcBorders>
            <w:vAlign w:val="bottom"/>
          </w:tcPr>
          <w:p w14:paraId="06FE79AB" w14:textId="7BBB8B7A" w:rsidR="001D19A5" w:rsidRDefault="00B33438" w:rsidP="001D19A5">
            <w:pPr>
              <w:rPr>
                <w:rFonts w:ascii="Calibri" w:eastAsia="Times New Roman" w:hAnsi="Calibri" w:cs="Calibri"/>
                <w:color w:val="000000"/>
                <w:sz w:val="22"/>
                <w:szCs w:val="22"/>
                <w:lang w:val="en-GB" w:eastAsia="en-GB"/>
              </w:rPr>
            </w:pPr>
            <m:oMath>
              <m:sSub>
                <m:sSubPr>
                  <m:ctrlPr>
                    <w:rPr>
                      <w:rFonts w:ascii="Cambria Math" w:eastAsia="Times New Roman" w:hAnsi="Cambria Math" w:cs="Calibri"/>
                      <w:i/>
                      <w:color w:val="000000"/>
                      <w:sz w:val="22"/>
                      <w:szCs w:val="22"/>
                      <w:lang w:val="en-GB" w:eastAsia="en-GB"/>
                    </w:rPr>
                  </m:ctrlPr>
                </m:sSubPr>
                <m:e>
                  <m:r>
                    <w:rPr>
                      <w:rFonts w:ascii="Cambria Math" w:eastAsia="Times New Roman" w:hAnsi="Cambria Math" w:cs="Calibri"/>
                      <w:color w:val="000000"/>
                      <w:sz w:val="22"/>
                      <w:szCs w:val="22"/>
                      <w:lang w:val="en-GB" w:eastAsia="en-GB"/>
                    </w:rPr>
                    <m:t>β</m:t>
                  </m:r>
                </m:e>
                <m:sub>
                  <m:r>
                    <w:rPr>
                      <w:rFonts w:ascii="Cambria Math" w:eastAsia="Times New Roman" w:hAnsi="Cambria Math" w:cs="Calibri"/>
                      <w:color w:val="000000"/>
                      <w:sz w:val="22"/>
                      <w:szCs w:val="22"/>
                      <w:lang w:val="en-GB" w:eastAsia="en-GB"/>
                    </w:rPr>
                    <m:t>1</m:t>
                  </m:r>
                </m:sub>
              </m:sSub>
              <m:r>
                <w:rPr>
                  <w:rFonts w:ascii="Cambria Math" w:eastAsia="Times New Roman" w:hAnsi="Cambria Math" w:cs="Calibri"/>
                  <w:color w:val="000000"/>
                  <w:sz w:val="22"/>
                  <w:szCs w:val="22"/>
                  <w:lang w:val="en-GB" w:eastAsia="en-GB"/>
                </w:rPr>
                <m:t xml:space="preserve">  </m:t>
              </m:r>
            </m:oMath>
            <w:r w:rsidR="001D19A5">
              <w:rPr>
                <w:rFonts w:ascii="Calibri" w:eastAsia="Times New Roman" w:hAnsi="Calibri" w:cs="Calibri"/>
                <w:color w:val="000000"/>
                <w:sz w:val="22"/>
                <w:szCs w:val="22"/>
                <w:lang w:val="en-GB" w:eastAsia="en-GB"/>
              </w:rPr>
              <w:t xml:space="preserve"> </w:t>
            </w:r>
          </w:p>
        </w:tc>
        <w:tc>
          <w:tcPr>
            <w:tcW w:w="1134" w:type="dxa"/>
            <w:tcBorders>
              <w:top w:val="nil"/>
              <w:left w:val="nil"/>
              <w:bottom w:val="nil"/>
              <w:right w:val="nil"/>
            </w:tcBorders>
            <w:shd w:val="clear" w:color="auto" w:fill="auto"/>
            <w:noWrap/>
            <w:vAlign w:val="bottom"/>
            <w:hideMark/>
          </w:tcPr>
          <w:p w14:paraId="22559805" w14:textId="50C17E06" w:rsidR="001D19A5" w:rsidRPr="00842947"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Correct</w:t>
            </w:r>
          </w:p>
        </w:tc>
        <w:tc>
          <w:tcPr>
            <w:tcW w:w="716" w:type="dxa"/>
            <w:tcBorders>
              <w:top w:val="nil"/>
              <w:left w:val="nil"/>
              <w:bottom w:val="nil"/>
              <w:right w:val="nil"/>
            </w:tcBorders>
            <w:vAlign w:val="bottom"/>
          </w:tcPr>
          <w:p w14:paraId="777E9E7A" w14:textId="7C2FB6A4"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Set</w:t>
            </w:r>
          </w:p>
        </w:tc>
        <w:tc>
          <w:tcPr>
            <w:tcW w:w="992" w:type="dxa"/>
            <w:tcBorders>
              <w:top w:val="nil"/>
              <w:left w:val="nil"/>
              <w:bottom w:val="nil"/>
              <w:right w:val="nil"/>
            </w:tcBorders>
            <w:vAlign w:val="bottom"/>
          </w:tcPr>
          <w:p w14:paraId="6A54C686" w14:textId="543025B6" w:rsidR="001D19A5"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Correct</w:t>
            </w:r>
          </w:p>
        </w:tc>
        <w:tc>
          <w:tcPr>
            <w:tcW w:w="936" w:type="dxa"/>
            <w:gridSpan w:val="2"/>
            <w:tcBorders>
              <w:top w:val="nil"/>
              <w:left w:val="nil"/>
              <w:bottom w:val="nil"/>
              <w:right w:val="nil"/>
            </w:tcBorders>
            <w:shd w:val="clear" w:color="auto" w:fill="auto"/>
            <w:noWrap/>
            <w:vAlign w:val="bottom"/>
            <w:hideMark/>
          </w:tcPr>
          <w:p w14:paraId="48B5AC91" w14:textId="56239321" w:rsidR="001D19A5" w:rsidRPr="00842947" w:rsidRDefault="001D19A5" w:rsidP="001D19A5">
            <w:pPr>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Set</w:t>
            </w:r>
          </w:p>
        </w:tc>
      </w:tr>
      <w:tr w:rsidR="001D19A5" w:rsidRPr="00842947" w14:paraId="33884024" w14:textId="77777777" w:rsidTr="00260BBB">
        <w:trPr>
          <w:trHeight w:val="300"/>
        </w:trPr>
        <w:tc>
          <w:tcPr>
            <w:tcW w:w="531" w:type="dxa"/>
            <w:tcBorders>
              <w:top w:val="nil"/>
              <w:left w:val="nil"/>
              <w:bottom w:val="nil"/>
              <w:right w:val="nil"/>
            </w:tcBorders>
            <w:shd w:val="clear" w:color="auto" w:fill="auto"/>
            <w:noWrap/>
            <w:vAlign w:val="bottom"/>
            <w:hideMark/>
          </w:tcPr>
          <w:p w14:paraId="3AA7E2A1" w14:textId="77777777"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w:t>
            </w:r>
          </w:p>
        </w:tc>
        <w:tc>
          <w:tcPr>
            <w:tcW w:w="567" w:type="dxa"/>
            <w:tcBorders>
              <w:top w:val="nil"/>
              <w:left w:val="nil"/>
              <w:bottom w:val="nil"/>
              <w:right w:val="nil"/>
            </w:tcBorders>
            <w:shd w:val="clear" w:color="auto" w:fill="auto"/>
            <w:noWrap/>
            <w:vAlign w:val="bottom"/>
            <w:hideMark/>
          </w:tcPr>
          <w:p w14:paraId="55AE159A" w14:textId="77777777"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w:t>
            </w:r>
          </w:p>
        </w:tc>
        <w:tc>
          <w:tcPr>
            <w:tcW w:w="1702" w:type="dxa"/>
            <w:tcBorders>
              <w:top w:val="nil"/>
              <w:left w:val="nil"/>
              <w:bottom w:val="nil"/>
              <w:right w:val="nil"/>
            </w:tcBorders>
            <w:shd w:val="clear" w:color="auto" w:fill="auto"/>
            <w:noWrap/>
            <w:vAlign w:val="bottom"/>
            <w:hideMark/>
          </w:tcPr>
          <w:p w14:paraId="127F89FE" w14:textId="09217F3F"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0.00</w:t>
            </w:r>
            <w:r>
              <w:rPr>
                <w:rFonts w:ascii="Calibri" w:eastAsia="Times New Roman" w:hAnsi="Calibri" w:cs="Calibri"/>
                <w:color w:val="000000"/>
                <w:sz w:val="22"/>
                <w:szCs w:val="22"/>
                <w:lang w:val="en-GB" w:eastAsia="en-GB"/>
              </w:rPr>
              <w:t xml:space="preserve"> (0.22) [0.21]</w:t>
            </w:r>
          </w:p>
        </w:tc>
        <w:tc>
          <w:tcPr>
            <w:tcW w:w="1134" w:type="dxa"/>
            <w:tcBorders>
              <w:top w:val="nil"/>
              <w:left w:val="nil"/>
              <w:bottom w:val="nil"/>
              <w:right w:val="nil"/>
            </w:tcBorders>
            <w:vAlign w:val="bottom"/>
          </w:tcPr>
          <w:p w14:paraId="02914C90" w14:textId="6763186B"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0.95</w:t>
            </w:r>
          </w:p>
        </w:tc>
        <w:tc>
          <w:tcPr>
            <w:tcW w:w="1559" w:type="dxa"/>
            <w:tcBorders>
              <w:top w:val="nil"/>
              <w:left w:val="nil"/>
              <w:bottom w:val="nil"/>
              <w:right w:val="nil"/>
            </w:tcBorders>
            <w:vAlign w:val="bottom"/>
          </w:tcPr>
          <w:p w14:paraId="4E17B6FB" w14:textId="498A6569" w:rsidR="001D19A5" w:rsidRDefault="001D19A5" w:rsidP="001D19A5">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0.00</w:t>
            </w:r>
            <w:r>
              <w:rPr>
                <w:rFonts w:ascii="Calibri" w:eastAsia="Times New Roman" w:hAnsi="Calibri" w:cs="Calibri"/>
                <w:color w:val="000000"/>
                <w:sz w:val="22"/>
                <w:szCs w:val="22"/>
                <w:lang w:val="en-GB" w:eastAsia="en-GB"/>
              </w:rPr>
              <w:t xml:space="preserve"> (0.22) [0.21]</w:t>
            </w:r>
          </w:p>
        </w:tc>
        <w:tc>
          <w:tcPr>
            <w:tcW w:w="1134" w:type="dxa"/>
            <w:tcBorders>
              <w:top w:val="nil"/>
              <w:left w:val="nil"/>
              <w:bottom w:val="nil"/>
              <w:right w:val="nil"/>
            </w:tcBorders>
            <w:vAlign w:val="bottom"/>
          </w:tcPr>
          <w:p w14:paraId="4AFFD8B6" w14:textId="1ECEFCBA"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hideMark/>
          </w:tcPr>
          <w:p w14:paraId="7A54E82D" w14:textId="28E717E2" w:rsidR="001D19A5" w:rsidRPr="00842947" w:rsidRDefault="004F6B9B" w:rsidP="001D19A5">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w:t>
            </w:r>
          </w:p>
        </w:tc>
        <w:tc>
          <w:tcPr>
            <w:tcW w:w="716" w:type="dxa"/>
            <w:tcBorders>
              <w:top w:val="nil"/>
              <w:left w:val="nil"/>
              <w:bottom w:val="nil"/>
              <w:right w:val="nil"/>
            </w:tcBorders>
            <w:vAlign w:val="bottom"/>
          </w:tcPr>
          <w:p w14:paraId="473E7372" w14:textId="4B834773" w:rsidR="001D19A5" w:rsidRDefault="004F6B9B" w:rsidP="001D19A5">
            <w:pPr>
              <w:jc w:val="right"/>
              <w:rPr>
                <w:rFonts w:ascii="Calibri" w:hAnsi="Calibri" w:cs="Calibri"/>
                <w:color w:val="000000"/>
                <w:sz w:val="22"/>
                <w:szCs w:val="22"/>
              </w:rPr>
            </w:pPr>
            <w:r>
              <w:rPr>
                <w:rFonts w:ascii="Calibri" w:hAnsi="Calibri" w:cs="Calibri"/>
                <w:color w:val="000000"/>
                <w:sz w:val="22"/>
                <w:szCs w:val="22"/>
              </w:rPr>
              <w:t>-</w:t>
            </w:r>
          </w:p>
        </w:tc>
        <w:tc>
          <w:tcPr>
            <w:tcW w:w="992" w:type="dxa"/>
            <w:tcBorders>
              <w:top w:val="nil"/>
              <w:left w:val="nil"/>
              <w:bottom w:val="nil"/>
              <w:right w:val="nil"/>
            </w:tcBorders>
            <w:vAlign w:val="bottom"/>
          </w:tcPr>
          <w:p w14:paraId="29112A7F" w14:textId="198E6C01" w:rsidR="001D19A5" w:rsidRDefault="004F6B9B" w:rsidP="001D19A5">
            <w:pPr>
              <w:jc w:val="right"/>
              <w:rPr>
                <w:rFonts w:ascii="Calibri" w:hAnsi="Calibri" w:cs="Calibri"/>
                <w:color w:val="000000"/>
                <w:sz w:val="22"/>
                <w:szCs w:val="22"/>
              </w:rPr>
            </w:pPr>
            <w:r>
              <w:rPr>
                <w:rFonts w:ascii="Calibri" w:hAnsi="Calibri" w:cs="Calibri"/>
                <w:color w:val="000000"/>
                <w:sz w:val="22"/>
                <w:szCs w:val="22"/>
              </w:rPr>
              <w:t>-</w:t>
            </w:r>
          </w:p>
        </w:tc>
        <w:tc>
          <w:tcPr>
            <w:tcW w:w="936" w:type="dxa"/>
            <w:gridSpan w:val="2"/>
            <w:tcBorders>
              <w:top w:val="nil"/>
              <w:left w:val="nil"/>
              <w:bottom w:val="nil"/>
              <w:right w:val="nil"/>
            </w:tcBorders>
            <w:shd w:val="clear" w:color="auto" w:fill="auto"/>
            <w:noWrap/>
            <w:vAlign w:val="bottom"/>
            <w:hideMark/>
          </w:tcPr>
          <w:p w14:paraId="265C0714" w14:textId="25CFBA69" w:rsidR="001D19A5" w:rsidRPr="00842947" w:rsidRDefault="004F6B9B" w:rsidP="001D19A5">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w:t>
            </w:r>
          </w:p>
        </w:tc>
      </w:tr>
      <w:tr w:rsidR="001D19A5" w:rsidRPr="00842947" w14:paraId="34EEB915" w14:textId="77777777" w:rsidTr="00260BBB">
        <w:trPr>
          <w:trHeight w:val="300"/>
        </w:trPr>
        <w:tc>
          <w:tcPr>
            <w:tcW w:w="531" w:type="dxa"/>
            <w:tcBorders>
              <w:top w:val="nil"/>
              <w:left w:val="nil"/>
              <w:bottom w:val="nil"/>
              <w:right w:val="nil"/>
            </w:tcBorders>
            <w:shd w:val="clear" w:color="auto" w:fill="auto"/>
            <w:noWrap/>
            <w:vAlign w:val="bottom"/>
            <w:hideMark/>
          </w:tcPr>
          <w:p w14:paraId="57F7645E" w14:textId="77777777"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w:t>
            </w:r>
          </w:p>
        </w:tc>
        <w:tc>
          <w:tcPr>
            <w:tcW w:w="567" w:type="dxa"/>
            <w:tcBorders>
              <w:top w:val="nil"/>
              <w:left w:val="nil"/>
              <w:bottom w:val="nil"/>
              <w:right w:val="nil"/>
            </w:tcBorders>
            <w:shd w:val="clear" w:color="auto" w:fill="auto"/>
            <w:noWrap/>
            <w:vAlign w:val="bottom"/>
            <w:hideMark/>
          </w:tcPr>
          <w:p w14:paraId="48D24317" w14:textId="77777777"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w:t>
            </w:r>
          </w:p>
        </w:tc>
        <w:tc>
          <w:tcPr>
            <w:tcW w:w="1702" w:type="dxa"/>
            <w:tcBorders>
              <w:top w:val="nil"/>
              <w:left w:val="nil"/>
              <w:bottom w:val="nil"/>
              <w:right w:val="nil"/>
            </w:tcBorders>
            <w:shd w:val="clear" w:color="auto" w:fill="auto"/>
            <w:noWrap/>
            <w:vAlign w:val="bottom"/>
            <w:hideMark/>
          </w:tcPr>
          <w:p w14:paraId="45649422" w14:textId="08193C86"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0.99</w:t>
            </w:r>
            <w:r>
              <w:rPr>
                <w:rFonts w:ascii="Calibri" w:eastAsia="Times New Roman" w:hAnsi="Calibri" w:cs="Calibri"/>
                <w:color w:val="000000"/>
                <w:sz w:val="22"/>
                <w:szCs w:val="22"/>
                <w:lang w:val="en-GB" w:eastAsia="en-GB"/>
              </w:rPr>
              <w:t xml:space="preserve"> (0.21) [0.21]</w:t>
            </w:r>
          </w:p>
        </w:tc>
        <w:tc>
          <w:tcPr>
            <w:tcW w:w="1134" w:type="dxa"/>
            <w:tcBorders>
              <w:top w:val="nil"/>
              <w:left w:val="nil"/>
              <w:bottom w:val="nil"/>
              <w:right w:val="nil"/>
            </w:tcBorders>
            <w:vAlign w:val="bottom"/>
          </w:tcPr>
          <w:p w14:paraId="47BD14DF" w14:textId="5FACBFB9"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0.94</w:t>
            </w:r>
          </w:p>
        </w:tc>
        <w:tc>
          <w:tcPr>
            <w:tcW w:w="1559" w:type="dxa"/>
            <w:tcBorders>
              <w:top w:val="nil"/>
              <w:left w:val="nil"/>
              <w:bottom w:val="nil"/>
              <w:right w:val="nil"/>
            </w:tcBorders>
            <w:vAlign w:val="bottom"/>
          </w:tcPr>
          <w:p w14:paraId="1C1719EB" w14:textId="5D614123" w:rsidR="001D19A5" w:rsidRDefault="001D19A5" w:rsidP="001D19A5">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0.99</w:t>
            </w:r>
            <w:r>
              <w:rPr>
                <w:rFonts w:ascii="Calibri" w:eastAsia="Times New Roman" w:hAnsi="Calibri" w:cs="Calibri"/>
                <w:color w:val="000000"/>
                <w:sz w:val="22"/>
                <w:szCs w:val="22"/>
                <w:lang w:val="en-GB" w:eastAsia="en-GB"/>
              </w:rPr>
              <w:t xml:space="preserve"> (0.21) [0.21]</w:t>
            </w:r>
          </w:p>
        </w:tc>
        <w:tc>
          <w:tcPr>
            <w:tcW w:w="1134" w:type="dxa"/>
            <w:tcBorders>
              <w:top w:val="nil"/>
              <w:left w:val="nil"/>
              <w:bottom w:val="nil"/>
              <w:right w:val="nil"/>
            </w:tcBorders>
            <w:vAlign w:val="bottom"/>
          </w:tcPr>
          <w:p w14:paraId="73C28E7B" w14:textId="05C22E7C"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0.94</w:t>
            </w:r>
          </w:p>
        </w:tc>
        <w:tc>
          <w:tcPr>
            <w:tcW w:w="1134" w:type="dxa"/>
            <w:tcBorders>
              <w:top w:val="nil"/>
              <w:left w:val="nil"/>
              <w:bottom w:val="nil"/>
              <w:right w:val="nil"/>
            </w:tcBorders>
            <w:shd w:val="clear" w:color="auto" w:fill="auto"/>
            <w:noWrap/>
            <w:vAlign w:val="bottom"/>
            <w:hideMark/>
          </w:tcPr>
          <w:p w14:paraId="401D8F5A" w14:textId="10FA10A8" w:rsidR="001D19A5" w:rsidRPr="00842947" w:rsidRDefault="001D19A5" w:rsidP="001D19A5">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0.18</w:t>
            </w:r>
          </w:p>
        </w:tc>
        <w:tc>
          <w:tcPr>
            <w:tcW w:w="716" w:type="dxa"/>
            <w:tcBorders>
              <w:top w:val="nil"/>
              <w:left w:val="nil"/>
              <w:bottom w:val="nil"/>
              <w:right w:val="nil"/>
            </w:tcBorders>
            <w:vAlign w:val="bottom"/>
          </w:tcPr>
          <w:p w14:paraId="14EC4116" w14:textId="59CB6AE3"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0.91</w:t>
            </w:r>
          </w:p>
        </w:tc>
        <w:tc>
          <w:tcPr>
            <w:tcW w:w="992" w:type="dxa"/>
            <w:tcBorders>
              <w:top w:val="nil"/>
              <w:left w:val="nil"/>
              <w:bottom w:val="nil"/>
              <w:right w:val="nil"/>
            </w:tcBorders>
            <w:vAlign w:val="bottom"/>
          </w:tcPr>
          <w:p w14:paraId="6E05790D" w14:textId="15810894"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0.18</w:t>
            </w:r>
          </w:p>
        </w:tc>
        <w:tc>
          <w:tcPr>
            <w:tcW w:w="936" w:type="dxa"/>
            <w:gridSpan w:val="2"/>
            <w:tcBorders>
              <w:top w:val="nil"/>
              <w:left w:val="nil"/>
              <w:bottom w:val="nil"/>
              <w:right w:val="nil"/>
            </w:tcBorders>
            <w:shd w:val="clear" w:color="auto" w:fill="auto"/>
            <w:noWrap/>
            <w:vAlign w:val="bottom"/>
            <w:hideMark/>
          </w:tcPr>
          <w:p w14:paraId="49113A19" w14:textId="28457395" w:rsidR="001D19A5" w:rsidRPr="00842947" w:rsidRDefault="001D19A5" w:rsidP="001D19A5">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0.91</w:t>
            </w:r>
          </w:p>
        </w:tc>
      </w:tr>
      <w:tr w:rsidR="001D19A5" w:rsidRPr="00842947" w14:paraId="7D1DA6FC" w14:textId="77777777" w:rsidTr="00260BBB">
        <w:trPr>
          <w:trHeight w:val="300"/>
        </w:trPr>
        <w:tc>
          <w:tcPr>
            <w:tcW w:w="531" w:type="dxa"/>
            <w:tcBorders>
              <w:top w:val="nil"/>
              <w:left w:val="nil"/>
              <w:bottom w:val="nil"/>
              <w:right w:val="nil"/>
            </w:tcBorders>
            <w:shd w:val="clear" w:color="auto" w:fill="auto"/>
            <w:noWrap/>
            <w:vAlign w:val="bottom"/>
            <w:hideMark/>
          </w:tcPr>
          <w:p w14:paraId="4444C10A" w14:textId="77777777"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w:t>
            </w:r>
          </w:p>
        </w:tc>
        <w:tc>
          <w:tcPr>
            <w:tcW w:w="567" w:type="dxa"/>
            <w:tcBorders>
              <w:top w:val="nil"/>
              <w:left w:val="nil"/>
              <w:bottom w:val="nil"/>
              <w:right w:val="nil"/>
            </w:tcBorders>
            <w:shd w:val="clear" w:color="auto" w:fill="auto"/>
            <w:noWrap/>
            <w:vAlign w:val="bottom"/>
            <w:hideMark/>
          </w:tcPr>
          <w:p w14:paraId="1CAE6384" w14:textId="77777777"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w:t>
            </w:r>
          </w:p>
        </w:tc>
        <w:tc>
          <w:tcPr>
            <w:tcW w:w="1702" w:type="dxa"/>
            <w:tcBorders>
              <w:top w:val="nil"/>
              <w:left w:val="nil"/>
              <w:bottom w:val="nil"/>
              <w:right w:val="nil"/>
            </w:tcBorders>
            <w:shd w:val="clear" w:color="auto" w:fill="auto"/>
            <w:noWrap/>
            <w:vAlign w:val="bottom"/>
            <w:hideMark/>
          </w:tcPr>
          <w:p w14:paraId="692C9259" w14:textId="7293CAF7" w:rsidR="001D19A5" w:rsidRPr="00842947" w:rsidRDefault="001D19A5" w:rsidP="001D19A5">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1.97</w:t>
            </w:r>
            <w:r>
              <w:rPr>
                <w:rFonts w:ascii="Calibri" w:eastAsia="Times New Roman" w:hAnsi="Calibri" w:cs="Calibri"/>
                <w:color w:val="000000"/>
                <w:sz w:val="22"/>
                <w:szCs w:val="22"/>
                <w:lang w:val="en-GB" w:eastAsia="en-GB"/>
              </w:rPr>
              <w:t xml:space="preserve"> (0.22) [0.21]</w:t>
            </w:r>
          </w:p>
        </w:tc>
        <w:tc>
          <w:tcPr>
            <w:tcW w:w="1134" w:type="dxa"/>
            <w:tcBorders>
              <w:top w:val="nil"/>
              <w:left w:val="nil"/>
              <w:bottom w:val="nil"/>
              <w:right w:val="nil"/>
            </w:tcBorders>
            <w:vAlign w:val="bottom"/>
          </w:tcPr>
          <w:p w14:paraId="70896533" w14:textId="014409E8"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0.95</w:t>
            </w:r>
          </w:p>
        </w:tc>
        <w:tc>
          <w:tcPr>
            <w:tcW w:w="1559" w:type="dxa"/>
            <w:tcBorders>
              <w:top w:val="nil"/>
              <w:left w:val="nil"/>
              <w:bottom w:val="nil"/>
              <w:right w:val="nil"/>
            </w:tcBorders>
            <w:vAlign w:val="bottom"/>
          </w:tcPr>
          <w:p w14:paraId="6AC92A94" w14:textId="770CCD4E" w:rsidR="001D19A5" w:rsidRDefault="001D19A5" w:rsidP="001D19A5">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1.97</w:t>
            </w:r>
            <w:r>
              <w:rPr>
                <w:rFonts w:ascii="Calibri" w:eastAsia="Times New Roman" w:hAnsi="Calibri" w:cs="Calibri"/>
                <w:color w:val="000000"/>
                <w:sz w:val="22"/>
                <w:szCs w:val="22"/>
                <w:lang w:val="en-GB" w:eastAsia="en-GB"/>
              </w:rPr>
              <w:t xml:space="preserve"> (0.22) [0.21]</w:t>
            </w:r>
          </w:p>
        </w:tc>
        <w:tc>
          <w:tcPr>
            <w:tcW w:w="1134" w:type="dxa"/>
            <w:tcBorders>
              <w:top w:val="nil"/>
              <w:left w:val="nil"/>
              <w:bottom w:val="nil"/>
              <w:right w:val="nil"/>
            </w:tcBorders>
            <w:vAlign w:val="bottom"/>
          </w:tcPr>
          <w:p w14:paraId="2072E205" w14:textId="057E0665"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hideMark/>
          </w:tcPr>
          <w:p w14:paraId="3C113F91" w14:textId="41F14852" w:rsidR="001D19A5" w:rsidRPr="00842947" w:rsidRDefault="001D19A5" w:rsidP="001D19A5">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0.36</w:t>
            </w:r>
          </w:p>
        </w:tc>
        <w:tc>
          <w:tcPr>
            <w:tcW w:w="716" w:type="dxa"/>
            <w:tcBorders>
              <w:top w:val="nil"/>
              <w:left w:val="nil"/>
              <w:bottom w:val="nil"/>
              <w:right w:val="nil"/>
            </w:tcBorders>
            <w:vAlign w:val="bottom"/>
          </w:tcPr>
          <w:p w14:paraId="0427D549" w14:textId="386F4F71"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0.90</w:t>
            </w:r>
          </w:p>
        </w:tc>
        <w:tc>
          <w:tcPr>
            <w:tcW w:w="992" w:type="dxa"/>
            <w:tcBorders>
              <w:top w:val="nil"/>
              <w:left w:val="nil"/>
              <w:bottom w:val="nil"/>
              <w:right w:val="nil"/>
            </w:tcBorders>
            <w:vAlign w:val="bottom"/>
          </w:tcPr>
          <w:p w14:paraId="112E5B45" w14:textId="44E89875" w:rsidR="001D19A5" w:rsidRDefault="001D19A5" w:rsidP="001D19A5">
            <w:pPr>
              <w:jc w:val="right"/>
              <w:rPr>
                <w:rFonts w:ascii="Calibri" w:hAnsi="Calibri" w:cs="Calibri"/>
                <w:color w:val="000000"/>
                <w:sz w:val="22"/>
                <w:szCs w:val="22"/>
              </w:rPr>
            </w:pPr>
            <w:r>
              <w:rPr>
                <w:rFonts w:ascii="Calibri" w:hAnsi="Calibri" w:cs="Calibri"/>
                <w:color w:val="000000"/>
                <w:sz w:val="22"/>
                <w:szCs w:val="22"/>
              </w:rPr>
              <w:t>0.36</w:t>
            </w:r>
          </w:p>
        </w:tc>
        <w:tc>
          <w:tcPr>
            <w:tcW w:w="936" w:type="dxa"/>
            <w:gridSpan w:val="2"/>
            <w:tcBorders>
              <w:top w:val="nil"/>
              <w:left w:val="nil"/>
              <w:bottom w:val="nil"/>
              <w:right w:val="nil"/>
            </w:tcBorders>
            <w:shd w:val="clear" w:color="auto" w:fill="auto"/>
            <w:noWrap/>
            <w:vAlign w:val="bottom"/>
            <w:hideMark/>
          </w:tcPr>
          <w:p w14:paraId="7CC06CDF" w14:textId="52DF224E" w:rsidR="001D19A5" w:rsidRPr="00842947" w:rsidRDefault="001D19A5" w:rsidP="001D19A5">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0.90</w:t>
            </w:r>
          </w:p>
        </w:tc>
      </w:tr>
      <w:tr w:rsidR="004F6B9B" w:rsidRPr="00842947" w14:paraId="51498143" w14:textId="77777777" w:rsidTr="00260BBB">
        <w:trPr>
          <w:trHeight w:val="300"/>
        </w:trPr>
        <w:tc>
          <w:tcPr>
            <w:tcW w:w="531" w:type="dxa"/>
            <w:tcBorders>
              <w:top w:val="nil"/>
              <w:left w:val="nil"/>
              <w:bottom w:val="nil"/>
              <w:right w:val="nil"/>
            </w:tcBorders>
            <w:shd w:val="clear" w:color="auto" w:fill="auto"/>
            <w:noWrap/>
            <w:vAlign w:val="bottom"/>
            <w:hideMark/>
          </w:tcPr>
          <w:p w14:paraId="4AE0FA68"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0.5</w:t>
            </w:r>
          </w:p>
        </w:tc>
        <w:tc>
          <w:tcPr>
            <w:tcW w:w="567" w:type="dxa"/>
            <w:tcBorders>
              <w:top w:val="nil"/>
              <w:left w:val="nil"/>
              <w:bottom w:val="nil"/>
              <w:right w:val="nil"/>
            </w:tcBorders>
            <w:shd w:val="clear" w:color="auto" w:fill="auto"/>
            <w:noWrap/>
            <w:vAlign w:val="bottom"/>
            <w:hideMark/>
          </w:tcPr>
          <w:p w14:paraId="33F33841"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w:t>
            </w:r>
          </w:p>
        </w:tc>
        <w:tc>
          <w:tcPr>
            <w:tcW w:w="1702" w:type="dxa"/>
            <w:tcBorders>
              <w:top w:val="nil"/>
              <w:left w:val="nil"/>
              <w:bottom w:val="nil"/>
              <w:right w:val="nil"/>
            </w:tcBorders>
            <w:shd w:val="clear" w:color="auto" w:fill="auto"/>
            <w:noWrap/>
            <w:vAlign w:val="bottom"/>
            <w:hideMark/>
          </w:tcPr>
          <w:p w14:paraId="14C1F29A" w14:textId="4D772F7C"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-0.01</w:t>
            </w:r>
            <w:r>
              <w:rPr>
                <w:rFonts w:ascii="Calibri" w:eastAsia="Times New Roman" w:hAnsi="Calibri" w:cs="Calibri"/>
                <w:color w:val="000000"/>
                <w:sz w:val="22"/>
                <w:szCs w:val="22"/>
                <w:lang w:val="en-GB" w:eastAsia="en-GB"/>
              </w:rPr>
              <w:t xml:space="preserve"> (0.23) [0.23]</w:t>
            </w:r>
          </w:p>
        </w:tc>
        <w:tc>
          <w:tcPr>
            <w:tcW w:w="1134" w:type="dxa"/>
            <w:tcBorders>
              <w:top w:val="nil"/>
              <w:left w:val="nil"/>
              <w:bottom w:val="nil"/>
              <w:right w:val="nil"/>
            </w:tcBorders>
            <w:vAlign w:val="bottom"/>
          </w:tcPr>
          <w:p w14:paraId="4268F241" w14:textId="2A3CB9C3"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0.96</w:t>
            </w:r>
          </w:p>
        </w:tc>
        <w:tc>
          <w:tcPr>
            <w:tcW w:w="1559" w:type="dxa"/>
            <w:tcBorders>
              <w:top w:val="nil"/>
              <w:left w:val="nil"/>
              <w:bottom w:val="nil"/>
              <w:right w:val="nil"/>
            </w:tcBorders>
            <w:vAlign w:val="bottom"/>
          </w:tcPr>
          <w:p w14:paraId="4ABCF006" w14:textId="412D1143"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-0.01</w:t>
            </w:r>
            <w:r>
              <w:rPr>
                <w:rFonts w:ascii="Calibri" w:eastAsia="Times New Roman" w:hAnsi="Calibri" w:cs="Calibri"/>
                <w:color w:val="000000"/>
                <w:sz w:val="22"/>
                <w:szCs w:val="22"/>
                <w:lang w:val="en-GB" w:eastAsia="en-GB"/>
              </w:rPr>
              <w:t xml:space="preserve"> (0.23) [0.23]</w:t>
            </w:r>
          </w:p>
        </w:tc>
        <w:tc>
          <w:tcPr>
            <w:tcW w:w="1134" w:type="dxa"/>
            <w:tcBorders>
              <w:top w:val="nil"/>
              <w:left w:val="nil"/>
              <w:bottom w:val="nil"/>
              <w:right w:val="nil"/>
            </w:tcBorders>
            <w:vAlign w:val="bottom"/>
          </w:tcPr>
          <w:p w14:paraId="51D254BD" w14:textId="4EC7FEC6"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0.96</w:t>
            </w:r>
          </w:p>
        </w:tc>
        <w:tc>
          <w:tcPr>
            <w:tcW w:w="1134" w:type="dxa"/>
            <w:tcBorders>
              <w:top w:val="nil"/>
              <w:left w:val="nil"/>
              <w:bottom w:val="nil"/>
              <w:right w:val="nil"/>
            </w:tcBorders>
            <w:shd w:val="clear" w:color="auto" w:fill="auto"/>
            <w:noWrap/>
            <w:vAlign w:val="bottom"/>
            <w:hideMark/>
          </w:tcPr>
          <w:p w14:paraId="38E6ADC5" w14:textId="0409CCA3"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w:t>
            </w:r>
          </w:p>
        </w:tc>
        <w:tc>
          <w:tcPr>
            <w:tcW w:w="716" w:type="dxa"/>
            <w:tcBorders>
              <w:top w:val="nil"/>
              <w:left w:val="nil"/>
              <w:bottom w:val="nil"/>
              <w:right w:val="nil"/>
            </w:tcBorders>
            <w:vAlign w:val="bottom"/>
          </w:tcPr>
          <w:p w14:paraId="5366D238" w14:textId="76E51050"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w:t>
            </w:r>
          </w:p>
        </w:tc>
        <w:tc>
          <w:tcPr>
            <w:tcW w:w="992" w:type="dxa"/>
            <w:tcBorders>
              <w:top w:val="nil"/>
              <w:left w:val="nil"/>
              <w:bottom w:val="nil"/>
              <w:right w:val="nil"/>
            </w:tcBorders>
            <w:vAlign w:val="bottom"/>
          </w:tcPr>
          <w:p w14:paraId="5909DE10" w14:textId="0D0116DF"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w:t>
            </w:r>
          </w:p>
        </w:tc>
        <w:tc>
          <w:tcPr>
            <w:tcW w:w="936" w:type="dxa"/>
            <w:gridSpan w:val="2"/>
            <w:tcBorders>
              <w:top w:val="nil"/>
              <w:left w:val="nil"/>
              <w:bottom w:val="nil"/>
              <w:right w:val="nil"/>
            </w:tcBorders>
            <w:shd w:val="clear" w:color="auto" w:fill="auto"/>
            <w:noWrap/>
            <w:vAlign w:val="bottom"/>
            <w:hideMark/>
          </w:tcPr>
          <w:p w14:paraId="04A5375C" w14:textId="4019DCA5"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w:t>
            </w:r>
          </w:p>
        </w:tc>
      </w:tr>
      <w:tr w:rsidR="004F6B9B" w:rsidRPr="00842947" w14:paraId="207B4725" w14:textId="77777777" w:rsidTr="00260BBB">
        <w:trPr>
          <w:trHeight w:val="300"/>
        </w:trPr>
        <w:tc>
          <w:tcPr>
            <w:tcW w:w="531" w:type="dxa"/>
            <w:tcBorders>
              <w:top w:val="nil"/>
              <w:left w:val="nil"/>
              <w:bottom w:val="nil"/>
              <w:right w:val="nil"/>
            </w:tcBorders>
            <w:shd w:val="clear" w:color="auto" w:fill="auto"/>
            <w:noWrap/>
            <w:vAlign w:val="bottom"/>
            <w:hideMark/>
          </w:tcPr>
          <w:p w14:paraId="0EDE72BE"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0.5</w:t>
            </w:r>
          </w:p>
        </w:tc>
        <w:tc>
          <w:tcPr>
            <w:tcW w:w="567" w:type="dxa"/>
            <w:tcBorders>
              <w:top w:val="nil"/>
              <w:left w:val="nil"/>
              <w:bottom w:val="nil"/>
              <w:right w:val="nil"/>
            </w:tcBorders>
            <w:shd w:val="clear" w:color="auto" w:fill="auto"/>
            <w:noWrap/>
            <w:vAlign w:val="bottom"/>
            <w:hideMark/>
          </w:tcPr>
          <w:p w14:paraId="06E4A6D6"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w:t>
            </w:r>
          </w:p>
        </w:tc>
        <w:tc>
          <w:tcPr>
            <w:tcW w:w="1702" w:type="dxa"/>
            <w:tcBorders>
              <w:top w:val="nil"/>
              <w:left w:val="nil"/>
              <w:bottom w:val="nil"/>
              <w:right w:val="nil"/>
            </w:tcBorders>
            <w:shd w:val="clear" w:color="auto" w:fill="auto"/>
            <w:noWrap/>
            <w:vAlign w:val="bottom"/>
            <w:hideMark/>
          </w:tcPr>
          <w:p w14:paraId="0CE121FB" w14:textId="15A94305"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0.99</w:t>
            </w:r>
            <w:r>
              <w:rPr>
                <w:rFonts w:ascii="Calibri" w:eastAsia="Times New Roman" w:hAnsi="Calibri" w:cs="Calibri"/>
                <w:color w:val="000000"/>
                <w:sz w:val="22"/>
                <w:szCs w:val="22"/>
                <w:lang w:val="en-GB" w:eastAsia="en-GB"/>
              </w:rPr>
              <w:t xml:space="preserve"> (0.24) [0.24] </w:t>
            </w:r>
          </w:p>
        </w:tc>
        <w:tc>
          <w:tcPr>
            <w:tcW w:w="1134" w:type="dxa"/>
            <w:tcBorders>
              <w:top w:val="nil"/>
              <w:left w:val="nil"/>
              <w:bottom w:val="nil"/>
              <w:right w:val="nil"/>
            </w:tcBorders>
            <w:vAlign w:val="bottom"/>
          </w:tcPr>
          <w:p w14:paraId="481FAFF9" w14:textId="76AF3552"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0.94</w:t>
            </w:r>
          </w:p>
        </w:tc>
        <w:tc>
          <w:tcPr>
            <w:tcW w:w="1559" w:type="dxa"/>
            <w:tcBorders>
              <w:top w:val="nil"/>
              <w:left w:val="nil"/>
              <w:bottom w:val="nil"/>
              <w:right w:val="nil"/>
            </w:tcBorders>
            <w:vAlign w:val="bottom"/>
          </w:tcPr>
          <w:p w14:paraId="28C65B0E" w14:textId="78FC0EC7"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0.99</w:t>
            </w:r>
            <w:r>
              <w:rPr>
                <w:rFonts w:ascii="Calibri" w:eastAsia="Times New Roman" w:hAnsi="Calibri" w:cs="Calibri"/>
                <w:color w:val="000000"/>
                <w:sz w:val="22"/>
                <w:szCs w:val="22"/>
                <w:lang w:val="en-GB" w:eastAsia="en-GB"/>
              </w:rPr>
              <w:t xml:space="preserve"> (0.24) [0.23] </w:t>
            </w:r>
          </w:p>
        </w:tc>
        <w:tc>
          <w:tcPr>
            <w:tcW w:w="1134" w:type="dxa"/>
            <w:tcBorders>
              <w:top w:val="nil"/>
              <w:left w:val="nil"/>
              <w:bottom w:val="nil"/>
              <w:right w:val="nil"/>
            </w:tcBorders>
            <w:vAlign w:val="bottom"/>
          </w:tcPr>
          <w:p w14:paraId="79ED7BD9" w14:textId="6985C09A"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0.94</w:t>
            </w:r>
          </w:p>
        </w:tc>
        <w:tc>
          <w:tcPr>
            <w:tcW w:w="1134" w:type="dxa"/>
            <w:tcBorders>
              <w:top w:val="nil"/>
              <w:left w:val="nil"/>
              <w:bottom w:val="nil"/>
              <w:right w:val="nil"/>
            </w:tcBorders>
            <w:shd w:val="clear" w:color="auto" w:fill="auto"/>
            <w:noWrap/>
            <w:vAlign w:val="bottom"/>
            <w:hideMark/>
          </w:tcPr>
          <w:p w14:paraId="0F96431D" w14:textId="1A4D40F1"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0.17</w:t>
            </w:r>
          </w:p>
        </w:tc>
        <w:tc>
          <w:tcPr>
            <w:tcW w:w="716" w:type="dxa"/>
            <w:tcBorders>
              <w:top w:val="nil"/>
              <w:left w:val="nil"/>
              <w:bottom w:val="nil"/>
              <w:right w:val="nil"/>
            </w:tcBorders>
            <w:vAlign w:val="bottom"/>
          </w:tcPr>
          <w:p w14:paraId="5CCB7752" w14:textId="0E7EE5D7"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0.91</w:t>
            </w:r>
          </w:p>
        </w:tc>
        <w:tc>
          <w:tcPr>
            <w:tcW w:w="992" w:type="dxa"/>
            <w:tcBorders>
              <w:top w:val="nil"/>
              <w:left w:val="nil"/>
              <w:bottom w:val="nil"/>
              <w:right w:val="nil"/>
            </w:tcBorders>
            <w:vAlign w:val="bottom"/>
          </w:tcPr>
          <w:p w14:paraId="0F781054" w14:textId="1E221EEF"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0.17</w:t>
            </w:r>
          </w:p>
        </w:tc>
        <w:tc>
          <w:tcPr>
            <w:tcW w:w="936" w:type="dxa"/>
            <w:gridSpan w:val="2"/>
            <w:tcBorders>
              <w:top w:val="nil"/>
              <w:left w:val="nil"/>
              <w:bottom w:val="nil"/>
              <w:right w:val="nil"/>
            </w:tcBorders>
            <w:shd w:val="clear" w:color="auto" w:fill="auto"/>
            <w:noWrap/>
            <w:vAlign w:val="bottom"/>
            <w:hideMark/>
          </w:tcPr>
          <w:p w14:paraId="12995C6C" w14:textId="081165A4"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0.91</w:t>
            </w:r>
          </w:p>
        </w:tc>
      </w:tr>
      <w:tr w:rsidR="004F6B9B" w:rsidRPr="00842947" w14:paraId="2AFA9F22" w14:textId="77777777" w:rsidTr="00260BBB">
        <w:trPr>
          <w:trHeight w:val="300"/>
        </w:trPr>
        <w:tc>
          <w:tcPr>
            <w:tcW w:w="531" w:type="dxa"/>
            <w:tcBorders>
              <w:top w:val="nil"/>
              <w:left w:val="nil"/>
              <w:bottom w:val="nil"/>
              <w:right w:val="nil"/>
            </w:tcBorders>
            <w:shd w:val="clear" w:color="auto" w:fill="auto"/>
            <w:noWrap/>
            <w:vAlign w:val="bottom"/>
            <w:hideMark/>
          </w:tcPr>
          <w:p w14:paraId="3FE0EEA3"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0.5</w:t>
            </w:r>
          </w:p>
        </w:tc>
        <w:tc>
          <w:tcPr>
            <w:tcW w:w="567" w:type="dxa"/>
            <w:tcBorders>
              <w:top w:val="nil"/>
              <w:left w:val="nil"/>
              <w:bottom w:val="nil"/>
              <w:right w:val="nil"/>
            </w:tcBorders>
            <w:shd w:val="clear" w:color="auto" w:fill="auto"/>
            <w:noWrap/>
            <w:vAlign w:val="bottom"/>
            <w:hideMark/>
          </w:tcPr>
          <w:p w14:paraId="332FADC5"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w:t>
            </w:r>
          </w:p>
        </w:tc>
        <w:tc>
          <w:tcPr>
            <w:tcW w:w="1702" w:type="dxa"/>
            <w:tcBorders>
              <w:top w:val="nil"/>
              <w:left w:val="nil"/>
              <w:bottom w:val="nil"/>
              <w:right w:val="nil"/>
            </w:tcBorders>
            <w:shd w:val="clear" w:color="auto" w:fill="auto"/>
            <w:noWrap/>
            <w:vAlign w:val="bottom"/>
            <w:hideMark/>
          </w:tcPr>
          <w:p w14:paraId="472A2E24" w14:textId="1C642FDD"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1.99</w:t>
            </w:r>
            <w:r>
              <w:rPr>
                <w:rFonts w:ascii="Calibri" w:eastAsia="Times New Roman" w:hAnsi="Calibri" w:cs="Calibri"/>
                <w:color w:val="000000"/>
                <w:sz w:val="22"/>
                <w:szCs w:val="22"/>
                <w:lang w:val="en-GB" w:eastAsia="en-GB"/>
              </w:rPr>
              <w:t xml:space="preserve"> (0.23) [0.24]</w:t>
            </w:r>
          </w:p>
        </w:tc>
        <w:tc>
          <w:tcPr>
            <w:tcW w:w="1134" w:type="dxa"/>
            <w:tcBorders>
              <w:top w:val="nil"/>
              <w:left w:val="nil"/>
              <w:bottom w:val="nil"/>
              <w:right w:val="nil"/>
            </w:tcBorders>
            <w:vAlign w:val="bottom"/>
          </w:tcPr>
          <w:p w14:paraId="730E3BCE" w14:textId="3A9D7B12"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1559" w:type="dxa"/>
            <w:tcBorders>
              <w:top w:val="nil"/>
              <w:left w:val="nil"/>
              <w:bottom w:val="nil"/>
              <w:right w:val="nil"/>
            </w:tcBorders>
            <w:vAlign w:val="bottom"/>
          </w:tcPr>
          <w:p w14:paraId="06DCD0FA" w14:textId="78CFE785"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1.99</w:t>
            </w:r>
            <w:r>
              <w:rPr>
                <w:rFonts w:ascii="Calibri" w:eastAsia="Times New Roman" w:hAnsi="Calibri" w:cs="Calibri"/>
                <w:color w:val="000000"/>
                <w:sz w:val="22"/>
                <w:szCs w:val="22"/>
                <w:lang w:val="en-GB" w:eastAsia="en-GB"/>
              </w:rPr>
              <w:t xml:space="preserve"> (0.23) [0.24]</w:t>
            </w:r>
          </w:p>
        </w:tc>
        <w:tc>
          <w:tcPr>
            <w:tcW w:w="1134" w:type="dxa"/>
            <w:tcBorders>
              <w:top w:val="nil"/>
              <w:left w:val="nil"/>
              <w:bottom w:val="nil"/>
              <w:right w:val="nil"/>
            </w:tcBorders>
            <w:vAlign w:val="bottom"/>
          </w:tcPr>
          <w:p w14:paraId="33F6C6B8" w14:textId="4B3AC982"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hideMark/>
          </w:tcPr>
          <w:p w14:paraId="2B6AF221" w14:textId="79B51ADB"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0.41</w:t>
            </w:r>
          </w:p>
        </w:tc>
        <w:tc>
          <w:tcPr>
            <w:tcW w:w="716" w:type="dxa"/>
            <w:tcBorders>
              <w:top w:val="nil"/>
              <w:left w:val="nil"/>
              <w:bottom w:val="nil"/>
              <w:right w:val="nil"/>
            </w:tcBorders>
            <w:vAlign w:val="bottom"/>
          </w:tcPr>
          <w:p w14:paraId="7DFABDF5" w14:textId="121785A6"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0.92</w:t>
            </w:r>
          </w:p>
        </w:tc>
        <w:tc>
          <w:tcPr>
            <w:tcW w:w="992" w:type="dxa"/>
            <w:tcBorders>
              <w:top w:val="nil"/>
              <w:left w:val="nil"/>
              <w:bottom w:val="nil"/>
              <w:right w:val="nil"/>
            </w:tcBorders>
            <w:vAlign w:val="bottom"/>
          </w:tcPr>
          <w:p w14:paraId="70C84E00" w14:textId="6D7E9844"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0.41</w:t>
            </w:r>
          </w:p>
        </w:tc>
        <w:tc>
          <w:tcPr>
            <w:tcW w:w="936" w:type="dxa"/>
            <w:gridSpan w:val="2"/>
            <w:tcBorders>
              <w:top w:val="nil"/>
              <w:left w:val="nil"/>
              <w:bottom w:val="nil"/>
              <w:right w:val="nil"/>
            </w:tcBorders>
            <w:shd w:val="clear" w:color="auto" w:fill="auto"/>
            <w:noWrap/>
            <w:vAlign w:val="bottom"/>
            <w:hideMark/>
          </w:tcPr>
          <w:p w14:paraId="40D79EF9" w14:textId="1CA37F02"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0.92</w:t>
            </w:r>
          </w:p>
        </w:tc>
      </w:tr>
      <w:tr w:rsidR="004F6B9B" w:rsidRPr="00842947" w14:paraId="4E389388" w14:textId="77777777" w:rsidTr="00260BBB">
        <w:trPr>
          <w:trHeight w:val="300"/>
        </w:trPr>
        <w:tc>
          <w:tcPr>
            <w:tcW w:w="531" w:type="dxa"/>
            <w:tcBorders>
              <w:top w:val="nil"/>
              <w:left w:val="nil"/>
              <w:bottom w:val="nil"/>
              <w:right w:val="nil"/>
            </w:tcBorders>
            <w:shd w:val="clear" w:color="auto" w:fill="auto"/>
            <w:noWrap/>
            <w:vAlign w:val="bottom"/>
            <w:hideMark/>
          </w:tcPr>
          <w:p w14:paraId="1CB28C03"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w:t>
            </w:r>
          </w:p>
        </w:tc>
        <w:tc>
          <w:tcPr>
            <w:tcW w:w="567" w:type="dxa"/>
            <w:tcBorders>
              <w:top w:val="nil"/>
              <w:left w:val="nil"/>
              <w:bottom w:val="nil"/>
              <w:right w:val="nil"/>
            </w:tcBorders>
            <w:shd w:val="clear" w:color="auto" w:fill="auto"/>
            <w:noWrap/>
            <w:vAlign w:val="bottom"/>
            <w:hideMark/>
          </w:tcPr>
          <w:p w14:paraId="08B2092A"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w:t>
            </w:r>
          </w:p>
        </w:tc>
        <w:tc>
          <w:tcPr>
            <w:tcW w:w="1702" w:type="dxa"/>
            <w:tcBorders>
              <w:top w:val="nil"/>
              <w:left w:val="nil"/>
              <w:bottom w:val="nil"/>
              <w:right w:val="nil"/>
            </w:tcBorders>
            <w:shd w:val="clear" w:color="auto" w:fill="auto"/>
            <w:noWrap/>
            <w:vAlign w:val="bottom"/>
            <w:hideMark/>
          </w:tcPr>
          <w:p w14:paraId="31163AF8" w14:textId="0FE1CC71"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-0.01</w:t>
            </w:r>
            <w:r>
              <w:rPr>
                <w:rFonts w:ascii="Calibri" w:eastAsia="Times New Roman" w:hAnsi="Calibri" w:cs="Calibri"/>
                <w:color w:val="000000"/>
                <w:sz w:val="22"/>
                <w:szCs w:val="22"/>
                <w:lang w:val="en-GB" w:eastAsia="en-GB"/>
              </w:rPr>
              <w:t xml:space="preserve"> (0.06) [0.06]</w:t>
            </w:r>
          </w:p>
        </w:tc>
        <w:tc>
          <w:tcPr>
            <w:tcW w:w="1134" w:type="dxa"/>
            <w:tcBorders>
              <w:top w:val="nil"/>
              <w:left w:val="nil"/>
              <w:bottom w:val="nil"/>
              <w:right w:val="nil"/>
            </w:tcBorders>
            <w:vAlign w:val="bottom"/>
          </w:tcPr>
          <w:p w14:paraId="6712C488" w14:textId="46872F8A"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1559" w:type="dxa"/>
            <w:tcBorders>
              <w:top w:val="nil"/>
              <w:left w:val="nil"/>
              <w:bottom w:val="nil"/>
              <w:right w:val="nil"/>
            </w:tcBorders>
            <w:vAlign w:val="bottom"/>
          </w:tcPr>
          <w:p w14:paraId="194D89A2" w14:textId="5AF1C3A3"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-0.01</w:t>
            </w:r>
            <w:r>
              <w:rPr>
                <w:rFonts w:ascii="Calibri" w:eastAsia="Times New Roman" w:hAnsi="Calibri" w:cs="Calibri"/>
                <w:color w:val="000000"/>
                <w:sz w:val="22"/>
                <w:szCs w:val="22"/>
                <w:lang w:val="en-GB" w:eastAsia="en-GB"/>
              </w:rPr>
              <w:t xml:space="preserve"> (0.06) [0.06]</w:t>
            </w:r>
          </w:p>
        </w:tc>
        <w:tc>
          <w:tcPr>
            <w:tcW w:w="1134" w:type="dxa"/>
            <w:tcBorders>
              <w:top w:val="nil"/>
              <w:left w:val="nil"/>
              <w:bottom w:val="nil"/>
              <w:right w:val="nil"/>
            </w:tcBorders>
            <w:vAlign w:val="bottom"/>
          </w:tcPr>
          <w:p w14:paraId="0D227F74" w14:textId="295159D8"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hideMark/>
          </w:tcPr>
          <w:p w14:paraId="16BFD103" w14:textId="7093BEB1"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w:t>
            </w:r>
          </w:p>
        </w:tc>
        <w:tc>
          <w:tcPr>
            <w:tcW w:w="716" w:type="dxa"/>
            <w:tcBorders>
              <w:top w:val="nil"/>
              <w:left w:val="nil"/>
              <w:bottom w:val="nil"/>
              <w:right w:val="nil"/>
            </w:tcBorders>
            <w:vAlign w:val="bottom"/>
          </w:tcPr>
          <w:p w14:paraId="0681170C" w14:textId="0C806ECD"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w:t>
            </w:r>
          </w:p>
        </w:tc>
        <w:tc>
          <w:tcPr>
            <w:tcW w:w="992" w:type="dxa"/>
            <w:tcBorders>
              <w:top w:val="nil"/>
              <w:left w:val="nil"/>
              <w:bottom w:val="nil"/>
              <w:right w:val="nil"/>
            </w:tcBorders>
            <w:vAlign w:val="bottom"/>
          </w:tcPr>
          <w:p w14:paraId="6EEE28C1" w14:textId="20B46FA4"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w:t>
            </w:r>
          </w:p>
        </w:tc>
        <w:tc>
          <w:tcPr>
            <w:tcW w:w="936" w:type="dxa"/>
            <w:gridSpan w:val="2"/>
            <w:tcBorders>
              <w:top w:val="nil"/>
              <w:left w:val="nil"/>
              <w:bottom w:val="nil"/>
              <w:right w:val="nil"/>
            </w:tcBorders>
            <w:shd w:val="clear" w:color="auto" w:fill="auto"/>
            <w:noWrap/>
            <w:vAlign w:val="bottom"/>
            <w:hideMark/>
          </w:tcPr>
          <w:p w14:paraId="57C225FF" w14:textId="36378BF2"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w:t>
            </w:r>
          </w:p>
        </w:tc>
      </w:tr>
      <w:tr w:rsidR="004F6B9B" w:rsidRPr="00842947" w14:paraId="37F4BB8A" w14:textId="77777777" w:rsidTr="00260BBB">
        <w:trPr>
          <w:trHeight w:val="300"/>
        </w:trPr>
        <w:tc>
          <w:tcPr>
            <w:tcW w:w="531" w:type="dxa"/>
            <w:tcBorders>
              <w:top w:val="nil"/>
              <w:left w:val="nil"/>
              <w:bottom w:val="nil"/>
              <w:right w:val="nil"/>
            </w:tcBorders>
            <w:shd w:val="clear" w:color="auto" w:fill="auto"/>
            <w:noWrap/>
            <w:vAlign w:val="bottom"/>
            <w:hideMark/>
          </w:tcPr>
          <w:p w14:paraId="73189CCB"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w:t>
            </w:r>
          </w:p>
        </w:tc>
        <w:tc>
          <w:tcPr>
            <w:tcW w:w="567" w:type="dxa"/>
            <w:tcBorders>
              <w:top w:val="nil"/>
              <w:left w:val="nil"/>
              <w:bottom w:val="nil"/>
              <w:right w:val="nil"/>
            </w:tcBorders>
            <w:shd w:val="clear" w:color="auto" w:fill="auto"/>
            <w:noWrap/>
            <w:vAlign w:val="bottom"/>
            <w:hideMark/>
          </w:tcPr>
          <w:p w14:paraId="12440E5C"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w:t>
            </w:r>
          </w:p>
        </w:tc>
        <w:tc>
          <w:tcPr>
            <w:tcW w:w="1702" w:type="dxa"/>
            <w:tcBorders>
              <w:top w:val="nil"/>
              <w:left w:val="nil"/>
              <w:bottom w:val="nil"/>
              <w:right w:val="nil"/>
            </w:tcBorders>
            <w:shd w:val="clear" w:color="auto" w:fill="auto"/>
            <w:noWrap/>
            <w:vAlign w:val="bottom"/>
            <w:hideMark/>
          </w:tcPr>
          <w:p w14:paraId="57E7A794" w14:textId="31620724"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1.00</w:t>
            </w:r>
            <w:r>
              <w:rPr>
                <w:rFonts w:ascii="Calibri" w:eastAsia="Times New Roman" w:hAnsi="Calibri" w:cs="Calibri"/>
                <w:color w:val="000000"/>
                <w:sz w:val="22"/>
                <w:szCs w:val="22"/>
                <w:lang w:val="en-GB" w:eastAsia="en-GB"/>
              </w:rPr>
              <w:t xml:space="preserve"> (0.07) [0.06]</w:t>
            </w:r>
          </w:p>
        </w:tc>
        <w:tc>
          <w:tcPr>
            <w:tcW w:w="1134" w:type="dxa"/>
            <w:tcBorders>
              <w:top w:val="nil"/>
              <w:left w:val="nil"/>
              <w:bottom w:val="nil"/>
              <w:right w:val="nil"/>
            </w:tcBorders>
            <w:vAlign w:val="bottom"/>
          </w:tcPr>
          <w:p w14:paraId="5BD1FF93" w14:textId="4B379E58"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1559" w:type="dxa"/>
            <w:tcBorders>
              <w:top w:val="nil"/>
              <w:left w:val="nil"/>
              <w:bottom w:val="nil"/>
              <w:right w:val="nil"/>
            </w:tcBorders>
            <w:vAlign w:val="bottom"/>
          </w:tcPr>
          <w:p w14:paraId="11A909A5" w14:textId="07EB3AD4"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1.00</w:t>
            </w:r>
            <w:r>
              <w:rPr>
                <w:rFonts w:ascii="Calibri" w:eastAsia="Times New Roman" w:hAnsi="Calibri" w:cs="Calibri"/>
                <w:color w:val="000000"/>
                <w:sz w:val="22"/>
                <w:szCs w:val="22"/>
                <w:lang w:val="en-GB" w:eastAsia="en-GB"/>
              </w:rPr>
              <w:t xml:space="preserve"> (0.07) [0.06]</w:t>
            </w:r>
          </w:p>
        </w:tc>
        <w:tc>
          <w:tcPr>
            <w:tcW w:w="1134" w:type="dxa"/>
            <w:tcBorders>
              <w:top w:val="nil"/>
              <w:left w:val="nil"/>
              <w:bottom w:val="nil"/>
              <w:right w:val="nil"/>
            </w:tcBorders>
            <w:vAlign w:val="bottom"/>
          </w:tcPr>
          <w:p w14:paraId="0C030579" w14:textId="30F0703D"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hideMark/>
          </w:tcPr>
          <w:p w14:paraId="15A8D830" w14:textId="15AC76AF"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0.78</w:t>
            </w:r>
          </w:p>
        </w:tc>
        <w:tc>
          <w:tcPr>
            <w:tcW w:w="716" w:type="dxa"/>
            <w:tcBorders>
              <w:top w:val="nil"/>
              <w:left w:val="nil"/>
              <w:bottom w:val="nil"/>
              <w:right w:val="nil"/>
            </w:tcBorders>
            <w:vAlign w:val="bottom"/>
          </w:tcPr>
          <w:p w14:paraId="4EDD8BAD" w14:textId="0A3A6828"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992" w:type="dxa"/>
            <w:tcBorders>
              <w:top w:val="nil"/>
              <w:left w:val="nil"/>
              <w:bottom w:val="nil"/>
              <w:right w:val="nil"/>
            </w:tcBorders>
            <w:vAlign w:val="bottom"/>
          </w:tcPr>
          <w:p w14:paraId="35E26A09" w14:textId="7B784607"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0.78</w:t>
            </w:r>
          </w:p>
        </w:tc>
        <w:tc>
          <w:tcPr>
            <w:tcW w:w="936" w:type="dxa"/>
            <w:gridSpan w:val="2"/>
            <w:tcBorders>
              <w:top w:val="nil"/>
              <w:left w:val="nil"/>
              <w:bottom w:val="nil"/>
              <w:right w:val="nil"/>
            </w:tcBorders>
            <w:shd w:val="clear" w:color="auto" w:fill="auto"/>
            <w:noWrap/>
            <w:vAlign w:val="bottom"/>
            <w:hideMark/>
          </w:tcPr>
          <w:p w14:paraId="097A6802" w14:textId="1E46F794"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0.95</w:t>
            </w:r>
          </w:p>
        </w:tc>
      </w:tr>
      <w:tr w:rsidR="004F6B9B" w:rsidRPr="00842947" w14:paraId="62779808" w14:textId="77777777" w:rsidTr="00260BBB">
        <w:trPr>
          <w:trHeight w:val="300"/>
        </w:trPr>
        <w:tc>
          <w:tcPr>
            <w:tcW w:w="531" w:type="dxa"/>
            <w:tcBorders>
              <w:top w:val="nil"/>
              <w:left w:val="nil"/>
              <w:bottom w:val="nil"/>
              <w:right w:val="nil"/>
            </w:tcBorders>
            <w:shd w:val="clear" w:color="auto" w:fill="auto"/>
            <w:noWrap/>
            <w:vAlign w:val="bottom"/>
            <w:hideMark/>
          </w:tcPr>
          <w:p w14:paraId="28A76F99"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w:t>
            </w:r>
          </w:p>
        </w:tc>
        <w:tc>
          <w:tcPr>
            <w:tcW w:w="567" w:type="dxa"/>
            <w:tcBorders>
              <w:top w:val="nil"/>
              <w:left w:val="nil"/>
              <w:bottom w:val="nil"/>
              <w:right w:val="nil"/>
            </w:tcBorders>
            <w:shd w:val="clear" w:color="auto" w:fill="auto"/>
            <w:noWrap/>
            <w:vAlign w:val="bottom"/>
            <w:hideMark/>
          </w:tcPr>
          <w:p w14:paraId="3A70F662"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w:t>
            </w:r>
          </w:p>
        </w:tc>
        <w:tc>
          <w:tcPr>
            <w:tcW w:w="1702" w:type="dxa"/>
            <w:tcBorders>
              <w:top w:val="nil"/>
              <w:left w:val="nil"/>
              <w:bottom w:val="nil"/>
              <w:right w:val="nil"/>
            </w:tcBorders>
            <w:shd w:val="clear" w:color="auto" w:fill="auto"/>
            <w:noWrap/>
            <w:vAlign w:val="bottom"/>
            <w:hideMark/>
          </w:tcPr>
          <w:p w14:paraId="1AA8D11D" w14:textId="78CA110E"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2.00</w:t>
            </w:r>
            <w:r>
              <w:rPr>
                <w:rFonts w:ascii="Calibri" w:eastAsia="Times New Roman" w:hAnsi="Calibri" w:cs="Calibri"/>
                <w:color w:val="000000"/>
                <w:sz w:val="22"/>
                <w:szCs w:val="22"/>
                <w:lang w:val="en-GB" w:eastAsia="en-GB"/>
              </w:rPr>
              <w:t xml:space="preserve"> (0.07) [0.07]</w:t>
            </w:r>
          </w:p>
        </w:tc>
        <w:tc>
          <w:tcPr>
            <w:tcW w:w="1134" w:type="dxa"/>
            <w:tcBorders>
              <w:top w:val="nil"/>
              <w:left w:val="nil"/>
              <w:bottom w:val="nil"/>
              <w:right w:val="nil"/>
            </w:tcBorders>
            <w:vAlign w:val="bottom"/>
          </w:tcPr>
          <w:p w14:paraId="6F7AAFCB" w14:textId="2FC26E4F"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0.94</w:t>
            </w:r>
          </w:p>
        </w:tc>
        <w:tc>
          <w:tcPr>
            <w:tcW w:w="1559" w:type="dxa"/>
            <w:tcBorders>
              <w:top w:val="nil"/>
              <w:left w:val="nil"/>
              <w:bottom w:val="nil"/>
              <w:right w:val="nil"/>
            </w:tcBorders>
            <w:vAlign w:val="bottom"/>
          </w:tcPr>
          <w:p w14:paraId="752B28D5" w14:textId="663C9F18"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2.00</w:t>
            </w:r>
            <w:r>
              <w:rPr>
                <w:rFonts w:ascii="Calibri" w:eastAsia="Times New Roman" w:hAnsi="Calibri" w:cs="Calibri"/>
                <w:color w:val="000000"/>
                <w:sz w:val="22"/>
                <w:szCs w:val="22"/>
                <w:lang w:val="en-GB" w:eastAsia="en-GB"/>
              </w:rPr>
              <w:t xml:space="preserve"> (0.07) [0.07]</w:t>
            </w:r>
          </w:p>
        </w:tc>
        <w:tc>
          <w:tcPr>
            <w:tcW w:w="1134" w:type="dxa"/>
            <w:tcBorders>
              <w:top w:val="nil"/>
              <w:left w:val="nil"/>
              <w:bottom w:val="nil"/>
              <w:right w:val="nil"/>
            </w:tcBorders>
            <w:vAlign w:val="bottom"/>
          </w:tcPr>
          <w:p w14:paraId="0B660829" w14:textId="130E938D"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0.94</w:t>
            </w:r>
          </w:p>
        </w:tc>
        <w:tc>
          <w:tcPr>
            <w:tcW w:w="1134" w:type="dxa"/>
            <w:tcBorders>
              <w:top w:val="nil"/>
              <w:left w:val="nil"/>
              <w:bottom w:val="nil"/>
              <w:right w:val="nil"/>
            </w:tcBorders>
            <w:shd w:val="clear" w:color="auto" w:fill="auto"/>
            <w:noWrap/>
            <w:vAlign w:val="bottom"/>
            <w:hideMark/>
          </w:tcPr>
          <w:p w14:paraId="60BD0524" w14:textId="25EA7BD2"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0.93</w:t>
            </w:r>
          </w:p>
        </w:tc>
        <w:tc>
          <w:tcPr>
            <w:tcW w:w="716" w:type="dxa"/>
            <w:tcBorders>
              <w:top w:val="nil"/>
              <w:left w:val="nil"/>
              <w:bottom w:val="nil"/>
              <w:right w:val="nil"/>
            </w:tcBorders>
            <w:vAlign w:val="bottom"/>
          </w:tcPr>
          <w:p w14:paraId="487E8A58" w14:textId="7499FF66"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0.97</w:t>
            </w:r>
          </w:p>
        </w:tc>
        <w:tc>
          <w:tcPr>
            <w:tcW w:w="992" w:type="dxa"/>
            <w:tcBorders>
              <w:top w:val="nil"/>
              <w:left w:val="nil"/>
              <w:bottom w:val="nil"/>
              <w:right w:val="nil"/>
            </w:tcBorders>
            <w:vAlign w:val="bottom"/>
          </w:tcPr>
          <w:p w14:paraId="0D280A67" w14:textId="7DF78E3C"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0.93</w:t>
            </w:r>
          </w:p>
        </w:tc>
        <w:tc>
          <w:tcPr>
            <w:tcW w:w="936" w:type="dxa"/>
            <w:gridSpan w:val="2"/>
            <w:tcBorders>
              <w:top w:val="nil"/>
              <w:left w:val="nil"/>
              <w:bottom w:val="nil"/>
              <w:right w:val="nil"/>
            </w:tcBorders>
            <w:shd w:val="clear" w:color="auto" w:fill="auto"/>
            <w:noWrap/>
            <w:vAlign w:val="bottom"/>
            <w:hideMark/>
          </w:tcPr>
          <w:p w14:paraId="4E7B123D" w14:textId="4136270B"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0.97</w:t>
            </w:r>
          </w:p>
        </w:tc>
      </w:tr>
      <w:tr w:rsidR="004F6B9B" w:rsidRPr="00842947" w14:paraId="111A3233" w14:textId="77777777" w:rsidTr="00260BBB">
        <w:trPr>
          <w:trHeight w:val="300"/>
        </w:trPr>
        <w:tc>
          <w:tcPr>
            <w:tcW w:w="531" w:type="dxa"/>
            <w:tcBorders>
              <w:top w:val="nil"/>
              <w:left w:val="nil"/>
              <w:bottom w:val="nil"/>
              <w:right w:val="nil"/>
            </w:tcBorders>
            <w:shd w:val="clear" w:color="auto" w:fill="auto"/>
            <w:noWrap/>
            <w:vAlign w:val="bottom"/>
            <w:hideMark/>
          </w:tcPr>
          <w:p w14:paraId="1823A1D9"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w:t>
            </w:r>
          </w:p>
        </w:tc>
        <w:tc>
          <w:tcPr>
            <w:tcW w:w="567" w:type="dxa"/>
            <w:tcBorders>
              <w:top w:val="nil"/>
              <w:left w:val="nil"/>
              <w:bottom w:val="nil"/>
              <w:right w:val="nil"/>
            </w:tcBorders>
            <w:shd w:val="clear" w:color="auto" w:fill="auto"/>
            <w:noWrap/>
            <w:vAlign w:val="bottom"/>
            <w:hideMark/>
          </w:tcPr>
          <w:p w14:paraId="2A04BBD4"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w:t>
            </w:r>
          </w:p>
        </w:tc>
        <w:tc>
          <w:tcPr>
            <w:tcW w:w="1702" w:type="dxa"/>
            <w:tcBorders>
              <w:top w:val="nil"/>
              <w:left w:val="nil"/>
              <w:bottom w:val="nil"/>
              <w:right w:val="nil"/>
            </w:tcBorders>
            <w:shd w:val="clear" w:color="auto" w:fill="auto"/>
            <w:noWrap/>
            <w:vAlign w:val="bottom"/>
            <w:hideMark/>
          </w:tcPr>
          <w:p w14:paraId="12A67E1F" w14:textId="59289205"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0.00</w:t>
            </w:r>
            <w:r>
              <w:rPr>
                <w:rFonts w:ascii="Calibri" w:eastAsia="Times New Roman" w:hAnsi="Calibri" w:cs="Calibri"/>
                <w:color w:val="000000"/>
                <w:sz w:val="22"/>
                <w:szCs w:val="22"/>
                <w:lang w:val="en-GB" w:eastAsia="en-GB"/>
              </w:rPr>
              <w:t xml:space="preserve"> (0.01) [0.01]</w:t>
            </w:r>
          </w:p>
        </w:tc>
        <w:tc>
          <w:tcPr>
            <w:tcW w:w="1134" w:type="dxa"/>
            <w:tcBorders>
              <w:top w:val="nil"/>
              <w:left w:val="nil"/>
              <w:bottom w:val="nil"/>
              <w:right w:val="nil"/>
            </w:tcBorders>
            <w:vAlign w:val="bottom"/>
          </w:tcPr>
          <w:p w14:paraId="5EC69BA8" w14:textId="510EAC75"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1559" w:type="dxa"/>
            <w:tcBorders>
              <w:top w:val="nil"/>
              <w:left w:val="nil"/>
              <w:bottom w:val="nil"/>
              <w:right w:val="nil"/>
            </w:tcBorders>
            <w:vAlign w:val="bottom"/>
          </w:tcPr>
          <w:p w14:paraId="1F0B018A" w14:textId="3EB051E2"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0.00</w:t>
            </w:r>
            <w:r>
              <w:rPr>
                <w:rFonts w:ascii="Calibri" w:eastAsia="Times New Roman" w:hAnsi="Calibri" w:cs="Calibri"/>
                <w:color w:val="000000"/>
                <w:sz w:val="22"/>
                <w:szCs w:val="22"/>
                <w:lang w:val="en-GB" w:eastAsia="en-GB"/>
              </w:rPr>
              <w:t xml:space="preserve"> (0.01) [0.01]</w:t>
            </w:r>
          </w:p>
        </w:tc>
        <w:tc>
          <w:tcPr>
            <w:tcW w:w="1134" w:type="dxa"/>
            <w:tcBorders>
              <w:top w:val="nil"/>
              <w:left w:val="nil"/>
              <w:bottom w:val="nil"/>
              <w:right w:val="nil"/>
            </w:tcBorders>
            <w:vAlign w:val="bottom"/>
          </w:tcPr>
          <w:p w14:paraId="1960330B" w14:textId="313F5553"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hideMark/>
          </w:tcPr>
          <w:p w14:paraId="1E509001" w14:textId="5E03F2A2"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w:t>
            </w:r>
          </w:p>
        </w:tc>
        <w:tc>
          <w:tcPr>
            <w:tcW w:w="716" w:type="dxa"/>
            <w:tcBorders>
              <w:top w:val="nil"/>
              <w:left w:val="nil"/>
              <w:bottom w:val="nil"/>
              <w:right w:val="nil"/>
            </w:tcBorders>
            <w:vAlign w:val="bottom"/>
          </w:tcPr>
          <w:p w14:paraId="36265FF8" w14:textId="42DF1D35"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w:t>
            </w:r>
          </w:p>
        </w:tc>
        <w:tc>
          <w:tcPr>
            <w:tcW w:w="992" w:type="dxa"/>
            <w:tcBorders>
              <w:top w:val="nil"/>
              <w:left w:val="nil"/>
              <w:bottom w:val="nil"/>
              <w:right w:val="nil"/>
            </w:tcBorders>
            <w:vAlign w:val="bottom"/>
          </w:tcPr>
          <w:p w14:paraId="3A75DFC7" w14:textId="6276E3FC"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w:t>
            </w:r>
          </w:p>
        </w:tc>
        <w:tc>
          <w:tcPr>
            <w:tcW w:w="936" w:type="dxa"/>
            <w:gridSpan w:val="2"/>
            <w:tcBorders>
              <w:top w:val="nil"/>
              <w:left w:val="nil"/>
              <w:bottom w:val="nil"/>
              <w:right w:val="nil"/>
            </w:tcBorders>
            <w:shd w:val="clear" w:color="auto" w:fill="auto"/>
            <w:noWrap/>
            <w:vAlign w:val="bottom"/>
            <w:hideMark/>
          </w:tcPr>
          <w:p w14:paraId="13B13A67" w14:textId="77114E34"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w:t>
            </w:r>
          </w:p>
        </w:tc>
      </w:tr>
      <w:tr w:rsidR="004F6B9B" w:rsidRPr="00842947" w14:paraId="265FAFBE" w14:textId="77777777" w:rsidTr="00260BBB">
        <w:trPr>
          <w:trHeight w:val="300"/>
        </w:trPr>
        <w:tc>
          <w:tcPr>
            <w:tcW w:w="531" w:type="dxa"/>
            <w:tcBorders>
              <w:top w:val="nil"/>
              <w:left w:val="nil"/>
              <w:bottom w:val="nil"/>
              <w:right w:val="nil"/>
            </w:tcBorders>
            <w:shd w:val="clear" w:color="auto" w:fill="auto"/>
            <w:noWrap/>
            <w:vAlign w:val="bottom"/>
            <w:hideMark/>
          </w:tcPr>
          <w:p w14:paraId="1A1B5F30"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w:t>
            </w:r>
          </w:p>
        </w:tc>
        <w:tc>
          <w:tcPr>
            <w:tcW w:w="567" w:type="dxa"/>
            <w:tcBorders>
              <w:top w:val="nil"/>
              <w:left w:val="nil"/>
              <w:bottom w:val="nil"/>
              <w:right w:val="nil"/>
            </w:tcBorders>
            <w:shd w:val="clear" w:color="auto" w:fill="auto"/>
            <w:noWrap/>
            <w:vAlign w:val="bottom"/>
            <w:hideMark/>
          </w:tcPr>
          <w:p w14:paraId="271F6D03"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w:t>
            </w:r>
          </w:p>
        </w:tc>
        <w:tc>
          <w:tcPr>
            <w:tcW w:w="1702" w:type="dxa"/>
            <w:tcBorders>
              <w:top w:val="nil"/>
              <w:left w:val="nil"/>
              <w:bottom w:val="nil"/>
              <w:right w:val="nil"/>
            </w:tcBorders>
            <w:shd w:val="clear" w:color="auto" w:fill="auto"/>
            <w:noWrap/>
            <w:vAlign w:val="bottom"/>
            <w:hideMark/>
          </w:tcPr>
          <w:p w14:paraId="7BA5C4E2" w14:textId="6CC9511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1.02</w:t>
            </w:r>
            <w:r>
              <w:rPr>
                <w:rFonts w:ascii="Calibri" w:eastAsia="Times New Roman" w:hAnsi="Calibri" w:cs="Calibri"/>
                <w:color w:val="000000"/>
                <w:sz w:val="22"/>
                <w:szCs w:val="22"/>
                <w:lang w:val="en-GB" w:eastAsia="en-GB"/>
              </w:rPr>
              <w:t xml:space="preserve"> (0.01) [0.01]</w:t>
            </w:r>
          </w:p>
        </w:tc>
        <w:tc>
          <w:tcPr>
            <w:tcW w:w="1134" w:type="dxa"/>
            <w:tcBorders>
              <w:top w:val="nil"/>
              <w:left w:val="nil"/>
              <w:bottom w:val="nil"/>
              <w:right w:val="nil"/>
            </w:tcBorders>
            <w:vAlign w:val="bottom"/>
          </w:tcPr>
          <w:p w14:paraId="1D750E83" w14:textId="77777777" w:rsidR="004F6B9B" w:rsidRDefault="004F6B9B" w:rsidP="004F6B9B">
            <w:pPr>
              <w:jc w:val="right"/>
              <w:rPr>
                <w:rFonts w:ascii="Calibri" w:hAnsi="Calibri" w:cs="Calibri"/>
                <w:color w:val="000000"/>
                <w:sz w:val="22"/>
                <w:szCs w:val="22"/>
              </w:rPr>
            </w:pPr>
          </w:p>
          <w:p w14:paraId="142A540A" w14:textId="30BEA963" w:rsidR="004848D9" w:rsidRDefault="004848D9" w:rsidP="004F6B9B">
            <w:pPr>
              <w:jc w:val="right"/>
              <w:rPr>
                <w:rFonts w:ascii="Calibri" w:hAnsi="Calibri" w:cs="Calibri"/>
                <w:color w:val="000000"/>
                <w:sz w:val="22"/>
                <w:szCs w:val="22"/>
              </w:rPr>
            </w:pPr>
          </w:p>
        </w:tc>
        <w:tc>
          <w:tcPr>
            <w:tcW w:w="1559" w:type="dxa"/>
            <w:tcBorders>
              <w:top w:val="nil"/>
              <w:left w:val="nil"/>
              <w:bottom w:val="nil"/>
              <w:right w:val="nil"/>
            </w:tcBorders>
            <w:vAlign w:val="bottom"/>
          </w:tcPr>
          <w:p w14:paraId="7E48014F" w14:textId="0D420FBD"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1.02</w:t>
            </w:r>
            <w:r>
              <w:rPr>
                <w:rFonts w:ascii="Calibri" w:eastAsia="Times New Roman" w:hAnsi="Calibri" w:cs="Calibri"/>
                <w:color w:val="000000"/>
                <w:sz w:val="22"/>
                <w:szCs w:val="22"/>
                <w:lang w:val="en-GB" w:eastAsia="en-GB"/>
              </w:rPr>
              <w:t xml:space="preserve"> (0.01) [0.01]</w:t>
            </w:r>
          </w:p>
        </w:tc>
        <w:tc>
          <w:tcPr>
            <w:tcW w:w="1134" w:type="dxa"/>
            <w:tcBorders>
              <w:top w:val="nil"/>
              <w:left w:val="nil"/>
              <w:bottom w:val="nil"/>
              <w:right w:val="nil"/>
            </w:tcBorders>
            <w:vAlign w:val="bottom"/>
          </w:tcPr>
          <w:p w14:paraId="78C6880B" w14:textId="65B92778"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0.74</w:t>
            </w:r>
          </w:p>
        </w:tc>
        <w:tc>
          <w:tcPr>
            <w:tcW w:w="1134" w:type="dxa"/>
            <w:tcBorders>
              <w:top w:val="nil"/>
              <w:left w:val="nil"/>
              <w:bottom w:val="nil"/>
              <w:right w:val="nil"/>
            </w:tcBorders>
            <w:shd w:val="clear" w:color="auto" w:fill="auto"/>
            <w:noWrap/>
            <w:vAlign w:val="bottom"/>
            <w:hideMark/>
          </w:tcPr>
          <w:p w14:paraId="5A3B302A" w14:textId="2B3FE93D"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1.00</w:t>
            </w:r>
          </w:p>
        </w:tc>
        <w:tc>
          <w:tcPr>
            <w:tcW w:w="716" w:type="dxa"/>
            <w:tcBorders>
              <w:top w:val="nil"/>
              <w:left w:val="nil"/>
              <w:bottom w:val="nil"/>
              <w:right w:val="nil"/>
            </w:tcBorders>
            <w:vAlign w:val="bottom"/>
          </w:tcPr>
          <w:p w14:paraId="4CFB2BE8" w14:textId="4A7D1A01"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1.00</w:t>
            </w:r>
          </w:p>
        </w:tc>
        <w:tc>
          <w:tcPr>
            <w:tcW w:w="992" w:type="dxa"/>
            <w:tcBorders>
              <w:top w:val="nil"/>
              <w:left w:val="nil"/>
              <w:bottom w:val="nil"/>
              <w:right w:val="nil"/>
            </w:tcBorders>
            <w:vAlign w:val="bottom"/>
          </w:tcPr>
          <w:p w14:paraId="2EBF3E95" w14:textId="6E07C38B"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1.00</w:t>
            </w:r>
          </w:p>
        </w:tc>
        <w:tc>
          <w:tcPr>
            <w:tcW w:w="936" w:type="dxa"/>
            <w:gridSpan w:val="2"/>
            <w:tcBorders>
              <w:top w:val="nil"/>
              <w:left w:val="nil"/>
              <w:bottom w:val="nil"/>
              <w:right w:val="nil"/>
            </w:tcBorders>
            <w:shd w:val="clear" w:color="auto" w:fill="auto"/>
            <w:noWrap/>
            <w:vAlign w:val="bottom"/>
            <w:hideMark/>
          </w:tcPr>
          <w:p w14:paraId="2BB3A8CE" w14:textId="6E3B8EB9"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1.00</w:t>
            </w:r>
          </w:p>
        </w:tc>
      </w:tr>
      <w:tr w:rsidR="004F6B9B" w:rsidRPr="00842947" w14:paraId="0FFB956B" w14:textId="77777777" w:rsidTr="00260BBB">
        <w:trPr>
          <w:trHeight w:val="300"/>
        </w:trPr>
        <w:tc>
          <w:tcPr>
            <w:tcW w:w="531" w:type="dxa"/>
            <w:tcBorders>
              <w:top w:val="nil"/>
              <w:left w:val="nil"/>
              <w:bottom w:val="nil"/>
              <w:right w:val="nil"/>
            </w:tcBorders>
            <w:shd w:val="clear" w:color="auto" w:fill="auto"/>
            <w:noWrap/>
            <w:vAlign w:val="bottom"/>
            <w:hideMark/>
          </w:tcPr>
          <w:p w14:paraId="39F1A299"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w:t>
            </w:r>
          </w:p>
        </w:tc>
        <w:tc>
          <w:tcPr>
            <w:tcW w:w="567" w:type="dxa"/>
            <w:tcBorders>
              <w:top w:val="nil"/>
              <w:left w:val="nil"/>
              <w:bottom w:val="nil"/>
              <w:right w:val="nil"/>
            </w:tcBorders>
            <w:shd w:val="clear" w:color="auto" w:fill="auto"/>
            <w:noWrap/>
            <w:vAlign w:val="bottom"/>
            <w:hideMark/>
          </w:tcPr>
          <w:p w14:paraId="05F79789" w14:textId="77777777"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w:t>
            </w:r>
          </w:p>
        </w:tc>
        <w:tc>
          <w:tcPr>
            <w:tcW w:w="1702" w:type="dxa"/>
            <w:tcBorders>
              <w:top w:val="nil"/>
              <w:left w:val="nil"/>
              <w:bottom w:val="nil"/>
              <w:right w:val="nil"/>
            </w:tcBorders>
            <w:shd w:val="clear" w:color="auto" w:fill="auto"/>
            <w:noWrap/>
            <w:vAlign w:val="bottom"/>
            <w:hideMark/>
          </w:tcPr>
          <w:p w14:paraId="067D0EFB" w14:textId="2CD6539C" w:rsidR="004F6B9B" w:rsidRPr="00842947" w:rsidRDefault="004F6B9B" w:rsidP="004F6B9B">
            <w:pPr>
              <w:jc w:val="right"/>
              <w:rPr>
                <w:rFonts w:ascii="Calibri" w:eastAsia="Times New Roman" w:hAnsi="Calibri" w:cs="Calibri"/>
                <w:color w:val="000000"/>
                <w:sz w:val="22"/>
                <w:szCs w:val="22"/>
                <w:lang w:val="en-GB" w:eastAsia="en-GB"/>
              </w:rPr>
            </w:pPr>
            <w:r w:rsidRPr="00842947">
              <w:rPr>
                <w:rFonts w:ascii="Calibri" w:eastAsia="Times New Roman" w:hAnsi="Calibri" w:cs="Calibri"/>
                <w:color w:val="000000"/>
                <w:sz w:val="22"/>
                <w:szCs w:val="22"/>
                <w:lang w:val="en-GB" w:eastAsia="en-GB"/>
              </w:rPr>
              <w:t>2.03</w:t>
            </w:r>
            <w:r>
              <w:rPr>
                <w:rFonts w:ascii="Calibri" w:eastAsia="Times New Roman" w:hAnsi="Calibri" w:cs="Calibri"/>
                <w:color w:val="000000"/>
                <w:sz w:val="22"/>
                <w:szCs w:val="22"/>
                <w:lang w:val="en-GB" w:eastAsia="en-GB"/>
              </w:rPr>
              <w:t xml:space="preserve"> (0.02) [0.01]</w:t>
            </w:r>
          </w:p>
        </w:tc>
        <w:tc>
          <w:tcPr>
            <w:tcW w:w="1134" w:type="dxa"/>
            <w:tcBorders>
              <w:top w:val="nil"/>
              <w:left w:val="nil"/>
              <w:bottom w:val="nil"/>
              <w:right w:val="nil"/>
            </w:tcBorders>
            <w:vAlign w:val="bottom"/>
          </w:tcPr>
          <w:p w14:paraId="44413599" w14:textId="45F9DE96"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0.44</w:t>
            </w:r>
          </w:p>
        </w:tc>
        <w:tc>
          <w:tcPr>
            <w:tcW w:w="1559" w:type="dxa"/>
            <w:tcBorders>
              <w:top w:val="nil"/>
              <w:left w:val="nil"/>
              <w:bottom w:val="nil"/>
              <w:right w:val="nil"/>
            </w:tcBorders>
            <w:vAlign w:val="bottom"/>
          </w:tcPr>
          <w:p w14:paraId="518BA60F" w14:textId="3A6287D3" w:rsidR="004F6B9B" w:rsidRDefault="004F6B9B" w:rsidP="004F6B9B">
            <w:pPr>
              <w:jc w:val="right"/>
              <w:rPr>
                <w:rFonts w:ascii="Calibri" w:hAnsi="Calibri" w:cs="Calibri"/>
                <w:color w:val="000000"/>
                <w:sz w:val="22"/>
                <w:szCs w:val="22"/>
              </w:rPr>
            </w:pPr>
            <w:r w:rsidRPr="00842947">
              <w:rPr>
                <w:rFonts w:ascii="Calibri" w:eastAsia="Times New Roman" w:hAnsi="Calibri" w:cs="Calibri"/>
                <w:color w:val="000000"/>
                <w:sz w:val="22"/>
                <w:szCs w:val="22"/>
                <w:lang w:val="en-GB" w:eastAsia="en-GB"/>
              </w:rPr>
              <w:t>2.03</w:t>
            </w:r>
            <w:r>
              <w:rPr>
                <w:rFonts w:ascii="Calibri" w:eastAsia="Times New Roman" w:hAnsi="Calibri" w:cs="Calibri"/>
                <w:color w:val="000000"/>
                <w:sz w:val="22"/>
                <w:szCs w:val="22"/>
                <w:lang w:val="en-GB" w:eastAsia="en-GB"/>
              </w:rPr>
              <w:t xml:space="preserve"> (0.01) [0.01]</w:t>
            </w:r>
          </w:p>
        </w:tc>
        <w:tc>
          <w:tcPr>
            <w:tcW w:w="1134" w:type="dxa"/>
            <w:tcBorders>
              <w:top w:val="nil"/>
              <w:left w:val="nil"/>
              <w:bottom w:val="nil"/>
              <w:right w:val="nil"/>
            </w:tcBorders>
            <w:vAlign w:val="bottom"/>
          </w:tcPr>
          <w:p w14:paraId="41717A11" w14:textId="0B2C0A07"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0.44</w:t>
            </w:r>
          </w:p>
        </w:tc>
        <w:tc>
          <w:tcPr>
            <w:tcW w:w="1134" w:type="dxa"/>
            <w:tcBorders>
              <w:top w:val="nil"/>
              <w:left w:val="nil"/>
              <w:bottom w:val="nil"/>
              <w:right w:val="nil"/>
            </w:tcBorders>
            <w:shd w:val="clear" w:color="auto" w:fill="auto"/>
            <w:noWrap/>
            <w:vAlign w:val="bottom"/>
            <w:hideMark/>
          </w:tcPr>
          <w:p w14:paraId="0CD53658" w14:textId="3F3FD41E"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1.00</w:t>
            </w:r>
          </w:p>
        </w:tc>
        <w:tc>
          <w:tcPr>
            <w:tcW w:w="716" w:type="dxa"/>
            <w:tcBorders>
              <w:top w:val="nil"/>
              <w:left w:val="nil"/>
              <w:bottom w:val="nil"/>
              <w:right w:val="nil"/>
            </w:tcBorders>
            <w:vAlign w:val="bottom"/>
          </w:tcPr>
          <w:p w14:paraId="73747984" w14:textId="1D35CFAD"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1.00</w:t>
            </w:r>
          </w:p>
        </w:tc>
        <w:tc>
          <w:tcPr>
            <w:tcW w:w="992" w:type="dxa"/>
            <w:tcBorders>
              <w:top w:val="nil"/>
              <w:left w:val="nil"/>
              <w:bottom w:val="nil"/>
              <w:right w:val="nil"/>
            </w:tcBorders>
            <w:vAlign w:val="bottom"/>
          </w:tcPr>
          <w:p w14:paraId="39E59739" w14:textId="69413AEA" w:rsidR="004F6B9B" w:rsidRDefault="004F6B9B" w:rsidP="004F6B9B">
            <w:pPr>
              <w:jc w:val="right"/>
              <w:rPr>
                <w:rFonts w:ascii="Calibri" w:hAnsi="Calibri" w:cs="Calibri"/>
                <w:color w:val="000000"/>
                <w:sz w:val="22"/>
                <w:szCs w:val="22"/>
              </w:rPr>
            </w:pPr>
            <w:r>
              <w:rPr>
                <w:rFonts w:ascii="Calibri" w:hAnsi="Calibri" w:cs="Calibri"/>
                <w:color w:val="000000"/>
                <w:sz w:val="22"/>
                <w:szCs w:val="22"/>
              </w:rPr>
              <w:t>1.00</w:t>
            </w:r>
          </w:p>
        </w:tc>
        <w:tc>
          <w:tcPr>
            <w:tcW w:w="936" w:type="dxa"/>
            <w:gridSpan w:val="2"/>
            <w:tcBorders>
              <w:top w:val="nil"/>
              <w:left w:val="nil"/>
              <w:bottom w:val="nil"/>
              <w:right w:val="nil"/>
            </w:tcBorders>
            <w:shd w:val="clear" w:color="auto" w:fill="auto"/>
            <w:noWrap/>
            <w:vAlign w:val="bottom"/>
            <w:hideMark/>
          </w:tcPr>
          <w:p w14:paraId="6A927767" w14:textId="7A521466" w:rsidR="004F6B9B" w:rsidRPr="00842947" w:rsidRDefault="004F6B9B" w:rsidP="004F6B9B">
            <w:pPr>
              <w:jc w:val="right"/>
              <w:rPr>
                <w:rFonts w:ascii="Calibri" w:eastAsia="Times New Roman" w:hAnsi="Calibri" w:cs="Calibri"/>
                <w:color w:val="000000"/>
                <w:sz w:val="22"/>
                <w:szCs w:val="22"/>
                <w:lang w:val="en-GB" w:eastAsia="en-GB"/>
              </w:rPr>
            </w:pPr>
            <w:r>
              <w:rPr>
                <w:rFonts w:ascii="Calibri" w:hAnsi="Calibri" w:cs="Calibri"/>
                <w:color w:val="000000"/>
                <w:sz w:val="22"/>
                <w:szCs w:val="22"/>
              </w:rPr>
              <w:t>1.00</w:t>
            </w:r>
          </w:p>
        </w:tc>
      </w:tr>
    </w:tbl>
    <w:p w14:paraId="3A0D9E3D" w14:textId="4AC0D0BC" w:rsidR="00260BBB" w:rsidRDefault="00260BBB" w:rsidP="00260BBB">
      <w:pPr>
        <w:autoSpaceDE w:val="0"/>
        <w:autoSpaceDN w:val="0"/>
        <w:adjustRightInd w:val="0"/>
        <w:rPr>
          <w:rFonts w:ascii="STIXGeneral-Regular" w:eastAsiaTheme="minorHAnsi" w:hAnsi="STIXGeneral-Regular" w:cs="STIXGeneral-Regular"/>
          <w:sz w:val="15"/>
          <w:szCs w:val="15"/>
          <w:lang w:val="en-GB" w:eastAsia="en-US"/>
        </w:rPr>
      </w:pPr>
      <w:r>
        <w:rPr>
          <w:rFonts w:ascii="STIXGeneral-Italic" w:eastAsiaTheme="minorHAnsi" w:hAnsi="STIXGeneral-Italic" w:cs="STIXGeneral-Italic"/>
          <w:i/>
          <w:iCs/>
          <w:sz w:val="15"/>
          <w:szCs w:val="15"/>
          <w:lang w:val="en-GB" w:eastAsia="en-US"/>
        </w:rPr>
        <w:t>Notes</w:t>
      </w:r>
      <w:r>
        <w:rPr>
          <w:rFonts w:ascii="STIXGeneral-Regular" w:eastAsiaTheme="minorHAnsi" w:hAnsi="STIXGeneral-Regular" w:cs="STIXGeneral-Regular"/>
          <w:sz w:val="15"/>
          <w:szCs w:val="15"/>
          <w:lang w:val="en-GB" w:eastAsia="en-US"/>
        </w:rPr>
        <w:t>. Results for all the fractional polynomials of degree 1 are presented in Tables S1; this table is a summary of</w:t>
      </w:r>
    </w:p>
    <w:p w14:paraId="0F022EBF" w14:textId="5C36A83A" w:rsidR="000C4DE2" w:rsidRDefault="00260BBB" w:rsidP="004F6B9B">
      <w:pPr>
        <w:autoSpaceDE w:val="0"/>
        <w:autoSpaceDN w:val="0"/>
        <w:adjustRightInd w:val="0"/>
        <w:rPr>
          <w:rFonts w:ascii="STIXGeneral-Regular" w:eastAsiaTheme="minorHAnsi" w:hAnsi="STIXGeneral-Regular" w:cs="STIXGeneral-Regular"/>
          <w:sz w:val="15"/>
          <w:szCs w:val="15"/>
          <w:lang w:val="en-GB" w:eastAsia="en-US"/>
        </w:rPr>
      </w:pPr>
      <w:r>
        <w:rPr>
          <w:rFonts w:ascii="STIXGeneral-Regular" w:eastAsiaTheme="minorHAnsi" w:hAnsi="STIXGeneral-Regular" w:cs="STIXGeneral-Regular"/>
          <w:sz w:val="15"/>
          <w:szCs w:val="15"/>
          <w:lang w:val="en-GB" w:eastAsia="en-US"/>
        </w:rPr>
        <w:lastRenderedPageBreak/>
        <w:t xml:space="preserve">results for the </w:t>
      </w:r>
      <w:proofErr w:type="gramStart"/>
      <w:r>
        <w:rPr>
          <w:rFonts w:ascii="STIXGeneral-Regular" w:eastAsiaTheme="minorHAnsi" w:hAnsi="STIXGeneral-Regular" w:cs="STIXGeneral-Regular"/>
          <w:sz w:val="15"/>
          <w:szCs w:val="15"/>
          <w:lang w:val="en-GB" w:eastAsia="en-US"/>
        </w:rPr>
        <w:t>most commonly encountered</w:t>
      </w:r>
      <w:proofErr w:type="gramEnd"/>
      <w:r>
        <w:rPr>
          <w:rFonts w:ascii="STIXGeneral-Regular" w:eastAsiaTheme="minorHAnsi" w:hAnsi="STIXGeneral-Regular" w:cs="STIXGeneral-Regular"/>
          <w:sz w:val="15"/>
          <w:szCs w:val="15"/>
          <w:lang w:val="en-GB" w:eastAsia="en-US"/>
        </w:rPr>
        <w:t xml:space="preserve"> powers. </w:t>
      </w:r>
      <w:r>
        <w:rPr>
          <w:rFonts w:ascii="Cambria Math" w:eastAsia="STIXMath-Italic" w:hAnsi="Cambria Math" w:cs="Cambria Math"/>
          <w:i/>
          <w:iCs/>
          <w:sz w:val="15"/>
          <w:szCs w:val="15"/>
          <w:lang w:val="en-GB" w:eastAsia="en-US"/>
        </w:rPr>
        <w:t>𝑝</w:t>
      </w:r>
      <w:r>
        <w:rPr>
          <w:rFonts w:ascii="STIXMath-Italic" w:eastAsia="STIXMath-Italic" w:hAnsi="STIXGeneral-Italic" w:cs="STIXMath-Italic"/>
          <w:i/>
          <w:iCs/>
          <w:sz w:val="15"/>
          <w:szCs w:val="15"/>
          <w:lang w:val="en-GB" w:eastAsia="en-US"/>
        </w:rPr>
        <w:t xml:space="preserve"> </w:t>
      </w:r>
      <w:r>
        <w:rPr>
          <w:rFonts w:ascii="STIXGeneral-Regular" w:eastAsiaTheme="minorHAnsi" w:hAnsi="STIXGeneral-Regular" w:cs="STIXGeneral-Regular"/>
          <w:sz w:val="15"/>
          <w:szCs w:val="15"/>
          <w:lang w:val="en-GB" w:eastAsia="en-US"/>
        </w:rPr>
        <w:t xml:space="preserve">are the powers and </w:t>
      </w:r>
      <w:r>
        <w:rPr>
          <w:rFonts w:ascii="Cambria Math" w:eastAsia="STIXMath-Italic" w:hAnsi="Cambria Math" w:cs="Cambria Math"/>
          <w:i/>
          <w:iCs/>
          <w:sz w:val="15"/>
          <w:szCs w:val="15"/>
          <w:lang w:val="en-GB" w:eastAsia="en-US"/>
        </w:rPr>
        <w:t>𝛽</w:t>
      </w:r>
      <w:r>
        <w:rPr>
          <w:rFonts w:ascii="STIXMath-Italic" w:eastAsia="STIXMath-Italic" w:hAnsi="STIXGeneral-Italic" w:cs="STIXMath-Italic"/>
          <w:i/>
          <w:iCs/>
          <w:sz w:val="15"/>
          <w:szCs w:val="15"/>
          <w:lang w:val="en-GB" w:eastAsia="en-US"/>
        </w:rPr>
        <w:t xml:space="preserve"> </w:t>
      </w:r>
      <w:r>
        <w:rPr>
          <w:rFonts w:ascii="STIXGeneral-Regular" w:eastAsiaTheme="minorHAnsi" w:hAnsi="STIXGeneral-Regular" w:cs="STIXGeneral-Regular"/>
          <w:sz w:val="15"/>
          <w:szCs w:val="15"/>
          <w:lang w:val="en-GB" w:eastAsia="en-US"/>
        </w:rPr>
        <w:t xml:space="preserve">are the effect parameters. Coverage refers to the proportion of replications where the true value of </w:t>
      </w:r>
      <w:r>
        <w:rPr>
          <w:rFonts w:ascii="Cambria Math" w:eastAsia="STIXMath-Italic" w:hAnsi="Cambria Math" w:cs="Cambria Math"/>
          <w:i/>
          <w:iCs/>
          <w:sz w:val="15"/>
          <w:szCs w:val="15"/>
          <w:lang w:val="en-GB" w:eastAsia="en-US"/>
        </w:rPr>
        <w:t>𝛽</w:t>
      </w:r>
      <w:r>
        <w:rPr>
          <w:rFonts w:ascii="STIXMath-Italic" w:eastAsia="STIXMath-Italic" w:hAnsi="STIXGeneral-Italic" w:cs="STIXMath-Italic"/>
          <w:i/>
          <w:iCs/>
          <w:sz w:val="15"/>
          <w:szCs w:val="15"/>
          <w:lang w:val="en-GB" w:eastAsia="en-US"/>
        </w:rPr>
        <w:t xml:space="preserve"> </w:t>
      </w:r>
      <w:r>
        <w:rPr>
          <w:rFonts w:ascii="STIXGeneral-Regular" w:eastAsiaTheme="minorHAnsi" w:hAnsi="STIXGeneral-Regular" w:cs="STIXGeneral-Regular"/>
          <w:sz w:val="15"/>
          <w:szCs w:val="15"/>
          <w:lang w:val="en-GB" w:eastAsia="en-US"/>
        </w:rPr>
        <w:t xml:space="preserve">was contained within the corresponding 95% confidence interval. Correct refers to the proportion of replications where the best-fitting fractional polynomial was also the correct fractional polynomial. Set refers to the proportional where the </w:t>
      </w:r>
      <w:r w:rsidR="004F6B9B">
        <w:rPr>
          <w:rFonts w:ascii="STIXGeneral-Regular" w:eastAsiaTheme="minorHAnsi" w:hAnsi="STIXGeneral-Regular" w:cs="STIXGeneral-Regular"/>
          <w:sz w:val="15"/>
          <w:szCs w:val="15"/>
          <w:lang w:val="en-GB" w:eastAsia="en-US"/>
        </w:rPr>
        <w:t xml:space="preserve">twice the difference of </w:t>
      </w:r>
      <w:r>
        <w:rPr>
          <w:rFonts w:ascii="STIXGeneral-Regular" w:eastAsiaTheme="minorHAnsi" w:hAnsi="STIXGeneral-Regular" w:cs="STIXGeneral-Regular"/>
          <w:sz w:val="15"/>
          <w:szCs w:val="15"/>
          <w:lang w:val="en-GB" w:eastAsia="en-US"/>
        </w:rPr>
        <w:t xml:space="preserve">log-likelihood of the model fit with correct fractional polynomial </w:t>
      </w:r>
      <w:r w:rsidR="004F6B9B">
        <w:rPr>
          <w:rFonts w:ascii="STIXGeneral-Regular" w:eastAsiaTheme="minorHAnsi" w:hAnsi="STIXGeneral-Regular" w:cs="STIXGeneral-Regular"/>
          <w:sz w:val="15"/>
          <w:szCs w:val="15"/>
          <w:lang w:val="en-GB" w:eastAsia="en-US"/>
        </w:rPr>
        <w:t xml:space="preserve">and </w:t>
      </w:r>
      <w:proofErr w:type="gramStart"/>
      <w:r w:rsidR="004F6B9B">
        <w:rPr>
          <w:rFonts w:ascii="STIXGeneral-Regular" w:eastAsiaTheme="minorHAnsi" w:hAnsi="STIXGeneral-Regular" w:cs="STIXGeneral-Regular"/>
          <w:sz w:val="15"/>
          <w:szCs w:val="15"/>
          <w:lang w:val="en-GB" w:eastAsia="en-US"/>
        </w:rPr>
        <w:t xml:space="preserve">the </w:t>
      </w:r>
      <w:r>
        <w:rPr>
          <w:rFonts w:ascii="STIXGeneral-Regular" w:eastAsiaTheme="minorHAnsi" w:hAnsi="STIXGeneral-Regular" w:cs="STIXGeneral-Regular"/>
          <w:sz w:val="15"/>
          <w:szCs w:val="15"/>
          <w:lang w:val="en-GB" w:eastAsia="en-US"/>
        </w:rPr>
        <w:t xml:space="preserve"> best</w:t>
      </w:r>
      <w:proofErr w:type="gramEnd"/>
      <w:r>
        <w:rPr>
          <w:rFonts w:ascii="STIXGeneral-Regular" w:eastAsiaTheme="minorHAnsi" w:hAnsi="STIXGeneral-Regular" w:cs="STIXGeneral-Regular"/>
          <w:sz w:val="15"/>
          <w:szCs w:val="15"/>
          <w:lang w:val="en-GB" w:eastAsia="en-US"/>
        </w:rPr>
        <w:t xml:space="preserve">-fitting fractional  was less than the 90th percentile of the relevant </w:t>
      </w:r>
      <w:r>
        <w:rPr>
          <w:rFonts w:ascii="Cambria Math" w:eastAsia="STIXMath-Italic" w:hAnsi="Cambria Math" w:cs="Cambria Math"/>
          <w:i/>
          <w:iCs/>
          <w:sz w:val="15"/>
          <w:szCs w:val="15"/>
          <w:lang w:val="en-GB" w:eastAsia="en-US"/>
        </w:rPr>
        <w:t>𝜒</w:t>
      </w:r>
      <w:r>
        <w:rPr>
          <w:rFonts w:ascii="STIXMath-Regular" w:eastAsia="STIXMath-Regular" w:hAnsi="STIXGeneral-Italic" w:cs="STIXMath-Regular"/>
          <w:sz w:val="10"/>
          <w:szCs w:val="10"/>
          <w:lang w:val="en-GB" w:eastAsia="en-US"/>
        </w:rPr>
        <w:t>2</w:t>
      </w:r>
      <w:r w:rsidR="004F6B9B">
        <w:rPr>
          <w:rFonts w:ascii="STIXGeneral-Regular" w:eastAsiaTheme="minorHAnsi" w:hAnsi="STIXGeneral-Regular" w:cs="STIXGeneral-Regular"/>
          <w:sz w:val="15"/>
          <w:szCs w:val="15"/>
          <w:lang w:val="en-GB" w:eastAsia="en-US"/>
        </w:rPr>
        <w:t>(1) d</w:t>
      </w:r>
      <w:r>
        <w:rPr>
          <w:rFonts w:ascii="STIXGeneral-Regular" w:eastAsiaTheme="minorHAnsi" w:hAnsi="STIXGeneral-Regular" w:cs="STIXGeneral-Regular"/>
          <w:sz w:val="15"/>
          <w:szCs w:val="15"/>
          <w:lang w:val="en-GB" w:eastAsia="en-US"/>
        </w:rPr>
        <w:t>istribution. SD, standard deviation; SE</w:t>
      </w:r>
      <w:r w:rsidR="004F6B9B">
        <w:rPr>
          <w:rFonts w:ascii="STIXGeneral-Regular" w:eastAsiaTheme="minorHAnsi" w:hAnsi="STIXGeneral-Regular" w:cs="STIXGeneral-Regular"/>
          <w:sz w:val="15"/>
          <w:szCs w:val="15"/>
          <w:lang w:val="en-GB" w:eastAsia="en-US"/>
        </w:rPr>
        <w:t xml:space="preserve"> </w:t>
      </w:r>
      <w:r>
        <w:rPr>
          <w:rFonts w:ascii="STIXGeneral-Regular" w:eastAsiaTheme="minorHAnsi" w:hAnsi="STIXGeneral-Regular" w:cs="STIXGeneral-Regular"/>
          <w:sz w:val="15"/>
          <w:szCs w:val="15"/>
          <w:lang w:val="en-GB" w:eastAsia="en-US"/>
        </w:rPr>
        <w:t>standard error; FP, fractional polynomial</w:t>
      </w:r>
      <w:r w:rsidR="004F6B9B">
        <w:rPr>
          <w:rFonts w:ascii="STIXGeneral-Regular" w:eastAsiaTheme="minorHAnsi" w:hAnsi="STIXGeneral-Regular" w:cs="STIXGeneral-Regular"/>
          <w:sz w:val="15"/>
          <w:szCs w:val="15"/>
          <w:lang w:val="en-GB" w:eastAsia="en-US"/>
        </w:rPr>
        <w:t>.</w:t>
      </w:r>
    </w:p>
    <w:p w14:paraId="37E0911D" w14:textId="77777777" w:rsidR="000C4DE2" w:rsidRDefault="000C4DE2">
      <w:pPr>
        <w:spacing w:after="160" w:line="259" w:lineRule="auto"/>
        <w:rPr>
          <w:rFonts w:ascii="STIXGeneral-Regular" w:eastAsiaTheme="minorHAnsi" w:hAnsi="STIXGeneral-Regular" w:cs="STIXGeneral-Regular"/>
          <w:sz w:val="15"/>
          <w:szCs w:val="15"/>
          <w:lang w:val="en-GB" w:eastAsia="en-US"/>
        </w:rPr>
      </w:pPr>
      <w:r>
        <w:rPr>
          <w:rFonts w:ascii="STIXGeneral-Regular" w:eastAsiaTheme="minorHAnsi" w:hAnsi="STIXGeneral-Regular" w:cs="STIXGeneral-Regular"/>
          <w:sz w:val="15"/>
          <w:szCs w:val="15"/>
          <w:lang w:val="en-GB" w:eastAsia="en-US"/>
        </w:rPr>
        <w:br w:type="page"/>
      </w:r>
    </w:p>
    <w:p w14:paraId="1F1DFB19" w14:textId="203E4A51" w:rsidR="00842947" w:rsidRDefault="000C4DE2" w:rsidP="004F6B9B">
      <w:pPr>
        <w:autoSpaceDE w:val="0"/>
        <w:autoSpaceDN w:val="0"/>
        <w:adjustRightInd w:val="0"/>
        <w:rPr>
          <w:rFonts w:cstheme="minorHAnsi"/>
          <w:color w:val="000000" w:themeColor="text1"/>
          <w:lang w:val="en-US"/>
        </w:rPr>
      </w:pPr>
      <w:r>
        <w:rPr>
          <w:rFonts w:cstheme="minorHAnsi"/>
          <w:color w:val="000000" w:themeColor="text1"/>
          <w:lang w:val="en-US"/>
        </w:rPr>
        <w:lastRenderedPageBreak/>
        <w:t>Supplementary</w:t>
      </w:r>
    </w:p>
    <w:p w14:paraId="10B5CFC2" w14:textId="29F00026" w:rsidR="000C4DE2" w:rsidRDefault="000C4DE2" w:rsidP="004F6B9B">
      <w:pPr>
        <w:autoSpaceDE w:val="0"/>
        <w:autoSpaceDN w:val="0"/>
        <w:adjustRightInd w:val="0"/>
        <w:rPr>
          <w:rFonts w:cstheme="minorHAnsi"/>
          <w:color w:val="000000" w:themeColor="text1"/>
          <w:lang w:val="en-US"/>
        </w:rPr>
      </w:pPr>
    </w:p>
    <w:p w14:paraId="77426DE5" w14:textId="4A7EDDF5" w:rsidR="000C4DE2" w:rsidRDefault="000C4DE2" w:rsidP="004F6B9B">
      <w:pPr>
        <w:autoSpaceDE w:val="0"/>
        <w:autoSpaceDN w:val="0"/>
        <w:adjustRightInd w:val="0"/>
        <w:rPr>
          <w:rFonts w:cstheme="minorHAnsi"/>
          <w:color w:val="000000" w:themeColor="text1"/>
          <w:lang w:val="en-US"/>
        </w:rPr>
      </w:pPr>
    </w:p>
    <w:tbl>
      <w:tblPr>
        <w:tblW w:w="10405" w:type="dxa"/>
        <w:tblInd w:w="-678" w:type="dxa"/>
        <w:tblLayout w:type="fixed"/>
        <w:tblLook w:val="04A0" w:firstRow="1" w:lastRow="0" w:firstColumn="1" w:lastColumn="0" w:noHBand="0" w:noVBand="1"/>
      </w:tblPr>
      <w:tblGrid>
        <w:gridCol w:w="531"/>
        <w:gridCol w:w="567"/>
        <w:gridCol w:w="1702"/>
        <w:gridCol w:w="1134"/>
        <w:gridCol w:w="1559"/>
        <w:gridCol w:w="1134"/>
        <w:gridCol w:w="1134"/>
        <w:gridCol w:w="716"/>
        <w:gridCol w:w="992"/>
        <w:gridCol w:w="930"/>
        <w:gridCol w:w="6"/>
      </w:tblGrid>
      <w:tr w:rsidR="000C4DE2" w:rsidRPr="00B33438" w14:paraId="3A921D22" w14:textId="77777777" w:rsidTr="000C4DE2">
        <w:trPr>
          <w:gridAfter w:val="1"/>
          <w:wAfter w:w="6" w:type="dxa"/>
          <w:trHeight w:val="300"/>
        </w:trPr>
        <w:tc>
          <w:tcPr>
            <w:tcW w:w="531" w:type="dxa"/>
            <w:tcBorders>
              <w:top w:val="nil"/>
              <w:left w:val="nil"/>
              <w:bottom w:val="nil"/>
              <w:right w:val="nil"/>
            </w:tcBorders>
            <w:shd w:val="clear" w:color="auto" w:fill="auto"/>
            <w:noWrap/>
            <w:vAlign w:val="bottom"/>
          </w:tcPr>
          <w:p w14:paraId="1AD96121" w14:textId="77777777" w:rsidR="000C4DE2" w:rsidRPr="00B33438" w:rsidRDefault="000C4DE2" w:rsidP="000C4DE2">
            <w:pPr>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206FF037" w14:textId="77777777" w:rsidR="000C4DE2" w:rsidRPr="00B33438" w:rsidRDefault="000C4DE2" w:rsidP="000C4DE2">
            <w:pPr>
              <w:rPr>
                <w:rFonts w:ascii="Calibri" w:eastAsia="Times New Roman" w:hAnsi="Calibri" w:cs="Calibri"/>
                <w:color w:val="000000"/>
                <w:sz w:val="18"/>
                <w:szCs w:val="18"/>
                <w:lang w:val="en-GB" w:eastAsia="en-GB"/>
              </w:rPr>
            </w:pPr>
          </w:p>
        </w:tc>
        <w:tc>
          <w:tcPr>
            <w:tcW w:w="5529" w:type="dxa"/>
            <w:gridSpan w:val="4"/>
            <w:tcBorders>
              <w:top w:val="nil"/>
              <w:left w:val="nil"/>
              <w:bottom w:val="nil"/>
              <w:right w:val="nil"/>
            </w:tcBorders>
            <w:shd w:val="clear" w:color="auto" w:fill="auto"/>
            <w:noWrap/>
            <w:vAlign w:val="bottom"/>
          </w:tcPr>
          <w:p w14:paraId="015F392D"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Fitting correct FP</w:t>
            </w:r>
          </w:p>
        </w:tc>
        <w:tc>
          <w:tcPr>
            <w:tcW w:w="3772" w:type="dxa"/>
            <w:gridSpan w:val="4"/>
            <w:tcBorders>
              <w:top w:val="nil"/>
              <w:left w:val="nil"/>
              <w:bottom w:val="nil"/>
              <w:right w:val="nil"/>
            </w:tcBorders>
            <w:shd w:val="clear" w:color="auto" w:fill="auto"/>
            <w:noWrap/>
            <w:vAlign w:val="bottom"/>
          </w:tcPr>
          <w:p w14:paraId="3D211E3F"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Fitting all FPs</w:t>
            </w:r>
          </w:p>
        </w:tc>
      </w:tr>
      <w:tr w:rsidR="000C4DE2" w:rsidRPr="00B33438" w14:paraId="4C65A6FB" w14:textId="77777777" w:rsidTr="000C4DE2">
        <w:trPr>
          <w:trHeight w:val="300"/>
        </w:trPr>
        <w:tc>
          <w:tcPr>
            <w:tcW w:w="531" w:type="dxa"/>
            <w:tcBorders>
              <w:top w:val="nil"/>
              <w:left w:val="nil"/>
              <w:bottom w:val="nil"/>
              <w:right w:val="nil"/>
            </w:tcBorders>
            <w:shd w:val="clear" w:color="auto" w:fill="auto"/>
            <w:noWrap/>
            <w:vAlign w:val="bottom"/>
          </w:tcPr>
          <w:p w14:paraId="12747E91" w14:textId="77777777" w:rsidR="000C4DE2" w:rsidRPr="00B33438" w:rsidRDefault="000C4DE2" w:rsidP="000C4DE2">
            <w:pPr>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1A2832A8" w14:textId="77777777" w:rsidR="000C4DE2" w:rsidRPr="00B33438" w:rsidRDefault="000C4DE2" w:rsidP="000C4DE2">
            <w:pPr>
              <w:rPr>
                <w:rFonts w:ascii="Calibri" w:eastAsia="Times New Roman" w:hAnsi="Calibri" w:cs="Calibri"/>
                <w:color w:val="000000"/>
                <w:sz w:val="18"/>
                <w:szCs w:val="18"/>
                <w:lang w:val="en-GB" w:eastAsia="en-GB"/>
              </w:rPr>
            </w:pPr>
          </w:p>
        </w:tc>
        <w:tc>
          <w:tcPr>
            <w:tcW w:w="2836" w:type="dxa"/>
            <w:gridSpan w:val="2"/>
            <w:tcBorders>
              <w:top w:val="nil"/>
              <w:left w:val="nil"/>
              <w:bottom w:val="nil"/>
              <w:right w:val="nil"/>
            </w:tcBorders>
            <w:shd w:val="clear" w:color="auto" w:fill="auto"/>
            <w:noWrap/>
            <w:vAlign w:val="bottom"/>
          </w:tcPr>
          <w:p w14:paraId="132C106E"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 xml:space="preserve">Individual </w:t>
            </w:r>
          </w:p>
        </w:tc>
        <w:tc>
          <w:tcPr>
            <w:tcW w:w="2693" w:type="dxa"/>
            <w:gridSpan w:val="2"/>
            <w:tcBorders>
              <w:top w:val="nil"/>
              <w:left w:val="nil"/>
              <w:bottom w:val="nil"/>
              <w:right w:val="nil"/>
            </w:tcBorders>
            <w:vAlign w:val="bottom"/>
          </w:tcPr>
          <w:p w14:paraId="1C7F04AF"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 xml:space="preserve">Semi-summarized </w:t>
            </w:r>
          </w:p>
        </w:tc>
        <w:tc>
          <w:tcPr>
            <w:tcW w:w="1850" w:type="dxa"/>
            <w:gridSpan w:val="2"/>
            <w:tcBorders>
              <w:top w:val="nil"/>
              <w:left w:val="nil"/>
              <w:bottom w:val="nil"/>
              <w:right w:val="nil"/>
            </w:tcBorders>
            <w:shd w:val="clear" w:color="auto" w:fill="auto"/>
            <w:noWrap/>
            <w:vAlign w:val="bottom"/>
          </w:tcPr>
          <w:p w14:paraId="4FE3744E"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 xml:space="preserve">Individual </w:t>
            </w:r>
          </w:p>
        </w:tc>
        <w:tc>
          <w:tcPr>
            <w:tcW w:w="1928" w:type="dxa"/>
            <w:gridSpan w:val="3"/>
            <w:tcBorders>
              <w:top w:val="nil"/>
              <w:left w:val="nil"/>
              <w:bottom w:val="nil"/>
              <w:right w:val="nil"/>
            </w:tcBorders>
            <w:vAlign w:val="bottom"/>
          </w:tcPr>
          <w:p w14:paraId="63F1C028"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Semi-summarized</w:t>
            </w:r>
          </w:p>
        </w:tc>
      </w:tr>
      <w:tr w:rsidR="000C4DE2" w:rsidRPr="00B33438" w14:paraId="18F3E3C5" w14:textId="77777777" w:rsidTr="000C4DE2">
        <w:trPr>
          <w:trHeight w:val="300"/>
        </w:trPr>
        <w:tc>
          <w:tcPr>
            <w:tcW w:w="531" w:type="dxa"/>
            <w:tcBorders>
              <w:top w:val="nil"/>
              <w:left w:val="nil"/>
              <w:bottom w:val="nil"/>
              <w:right w:val="nil"/>
            </w:tcBorders>
            <w:shd w:val="clear" w:color="auto" w:fill="auto"/>
            <w:noWrap/>
            <w:vAlign w:val="bottom"/>
          </w:tcPr>
          <w:p w14:paraId="72C3CCF6" w14:textId="77777777" w:rsidR="000C4DE2" w:rsidRPr="00B33438" w:rsidRDefault="000C4DE2" w:rsidP="000C4DE2">
            <w:pPr>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5C9AFB24" w14:textId="77777777" w:rsidR="000C4DE2" w:rsidRPr="00B33438" w:rsidRDefault="000C4DE2" w:rsidP="000C4DE2">
            <w:pPr>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40A184FF"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 xml:space="preserve">Mean (SD) </w:t>
            </w:r>
            <w:r w:rsidRPr="00B33438">
              <w:rPr>
                <w:rFonts w:ascii="Calibri" w:eastAsia="Times New Roman" w:hAnsi="Calibri" w:cs="Calibri"/>
                <w:color w:val="000000"/>
                <w:sz w:val="18"/>
                <w:szCs w:val="18"/>
                <w:lang w:val="en-GB" w:eastAsia="en-GB"/>
              </w:rPr>
              <w:br/>
              <w:t>[Mean S.E]</w:t>
            </w:r>
          </w:p>
        </w:tc>
        <w:tc>
          <w:tcPr>
            <w:tcW w:w="1134" w:type="dxa"/>
            <w:tcBorders>
              <w:top w:val="nil"/>
              <w:left w:val="nil"/>
              <w:bottom w:val="nil"/>
              <w:right w:val="nil"/>
            </w:tcBorders>
            <w:vAlign w:val="bottom"/>
          </w:tcPr>
          <w:p w14:paraId="0F77FA37"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Coverage</w:t>
            </w:r>
          </w:p>
        </w:tc>
        <w:tc>
          <w:tcPr>
            <w:tcW w:w="1559" w:type="dxa"/>
            <w:tcBorders>
              <w:top w:val="nil"/>
              <w:left w:val="nil"/>
              <w:bottom w:val="nil"/>
              <w:right w:val="nil"/>
            </w:tcBorders>
            <w:vAlign w:val="bottom"/>
          </w:tcPr>
          <w:p w14:paraId="08C6BFB7"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 xml:space="preserve">Mean (SD) </w:t>
            </w:r>
            <w:r w:rsidRPr="00B33438">
              <w:rPr>
                <w:rFonts w:ascii="Calibri" w:eastAsia="Times New Roman" w:hAnsi="Calibri" w:cs="Calibri"/>
                <w:color w:val="000000"/>
                <w:sz w:val="18"/>
                <w:szCs w:val="18"/>
                <w:lang w:val="en-GB" w:eastAsia="en-GB"/>
              </w:rPr>
              <w:br/>
              <w:t>[Mean S.E]</w:t>
            </w:r>
          </w:p>
        </w:tc>
        <w:tc>
          <w:tcPr>
            <w:tcW w:w="1134" w:type="dxa"/>
            <w:tcBorders>
              <w:top w:val="nil"/>
              <w:left w:val="nil"/>
              <w:bottom w:val="nil"/>
              <w:right w:val="nil"/>
            </w:tcBorders>
            <w:vAlign w:val="bottom"/>
          </w:tcPr>
          <w:p w14:paraId="4BB577A4"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Coverage</w:t>
            </w:r>
          </w:p>
        </w:tc>
        <w:tc>
          <w:tcPr>
            <w:tcW w:w="1850" w:type="dxa"/>
            <w:gridSpan w:val="2"/>
            <w:tcBorders>
              <w:top w:val="nil"/>
              <w:left w:val="nil"/>
              <w:bottom w:val="nil"/>
              <w:right w:val="nil"/>
            </w:tcBorders>
            <w:shd w:val="clear" w:color="auto" w:fill="auto"/>
            <w:noWrap/>
            <w:vAlign w:val="bottom"/>
          </w:tcPr>
          <w:p w14:paraId="0BBBB635"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Powers</w:t>
            </w:r>
          </w:p>
        </w:tc>
        <w:tc>
          <w:tcPr>
            <w:tcW w:w="1928" w:type="dxa"/>
            <w:gridSpan w:val="3"/>
            <w:tcBorders>
              <w:top w:val="nil"/>
              <w:left w:val="nil"/>
              <w:bottom w:val="nil"/>
              <w:right w:val="nil"/>
            </w:tcBorders>
            <w:vAlign w:val="bottom"/>
          </w:tcPr>
          <w:p w14:paraId="3B49CABF"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Powers</w:t>
            </w:r>
          </w:p>
        </w:tc>
      </w:tr>
      <w:tr w:rsidR="000C4DE2" w:rsidRPr="00B33438" w14:paraId="499330AA" w14:textId="77777777" w:rsidTr="000C4DE2">
        <w:trPr>
          <w:trHeight w:val="365"/>
        </w:trPr>
        <w:tc>
          <w:tcPr>
            <w:tcW w:w="531" w:type="dxa"/>
            <w:tcBorders>
              <w:top w:val="nil"/>
              <w:left w:val="nil"/>
              <w:bottom w:val="nil"/>
              <w:right w:val="nil"/>
            </w:tcBorders>
            <w:shd w:val="clear" w:color="auto" w:fill="auto"/>
            <w:noWrap/>
            <w:vAlign w:val="bottom"/>
            <w:hideMark/>
          </w:tcPr>
          <w:p w14:paraId="5F75C2FF" w14:textId="77777777" w:rsidR="000C4DE2" w:rsidRPr="00B33438" w:rsidRDefault="00B33438" w:rsidP="000C4DE2">
            <w:pPr>
              <w:rPr>
                <w:rFonts w:ascii="Calibri" w:eastAsia="Times New Roman" w:hAnsi="Calibri" w:cs="Calibri"/>
                <w:color w:val="000000"/>
                <w:sz w:val="18"/>
                <w:szCs w:val="18"/>
                <w:lang w:val="en-GB" w:eastAsia="en-GB"/>
              </w:rPr>
            </w:pPr>
            <m:oMathPara>
              <m:oMath>
                <m:sSub>
                  <m:sSubPr>
                    <m:ctrlPr>
                      <w:rPr>
                        <w:rFonts w:ascii="Cambria Math" w:eastAsia="Times New Roman" w:hAnsi="Cambria Math" w:cs="Calibri"/>
                        <w:i/>
                        <w:color w:val="000000"/>
                        <w:sz w:val="18"/>
                        <w:szCs w:val="18"/>
                        <w:lang w:val="en-GB" w:eastAsia="en-GB"/>
                      </w:rPr>
                    </m:ctrlPr>
                  </m:sSubPr>
                  <m:e>
                    <m:r>
                      <w:rPr>
                        <w:rFonts w:ascii="Cambria Math" w:eastAsia="Times New Roman" w:hAnsi="Cambria Math" w:cs="Calibri"/>
                        <w:color w:val="000000"/>
                        <w:sz w:val="18"/>
                        <w:szCs w:val="18"/>
                        <w:lang w:val="en-GB" w:eastAsia="en-GB"/>
                      </w:rPr>
                      <m:t>p</m:t>
                    </m:r>
                  </m:e>
                  <m:sub>
                    <m:r>
                      <w:rPr>
                        <w:rFonts w:ascii="Cambria Math" w:eastAsia="Times New Roman" w:hAnsi="Cambria Math" w:cs="Calibri"/>
                        <w:color w:val="000000"/>
                        <w:sz w:val="18"/>
                        <w:szCs w:val="18"/>
                        <w:lang w:val="en-GB" w:eastAsia="en-GB"/>
                      </w:rPr>
                      <m:t>1</m:t>
                    </m:r>
                  </m:sub>
                </m:sSub>
              </m:oMath>
            </m:oMathPara>
          </w:p>
        </w:tc>
        <w:tc>
          <w:tcPr>
            <w:tcW w:w="567" w:type="dxa"/>
            <w:tcBorders>
              <w:top w:val="nil"/>
              <w:left w:val="nil"/>
              <w:bottom w:val="nil"/>
              <w:right w:val="nil"/>
            </w:tcBorders>
            <w:shd w:val="clear" w:color="auto" w:fill="auto"/>
            <w:noWrap/>
            <w:vAlign w:val="bottom"/>
            <w:hideMark/>
          </w:tcPr>
          <w:p w14:paraId="43C6A6F3" w14:textId="77777777" w:rsidR="000C4DE2" w:rsidRPr="00B33438" w:rsidRDefault="00B33438" w:rsidP="000C4DE2">
            <w:pPr>
              <w:rPr>
                <w:rFonts w:ascii="Calibri" w:eastAsia="Times New Roman" w:hAnsi="Calibri" w:cs="Calibri"/>
                <w:color w:val="000000"/>
                <w:sz w:val="18"/>
                <w:szCs w:val="18"/>
                <w:lang w:val="en-GB" w:eastAsia="en-GB"/>
              </w:rPr>
            </w:pPr>
            <m:oMathPara>
              <m:oMath>
                <m:sSub>
                  <m:sSubPr>
                    <m:ctrlPr>
                      <w:rPr>
                        <w:rFonts w:ascii="Cambria Math" w:eastAsia="Times New Roman" w:hAnsi="Cambria Math" w:cs="Calibri"/>
                        <w:i/>
                        <w:color w:val="000000"/>
                        <w:sz w:val="18"/>
                        <w:szCs w:val="18"/>
                        <w:lang w:val="en-GB" w:eastAsia="en-GB"/>
                      </w:rPr>
                    </m:ctrlPr>
                  </m:sSubPr>
                  <m:e>
                    <m:r>
                      <w:rPr>
                        <w:rFonts w:ascii="Cambria Math" w:eastAsia="Times New Roman" w:hAnsi="Cambria Math" w:cs="Calibri"/>
                        <w:color w:val="000000"/>
                        <w:sz w:val="18"/>
                        <w:szCs w:val="18"/>
                        <w:lang w:val="en-GB" w:eastAsia="en-GB"/>
                      </w:rPr>
                      <m:t>β</m:t>
                    </m:r>
                  </m:e>
                  <m:sub>
                    <m:r>
                      <w:rPr>
                        <w:rFonts w:ascii="Cambria Math" w:eastAsia="Times New Roman" w:hAnsi="Cambria Math" w:cs="Calibri"/>
                        <w:color w:val="000000"/>
                        <w:sz w:val="18"/>
                        <w:szCs w:val="18"/>
                        <w:lang w:val="en-GB" w:eastAsia="en-GB"/>
                      </w:rPr>
                      <m:t>1</m:t>
                    </m:r>
                  </m:sub>
                </m:sSub>
                <m:r>
                  <w:rPr>
                    <w:rFonts w:ascii="Cambria Math" w:eastAsia="Times New Roman" w:hAnsi="Cambria Math" w:cs="Calibri"/>
                    <w:color w:val="000000"/>
                    <w:sz w:val="18"/>
                    <w:szCs w:val="18"/>
                    <w:lang w:val="en-GB" w:eastAsia="en-GB"/>
                  </w:rPr>
                  <m:t xml:space="preserve">  </m:t>
                </m:r>
              </m:oMath>
            </m:oMathPara>
          </w:p>
        </w:tc>
        <w:tc>
          <w:tcPr>
            <w:tcW w:w="1702" w:type="dxa"/>
            <w:tcBorders>
              <w:top w:val="nil"/>
              <w:left w:val="nil"/>
              <w:bottom w:val="nil"/>
              <w:right w:val="nil"/>
            </w:tcBorders>
            <w:shd w:val="clear" w:color="auto" w:fill="auto"/>
            <w:noWrap/>
            <w:vAlign w:val="bottom"/>
            <w:hideMark/>
          </w:tcPr>
          <w:p w14:paraId="36FF8AD9" w14:textId="77777777" w:rsidR="000C4DE2" w:rsidRPr="00B33438" w:rsidRDefault="00B33438" w:rsidP="000C4DE2">
            <w:pPr>
              <w:rPr>
                <w:rFonts w:ascii="Calibri" w:eastAsia="Times New Roman" w:hAnsi="Calibri" w:cs="Calibri"/>
                <w:color w:val="000000"/>
                <w:sz w:val="18"/>
                <w:szCs w:val="18"/>
                <w:lang w:val="en-GB" w:eastAsia="en-GB"/>
              </w:rPr>
            </w:pPr>
            <m:oMath>
              <m:sSub>
                <m:sSubPr>
                  <m:ctrlPr>
                    <w:rPr>
                      <w:rFonts w:ascii="Cambria Math" w:eastAsia="Times New Roman" w:hAnsi="Cambria Math" w:cs="Calibri"/>
                      <w:i/>
                      <w:color w:val="000000"/>
                      <w:sz w:val="18"/>
                      <w:szCs w:val="18"/>
                      <w:lang w:val="en-GB" w:eastAsia="en-GB"/>
                    </w:rPr>
                  </m:ctrlPr>
                </m:sSubPr>
                <m:e>
                  <m:r>
                    <w:rPr>
                      <w:rFonts w:ascii="Cambria Math" w:eastAsia="Times New Roman" w:hAnsi="Cambria Math" w:cs="Calibri"/>
                      <w:color w:val="000000"/>
                      <w:sz w:val="18"/>
                      <w:szCs w:val="18"/>
                      <w:lang w:val="en-GB" w:eastAsia="en-GB"/>
                    </w:rPr>
                    <m:t>β</m:t>
                  </m:r>
                </m:e>
                <m:sub>
                  <m:r>
                    <w:rPr>
                      <w:rFonts w:ascii="Cambria Math" w:eastAsia="Times New Roman" w:hAnsi="Cambria Math" w:cs="Calibri"/>
                      <w:color w:val="000000"/>
                      <w:sz w:val="18"/>
                      <w:szCs w:val="18"/>
                      <w:lang w:val="en-GB" w:eastAsia="en-GB"/>
                    </w:rPr>
                    <m:t>1</m:t>
                  </m:r>
                </m:sub>
              </m:sSub>
              <m:r>
                <w:rPr>
                  <w:rFonts w:ascii="Cambria Math" w:eastAsia="Times New Roman" w:hAnsi="Cambria Math" w:cs="Calibri"/>
                  <w:color w:val="000000"/>
                  <w:sz w:val="18"/>
                  <w:szCs w:val="18"/>
                  <w:lang w:val="en-GB" w:eastAsia="en-GB"/>
                </w:rPr>
                <m:t xml:space="preserve">  </m:t>
              </m:r>
            </m:oMath>
            <w:r w:rsidR="000C4DE2" w:rsidRPr="00B33438">
              <w:rPr>
                <w:rFonts w:ascii="Calibri" w:eastAsia="Times New Roman" w:hAnsi="Calibri" w:cs="Calibri"/>
                <w:color w:val="000000"/>
                <w:sz w:val="18"/>
                <w:szCs w:val="18"/>
                <w:lang w:val="en-GB" w:eastAsia="en-GB"/>
              </w:rPr>
              <w:t xml:space="preserve"> </w:t>
            </w:r>
          </w:p>
        </w:tc>
        <w:tc>
          <w:tcPr>
            <w:tcW w:w="1134" w:type="dxa"/>
            <w:tcBorders>
              <w:top w:val="nil"/>
              <w:left w:val="nil"/>
              <w:bottom w:val="nil"/>
              <w:right w:val="nil"/>
            </w:tcBorders>
            <w:vAlign w:val="bottom"/>
          </w:tcPr>
          <w:p w14:paraId="047E871E" w14:textId="77777777" w:rsidR="000C4DE2" w:rsidRPr="00B33438" w:rsidRDefault="00B33438" w:rsidP="000C4DE2">
            <w:pPr>
              <w:rPr>
                <w:rFonts w:ascii="Calibri" w:eastAsia="Times New Roman" w:hAnsi="Calibri" w:cs="Calibri"/>
                <w:color w:val="000000"/>
                <w:sz w:val="18"/>
                <w:szCs w:val="18"/>
                <w:lang w:val="en-GB" w:eastAsia="en-GB"/>
              </w:rPr>
            </w:pPr>
            <m:oMath>
              <m:sSub>
                <m:sSubPr>
                  <m:ctrlPr>
                    <w:rPr>
                      <w:rFonts w:ascii="Cambria Math" w:eastAsia="Times New Roman" w:hAnsi="Cambria Math" w:cs="Calibri"/>
                      <w:i/>
                      <w:color w:val="000000"/>
                      <w:sz w:val="18"/>
                      <w:szCs w:val="18"/>
                      <w:lang w:val="en-GB" w:eastAsia="en-GB"/>
                    </w:rPr>
                  </m:ctrlPr>
                </m:sSubPr>
                <m:e>
                  <m:r>
                    <w:rPr>
                      <w:rFonts w:ascii="Cambria Math" w:eastAsia="Times New Roman" w:hAnsi="Cambria Math" w:cs="Calibri"/>
                      <w:color w:val="000000"/>
                      <w:sz w:val="18"/>
                      <w:szCs w:val="18"/>
                      <w:lang w:val="en-GB" w:eastAsia="en-GB"/>
                    </w:rPr>
                    <m:t>β</m:t>
                  </m:r>
                </m:e>
                <m:sub>
                  <m:r>
                    <w:rPr>
                      <w:rFonts w:ascii="Cambria Math" w:eastAsia="Times New Roman" w:hAnsi="Cambria Math" w:cs="Calibri"/>
                      <w:color w:val="000000"/>
                      <w:sz w:val="18"/>
                      <w:szCs w:val="18"/>
                      <w:lang w:val="en-GB" w:eastAsia="en-GB"/>
                    </w:rPr>
                    <m:t>1</m:t>
                  </m:r>
                </m:sub>
              </m:sSub>
              <m:r>
                <w:rPr>
                  <w:rFonts w:ascii="Cambria Math" w:eastAsia="Times New Roman" w:hAnsi="Cambria Math" w:cs="Calibri"/>
                  <w:color w:val="000000"/>
                  <w:sz w:val="18"/>
                  <w:szCs w:val="18"/>
                  <w:lang w:val="en-GB" w:eastAsia="en-GB"/>
                </w:rPr>
                <m:t xml:space="preserve">  </m:t>
              </m:r>
            </m:oMath>
            <w:r w:rsidR="000C4DE2" w:rsidRPr="00B33438">
              <w:rPr>
                <w:rFonts w:ascii="Calibri" w:eastAsia="Times New Roman" w:hAnsi="Calibri" w:cs="Calibri"/>
                <w:color w:val="000000"/>
                <w:sz w:val="18"/>
                <w:szCs w:val="18"/>
                <w:lang w:val="en-GB" w:eastAsia="en-GB"/>
              </w:rPr>
              <w:t xml:space="preserve"> </w:t>
            </w:r>
          </w:p>
        </w:tc>
        <w:tc>
          <w:tcPr>
            <w:tcW w:w="1559" w:type="dxa"/>
            <w:tcBorders>
              <w:top w:val="nil"/>
              <w:left w:val="nil"/>
              <w:bottom w:val="nil"/>
              <w:right w:val="nil"/>
            </w:tcBorders>
            <w:vAlign w:val="bottom"/>
          </w:tcPr>
          <w:p w14:paraId="05124D0A" w14:textId="77777777" w:rsidR="000C4DE2" w:rsidRPr="00B33438" w:rsidRDefault="000C4DE2" w:rsidP="000C4DE2">
            <w:pPr>
              <w:rPr>
                <w:rFonts w:ascii="Calibri" w:eastAsia="Times New Roman" w:hAnsi="Calibri" w:cs="Calibri"/>
                <w:color w:val="000000"/>
                <w:sz w:val="18"/>
                <w:szCs w:val="18"/>
                <w:lang w:val="en-GB" w:eastAsia="en-GB"/>
              </w:rPr>
            </w:pPr>
            <m:oMathPara>
              <m:oMath>
                <m:r>
                  <m:rPr>
                    <m:sty m:val="p"/>
                  </m:rPr>
                  <w:rPr>
                    <w:rFonts w:ascii="Cambria Math" w:eastAsia="Times New Roman" w:hAnsi="Cambria Math" w:cs="Calibri"/>
                    <w:color w:val="000000"/>
                    <w:sz w:val="18"/>
                    <w:szCs w:val="18"/>
                    <w:lang w:val="en-GB" w:eastAsia="en-GB"/>
                  </w:rPr>
                  <w:br/>
                </m:r>
                <m:sSub>
                  <m:sSubPr>
                    <m:ctrlPr>
                      <w:rPr>
                        <w:rFonts w:ascii="Cambria Math" w:eastAsia="Times New Roman" w:hAnsi="Cambria Math" w:cs="Calibri"/>
                        <w:i/>
                        <w:color w:val="000000"/>
                        <w:sz w:val="18"/>
                        <w:szCs w:val="18"/>
                        <w:lang w:val="en-GB" w:eastAsia="en-GB"/>
                      </w:rPr>
                    </m:ctrlPr>
                  </m:sSubPr>
                  <m:e>
                    <m:r>
                      <w:rPr>
                        <w:rFonts w:ascii="Cambria Math" w:eastAsia="Times New Roman" w:hAnsi="Cambria Math" w:cs="Calibri"/>
                        <w:color w:val="000000"/>
                        <w:sz w:val="18"/>
                        <w:szCs w:val="18"/>
                        <w:lang w:val="en-GB" w:eastAsia="en-GB"/>
                      </w:rPr>
                      <m:t>β</m:t>
                    </m:r>
                  </m:e>
                  <m:sub>
                    <m:r>
                      <w:rPr>
                        <w:rFonts w:ascii="Cambria Math" w:eastAsia="Times New Roman" w:hAnsi="Cambria Math" w:cs="Calibri"/>
                        <w:color w:val="000000"/>
                        <w:sz w:val="18"/>
                        <w:szCs w:val="18"/>
                        <w:lang w:val="en-GB" w:eastAsia="en-GB"/>
                      </w:rPr>
                      <m:t>1</m:t>
                    </m:r>
                  </m:sub>
                </m:sSub>
                <m:r>
                  <w:rPr>
                    <w:rFonts w:ascii="Cambria Math" w:eastAsia="Times New Roman" w:hAnsi="Cambria Math" w:cs="Calibri"/>
                    <w:color w:val="000000"/>
                    <w:sz w:val="18"/>
                    <w:szCs w:val="18"/>
                    <w:lang w:val="en-GB" w:eastAsia="en-GB"/>
                  </w:rPr>
                  <m:t xml:space="preserve">  </m:t>
                </m:r>
              </m:oMath>
            </m:oMathPara>
            <w:r w:rsidRPr="00B33438">
              <w:rPr>
                <w:rFonts w:ascii="Calibri" w:eastAsia="Times New Roman" w:hAnsi="Calibri" w:cs="Calibri"/>
                <w:color w:val="000000"/>
                <w:sz w:val="18"/>
                <w:szCs w:val="18"/>
                <w:lang w:val="en-GB" w:eastAsia="en-GB"/>
              </w:rPr>
              <w:t xml:space="preserve"> </w:t>
            </w:r>
          </w:p>
        </w:tc>
        <w:tc>
          <w:tcPr>
            <w:tcW w:w="1134" w:type="dxa"/>
            <w:tcBorders>
              <w:top w:val="nil"/>
              <w:left w:val="nil"/>
              <w:bottom w:val="nil"/>
              <w:right w:val="nil"/>
            </w:tcBorders>
            <w:vAlign w:val="bottom"/>
          </w:tcPr>
          <w:p w14:paraId="2A222285" w14:textId="77777777" w:rsidR="000C4DE2" w:rsidRPr="00B33438" w:rsidRDefault="00B33438" w:rsidP="000C4DE2">
            <w:pPr>
              <w:rPr>
                <w:rFonts w:ascii="Calibri" w:eastAsia="Times New Roman" w:hAnsi="Calibri" w:cs="Calibri"/>
                <w:color w:val="000000"/>
                <w:sz w:val="18"/>
                <w:szCs w:val="18"/>
                <w:lang w:val="en-GB" w:eastAsia="en-GB"/>
              </w:rPr>
            </w:pPr>
            <m:oMath>
              <m:sSub>
                <m:sSubPr>
                  <m:ctrlPr>
                    <w:rPr>
                      <w:rFonts w:ascii="Cambria Math" w:eastAsia="Times New Roman" w:hAnsi="Cambria Math" w:cs="Calibri"/>
                      <w:i/>
                      <w:color w:val="000000"/>
                      <w:sz w:val="18"/>
                      <w:szCs w:val="18"/>
                      <w:lang w:val="en-GB" w:eastAsia="en-GB"/>
                    </w:rPr>
                  </m:ctrlPr>
                </m:sSubPr>
                <m:e>
                  <m:r>
                    <w:rPr>
                      <w:rFonts w:ascii="Cambria Math" w:eastAsia="Times New Roman" w:hAnsi="Cambria Math" w:cs="Calibri"/>
                      <w:color w:val="000000"/>
                      <w:sz w:val="18"/>
                      <w:szCs w:val="18"/>
                      <w:lang w:val="en-GB" w:eastAsia="en-GB"/>
                    </w:rPr>
                    <m:t>β</m:t>
                  </m:r>
                </m:e>
                <m:sub>
                  <m:r>
                    <w:rPr>
                      <w:rFonts w:ascii="Cambria Math" w:eastAsia="Times New Roman" w:hAnsi="Cambria Math" w:cs="Calibri"/>
                      <w:color w:val="000000"/>
                      <w:sz w:val="18"/>
                      <w:szCs w:val="18"/>
                      <w:lang w:val="en-GB" w:eastAsia="en-GB"/>
                    </w:rPr>
                    <m:t>1</m:t>
                  </m:r>
                </m:sub>
              </m:sSub>
              <m:r>
                <w:rPr>
                  <w:rFonts w:ascii="Cambria Math" w:eastAsia="Times New Roman" w:hAnsi="Cambria Math" w:cs="Calibri"/>
                  <w:color w:val="000000"/>
                  <w:sz w:val="18"/>
                  <w:szCs w:val="18"/>
                  <w:lang w:val="en-GB" w:eastAsia="en-GB"/>
                </w:rPr>
                <m:t xml:space="preserve">  </m:t>
              </m:r>
            </m:oMath>
            <w:r w:rsidR="000C4DE2" w:rsidRPr="00B33438">
              <w:rPr>
                <w:rFonts w:ascii="Calibri" w:eastAsia="Times New Roman" w:hAnsi="Calibri" w:cs="Calibri"/>
                <w:color w:val="000000"/>
                <w:sz w:val="18"/>
                <w:szCs w:val="18"/>
                <w:lang w:val="en-GB" w:eastAsia="en-GB"/>
              </w:rPr>
              <w:t xml:space="preserve"> </w:t>
            </w:r>
          </w:p>
        </w:tc>
        <w:tc>
          <w:tcPr>
            <w:tcW w:w="1134" w:type="dxa"/>
            <w:tcBorders>
              <w:top w:val="nil"/>
              <w:left w:val="nil"/>
              <w:bottom w:val="nil"/>
              <w:right w:val="nil"/>
            </w:tcBorders>
            <w:shd w:val="clear" w:color="auto" w:fill="auto"/>
            <w:noWrap/>
            <w:vAlign w:val="bottom"/>
            <w:hideMark/>
          </w:tcPr>
          <w:p w14:paraId="7A931065"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Correct</w:t>
            </w:r>
          </w:p>
        </w:tc>
        <w:tc>
          <w:tcPr>
            <w:tcW w:w="716" w:type="dxa"/>
            <w:tcBorders>
              <w:top w:val="nil"/>
              <w:left w:val="nil"/>
              <w:bottom w:val="nil"/>
              <w:right w:val="nil"/>
            </w:tcBorders>
            <w:vAlign w:val="bottom"/>
          </w:tcPr>
          <w:p w14:paraId="76E8E8DA"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Set</w:t>
            </w:r>
          </w:p>
        </w:tc>
        <w:tc>
          <w:tcPr>
            <w:tcW w:w="992" w:type="dxa"/>
            <w:tcBorders>
              <w:top w:val="nil"/>
              <w:left w:val="nil"/>
              <w:bottom w:val="nil"/>
              <w:right w:val="nil"/>
            </w:tcBorders>
            <w:vAlign w:val="bottom"/>
          </w:tcPr>
          <w:p w14:paraId="6039DE44"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Correct</w:t>
            </w:r>
          </w:p>
        </w:tc>
        <w:tc>
          <w:tcPr>
            <w:tcW w:w="936" w:type="dxa"/>
            <w:gridSpan w:val="2"/>
            <w:tcBorders>
              <w:top w:val="nil"/>
              <w:left w:val="nil"/>
              <w:bottom w:val="nil"/>
              <w:right w:val="nil"/>
            </w:tcBorders>
            <w:shd w:val="clear" w:color="auto" w:fill="auto"/>
            <w:noWrap/>
            <w:vAlign w:val="bottom"/>
            <w:hideMark/>
          </w:tcPr>
          <w:p w14:paraId="2710C646" w14:textId="77777777" w:rsidR="000C4DE2" w:rsidRPr="00B33438" w:rsidRDefault="000C4DE2" w:rsidP="000C4DE2">
            <w:pPr>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Set</w:t>
            </w:r>
          </w:p>
        </w:tc>
      </w:tr>
      <w:tr w:rsidR="000C4DE2" w:rsidRPr="00B33438" w14:paraId="4ECC39D0" w14:textId="77777777" w:rsidTr="000C4DE2">
        <w:trPr>
          <w:trHeight w:val="300"/>
        </w:trPr>
        <w:tc>
          <w:tcPr>
            <w:tcW w:w="531" w:type="dxa"/>
            <w:tcBorders>
              <w:top w:val="nil"/>
              <w:left w:val="nil"/>
              <w:bottom w:val="nil"/>
              <w:right w:val="nil"/>
            </w:tcBorders>
            <w:shd w:val="clear" w:color="auto" w:fill="auto"/>
            <w:noWrap/>
            <w:vAlign w:val="bottom"/>
            <w:hideMark/>
          </w:tcPr>
          <w:p w14:paraId="2EBEBD4E"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w:t>
            </w:r>
          </w:p>
        </w:tc>
        <w:tc>
          <w:tcPr>
            <w:tcW w:w="567" w:type="dxa"/>
            <w:tcBorders>
              <w:top w:val="nil"/>
              <w:left w:val="nil"/>
              <w:bottom w:val="nil"/>
              <w:right w:val="nil"/>
            </w:tcBorders>
            <w:shd w:val="clear" w:color="auto" w:fill="auto"/>
            <w:noWrap/>
            <w:vAlign w:val="bottom"/>
            <w:hideMark/>
          </w:tcPr>
          <w:p w14:paraId="6671211D"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w:t>
            </w:r>
          </w:p>
        </w:tc>
        <w:tc>
          <w:tcPr>
            <w:tcW w:w="1702" w:type="dxa"/>
            <w:tcBorders>
              <w:top w:val="nil"/>
              <w:left w:val="nil"/>
              <w:bottom w:val="nil"/>
              <w:right w:val="nil"/>
            </w:tcBorders>
            <w:shd w:val="clear" w:color="auto" w:fill="auto"/>
            <w:noWrap/>
            <w:vAlign w:val="bottom"/>
            <w:hideMark/>
          </w:tcPr>
          <w:p w14:paraId="1D105631"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0.00 (0.22) [0.21]</w:t>
            </w:r>
          </w:p>
        </w:tc>
        <w:tc>
          <w:tcPr>
            <w:tcW w:w="1134" w:type="dxa"/>
            <w:tcBorders>
              <w:top w:val="nil"/>
              <w:left w:val="nil"/>
              <w:bottom w:val="nil"/>
              <w:right w:val="nil"/>
            </w:tcBorders>
            <w:vAlign w:val="bottom"/>
          </w:tcPr>
          <w:p w14:paraId="16C7448F"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559" w:type="dxa"/>
            <w:tcBorders>
              <w:top w:val="nil"/>
              <w:left w:val="nil"/>
              <w:bottom w:val="nil"/>
              <w:right w:val="nil"/>
            </w:tcBorders>
            <w:vAlign w:val="bottom"/>
          </w:tcPr>
          <w:p w14:paraId="759DE29C"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0.00 (0.22) [0.21]</w:t>
            </w:r>
          </w:p>
        </w:tc>
        <w:tc>
          <w:tcPr>
            <w:tcW w:w="1134" w:type="dxa"/>
            <w:tcBorders>
              <w:top w:val="nil"/>
              <w:left w:val="nil"/>
              <w:bottom w:val="nil"/>
              <w:right w:val="nil"/>
            </w:tcBorders>
            <w:vAlign w:val="bottom"/>
          </w:tcPr>
          <w:p w14:paraId="450B7182"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134" w:type="dxa"/>
            <w:tcBorders>
              <w:top w:val="nil"/>
              <w:left w:val="nil"/>
              <w:bottom w:val="nil"/>
              <w:right w:val="nil"/>
            </w:tcBorders>
            <w:shd w:val="clear" w:color="auto" w:fill="auto"/>
            <w:noWrap/>
            <w:vAlign w:val="bottom"/>
            <w:hideMark/>
          </w:tcPr>
          <w:p w14:paraId="630E655C"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w:t>
            </w:r>
          </w:p>
        </w:tc>
        <w:tc>
          <w:tcPr>
            <w:tcW w:w="716" w:type="dxa"/>
            <w:tcBorders>
              <w:top w:val="nil"/>
              <w:left w:val="nil"/>
              <w:bottom w:val="nil"/>
              <w:right w:val="nil"/>
            </w:tcBorders>
            <w:vAlign w:val="bottom"/>
          </w:tcPr>
          <w:p w14:paraId="3A537228"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w:t>
            </w:r>
          </w:p>
        </w:tc>
        <w:tc>
          <w:tcPr>
            <w:tcW w:w="992" w:type="dxa"/>
            <w:tcBorders>
              <w:top w:val="nil"/>
              <w:left w:val="nil"/>
              <w:bottom w:val="nil"/>
              <w:right w:val="nil"/>
            </w:tcBorders>
            <w:vAlign w:val="bottom"/>
          </w:tcPr>
          <w:p w14:paraId="2E4F4C69"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w:t>
            </w:r>
          </w:p>
        </w:tc>
        <w:tc>
          <w:tcPr>
            <w:tcW w:w="936" w:type="dxa"/>
            <w:gridSpan w:val="2"/>
            <w:tcBorders>
              <w:top w:val="nil"/>
              <w:left w:val="nil"/>
              <w:bottom w:val="nil"/>
              <w:right w:val="nil"/>
            </w:tcBorders>
            <w:shd w:val="clear" w:color="auto" w:fill="auto"/>
            <w:noWrap/>
            <w:vAlign w:val="bottom"/>
            <w:hideMark/>
          </w:tcPr>
          <w:p w14:paraId="333336DB"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w:t>
            </w:r>
          </w:p>
        </w:tc>
      </w:tr>
      <w:tr w:rsidR="000C4DE2" w:rsidRPr="00B33438" w14:paraId="00C94ED9" w14:textId="77777777" w:rsidTr="000C4DE2">
        <w:trPr>
          <w:trHeight w:val="300"/>
        </w:trPr>
        <w:tc>
          <w:tcPr>
            <w:tcW w:w="531" w:type="dxa"/>
            <w:tcBorders>
              <w:top w:val="nil"/>
              <w:left w:val="nil"/>
              <w:bottom w:val="nil"/>
              <w:right w:val="nil"/>
            </w:tcBorders>
            <w:shd w:val="clear" w:color="auto" w:fill="auto"/>
            <w:noWrap/>
            <w:vAlign w:val="bottom"/>
            <w:hideMark/>
          </w:tcPr>
          <w:p w14:paraId="0BD2BAA1"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w:t>
            </w:r>
          </w:p>
        </w:tc>
        <w:tc>
          <w:tcPr>
            <w:tcW w:w="567" w:type="dxa"/>
            <w:tcBorders>
              <w:top w:val="nil"/>
              <w:left w:val="nil"/>
              <w:bottom w:val="nil"/>
              <w:right w:val="nil"/>
            </w:tcBorders>
            <w:shd w:val="clear" w:color="auto" w:fill="auto"/>
            <w:noWrap/>
            <w:vAlign w:val="bottom"/>
            <w:hideMark/>
          </w:tcPr>
          <w:p w14:paraId="2E4E72B4"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w:t>
            </w:r>
          </w:p>
        </w:tc>
        <w:tc>
          <w:tcPr>
            <w:tcW w:w="1702" w:type="dxa"/>
            <w:tcBorders>
              <w:top w:val="nil"/>
              <w:left w:val="nil"/>
              <w:bottom w:val="nil"/>
              <w:right w:val="nil"/>
            </w:tcBorders>
            <w:shd w:val="clear" w:color="auto" w:fill="auto"/>
            <w:noWrap/>
            <w:vAlign w:val="bottom"/>
            <w:hideMark/>
          </w:tcPr>
          <w:p w14:paraId="1293306C"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0.99 (0.21) [0.21]</w:t>
            </w:r>
          </w:p>
        </w:tc>
        <w:tc>
          <w:tcPr>
            <w:tcW w:w="1134" w:type="dxa"/>
            <w:tcBorders>
              <w:top w:val="nil"/>
              <w:left w:val="nil"/>
              <w:bottom w:val="nil"/>
              <w:right w:val="nil"/>
            </w:tcBorders>
            <w:vAlign w:val="bottom"/>
          </w:tcPr>
          <w:p w14:paraId="33B54839"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0.94</w:t>
            </w:r>
          </w:p>
        </w:tc>
        <w:tc>
          <w:tcPr>
            <w:tcW w:w="1559" w:type="dxa"/>
            <w:tcBorders>
              <w:top w:val="nil"/>
              <w:left w:val="nil"/>
              <w:bottom w:val="nil"/>
              <w:right w:val="nil"/>
            </w:tcBorders>
            <w:vAlign w:val="bottom"/>
          </w:tcPr>
          <w:p w14:paraId="4CA073E5"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0.99 (0.21) [0.21]</w:t>
            </w:r>
          </w:p>
        </w:tc>
        <w:tc>
          <w:tcPr>
            <w:tcW w:w="1134" w:type="dxa"/>
            <w:tcBorders>
              <w:top w:val="nil"/>
              <w:left w:val="nil"/>
              <w:bottom w:val="nil"/>
              <w:right w:val="nil"/>
            </w:tcBorders>
            <w:vAlign w:val="bottom"/>
          </w:tcPr>
          <w:p w14:paraId="428AF314"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0.94</w:t>
            </w:r>
          </w:p>
        </w:tc>
        <w:tc>
          <w:tcPr>
            <w:tcW w:w="1134" w:type="dxa"/>
            <w:tcBorders>
              <w:top w:val="nil"/>
              <w:left w:val="nil"/>
              <w:bottom w:val="nil"/>
              <w:right w:val="nil"/>
            </w:tcBorders>
            <w:shd w:val="clear" w:color="auto" w:fill="auto"/>
            <w:noWrap/>
            <w:vAlign w:val="bottom"/>
            <w:hideMark/>
          </w:tcPr>
          <w:p w14:paraId="679C2CC4"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0.18</w:t>
            </w:r>
          </w:p>
        </w:tc>
        <w:tc>
          <w:tcPr>
            <w:tcW w:w="716" w:type="dxa"/>
            <w:tcBorders>
              <w:top w:val="nil"/>
              <w:left w:val="nil"/>
              <w:bottom w:val="nil"/>
              <w:right w:val="nil"/>
            </w:tcBorders>
            <w:vAlign w:val="bottom"/>
          </w:tcPr>
          <w:p w14:paraId="6D6E479F"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0.91</w:t>
            </w:r>
          </w:p>
        </w:tc>
        <w:tc>
          <w:tcPr>
            <w:tcW w:w="992" w:type="dxa"/>
            <w:tcBorders>
              <w:top w:val="nil"/>
              <w:left w:val="nil"/>
              <w:bottom w:val="nil"/>
              <w:right w:val="nil"/>
            </w:tcBorders>
            <w:vAlign w:val="bottom"/>
          </w:tcPr>
          <w:p w14:paraId="3ABE9899"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0.18</w:t>
            </w:r>
          </w:p>
        </w:tc>
        <w:tc>
          <w:tcPr>
            <w:tcW w:w="936" w:type="dxa"/>
            <w:gridSpan w:val="2"/>
            <w:tcBorders>
              <w:top w:val="nil"/>
              <w:left w:val="nil"/>
              <w:bottom w:val="nil"/>
              <w:right w:val="nil"/>
            </w:tcBorders>
            <w:shd w:val="clear" w:color="auto" w:fill="auto"/>
            <w:noWrap/>
            <w:vAlign w:val="bottom"/>
            <w:hideMark/>
          </w:tcPr>
          <w:p w14:paraId="3CF0E68C"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0.91</w:t>
            </w:r>
          </w:p>
        </w:tc>
      </w:tr>
      <w:tr w:rsidR="000C4DE2" w:rsidRPr="00B33438" w14:paraId="2C00567E" w14:textId="77777777" w:rsidTr="000C4DE2">
        <w:trPr>
          <w:trHeight w:val="300"/>
        </w:trPr>
        <w:tc>
          <w:tcPr>
            <w:tcW w:w="531" w:type="dxa"/>
            <w:tcBorders>
              <w:top w:val="nil"/>
              <w:left w:val="nil"/>
              <w:bottom w:val="nil"/>
              <w:right w:val="nil"/>
            </w:tcBorders>
            <w:shd w:val="clear" w:color="auto" w:fill="auto"/>
            <w:noWrap/>
            <w:vAlign w:val="bottom"/>
            <w:hideMark/>
          </w:tcPr>
          <w:p w14:paraId="45E280F8"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w:t>
            </w:r>
          </w:p>
        </w:tc>
        <w:tc>
          <w:tcPr>
            <w:tcW w:w="567" w:type="dxa"/>
            <w:tcBorders>
              <w:top w:val="nil"/>
              <w:left w:val="nil"/>
              <w:bottom w:val="nil"/>
              <w:right w:val="nil"/>
            </w:tcBorders>
            <w:shd w:val="clear" w:color="auto" w:fill="auto"/>
            <w:noWrap/>
            <w:vAlign w:val="bottom"/>
            <w:hideMark/>
          </w:tcPr>
          <w:p w14:paraId="1D7A956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w:t>
            </w:r>
          </w:p>
        </w:tc>
        <w:tc>
          <w:tcPr>
            <w:tcW w:w="1702" w:type="dxa"/>
            <w:tcBorders>
              <w:top w:val="nil"/>
              <w:left w:val="nil"/>
              <w:bottom w:val="nil"/>
              <w:right w:val="nil"/>
            </w:tcBorders>
            <w:shd w:val="clear" w:color="auto" w:fill="auto"/>
            <w:noWrap/>
            <w:vAlign w:val="bottom"/>
            <w:hideMark/>
          </w:tcPr>
          <w:p w14:paraId="02C206D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1.97 (0.22) [0.21]</w:t>
            </w:r>
          </w:p>
        </w:tc>
        <w:tc>
          <w:tcPr>
            <w:tcW w:w="1134" w:type="dxa"/>
            <w:tcBorders>
              <w:top w:val="nil"/>
              <w:left w:val="nil"/>
              <w:bottom w:val="nil"/>
              <w:right w:val="nil"/>
            </w:tcBorders>
            <w:vAlign w:val="bottom"/>
          </w:tcPr>
          <w:p w14:paraId="688CC343"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559" w:type="dxa"/>
            <w:tcBorders>
              <w:top w:val="nil"/>
              <w:left w:val="nil"/>
              <w:bottom w:val="nil"/>
              <w:right w:val="nil"/>
            </w:tcBorders>
            <w:vAlign w:val="bottom"/>
          </w:tcPr>
          <w:p w14:paraId="7B2BCFC8"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1.97 (0.22) [0.21]</w:t>
            </w:r>
          </w:p>
        </w:tc>
        <w:tc>
          <w:tcPr>
            <w:tcW w:w="1134" w:type="dxa"/>
            <w:tcBorders>
              <w:top w:val="nil"/>
              <w:left w:val="nil"/>
              <w:bottom w:val="nil"/>
              <w:right w:val="nil"/>
            </w:tcBorders>
            <w:vAlign w:val="bottom"/>
          </w:tcPr>
          <w:p w14:paraId="5ACF38D2"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134" w:type="dxa"/>
            <w:tcBorders>
              <w:top w:val="nil"/>
              <w:left w:val="nil"/>
              <w:bottom w:val="nil"/>
              <w:right w:val="nil"/>
            </w:tcBorders>
            <w:shd w:val="clear" w:color="auto" w:fill="auto"/>
            <w:noWrap/>
            <w:vAlign w:val="bottom"/>
            <w:hideMark/>
          </w:tcPr>
          <w:p w14:paraId="5AC3B238"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0.36</w:t>
            </w:r>
          </w:p>
        </w:tc>
        <w:tc>
          <w:tcPr>
            <w:tcW w:w="716" w:type="dxa"/>
            <w:tcBorders>
              <w:top w:val="nil"/>
              <w:left w:val="nil"/>
              <w:bottom w:val="nil"/>
              <w:right w:val="nil"/>
            </w:tcBorders>
            <w:vAlign w:val="bottom"/>
          </w:tcPr>
          <w:p w14:paraId="2098F7B2"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0.90</w:t>
            </w:r>
          </w:p>
        </w:tc>
        <w:tc>
          <w:tcPr>
            <w:tcW w:w="992" w:type="dxa"/>
            <w:tcBorders>
              <w:top w:val="nil"/>
              <w:left w:val="nil"/>
              <w:bottom w:val="nil"/>
              <w:right w:val="nil"/>
            </w:tcBorders>
            <w:vAlign w:val="bottom"/>
          </w:tcPr>
          <w:p w14:paraId="276329FA"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0.36</w:t>
            </w:r>
          </w:p>
        </w:tc>
        <w:tc>
          <w:tcPr>
            <w:tcW w:w="936" w:type="dxa"/>
            <w:gridSpan w:val="2"/>
            <w:tcBorders>
              <w:top w:val="nil"/>
              <w:left w:val="nil"/>
              <w:bottom w:val="nil"/>
              <w:right w:val="nil"/>
            </w:tcBorders>
            <w:shd w:val="clear" w:color="auto" w:fill="auto"/>
            <w:noWrap/>
            <w:vAlign w:val="bottom"/>
            <w:hideMark/>
          </w:tcPr>
          <w:p w14:paraId="224E2C2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0.90</w:t>
            </w:r>
          </w:p>
        </w:tc>
      </w:tr>
      <w:tr w:rsidR="000C4DE2" w:rsidRPr="00B33438" w14:paraId="741AFD11" w14:textId="77777777" w:rsidTr="000C4DE2">
        <w:trPr>
          <w:trHeight w:val="300"/>
        </w:trPr>
        <w:tc>
          <w:tcPr>
            <w:tcW w:w="531" w:type="dxa"/>
            <w:tcBorders>
              <w:top w:val="nil"/>
              <w:left w:val="nil"/>
              <w:bottom w:val="nil"/>
              <w:right w:val="nil"/>
            </w:tcBorders>
            <w:shd w:val="clear" w:color="auto" w:fill="auto"/>
            <w:noWrap/>
            <w:vAlign w:val="bottom"/>
            <w:hideMark/>
          </w:tcPr>
          <w:p w14:paraId="2402EB74"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0.5</w:t>
            </w:r>
          </w:p>
        </w:tc>
        <w:tc>
          <w:tcPr>
            <w:tcW w:w="567" w:type="dxa"/>
            <w:tcBorders>
              <w:top w:val="nil"/>
              <w:left w:val="nil"/>
              <w:bottom w:val="nil"/>
              <w:right w:val="nil"/>
            </w:tcBorders>
            <w:shd w:val="clear" w:color="auto" w:fill="auto"/>
            <w:noWrap/>
            <w:vAlign w:val="bottom"/>
            <w:hideMark/>
          </w:tcPr>
          <w:p w14:paraId="1F0F8627"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w:t>
            </w:r>
          </w:p>
        </w:tc>
        <w:tc>
          <w:tcPr>
            <w:tcW w:w="1702" w:type="dxa"/>
            <w:tcBorders>
              <w:top w:val="nil"/>
              <w:left w:val="nil"/>
              <w:bottom w:val="nil"/>
              <w:right w:val="nil"/>
            </w:tcBorders>
            <w:shd w:val="clear" w:color="auto" w:fill="auto"/>
            <w:noWrap/>
            <w:vAlign w:val="bottom"/>
            <w:hideMark/>
          </w:tcPr>
          <w:p w14:paraId="319A44CF"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-0.01 (0.23) [0.23]</w:t>
            </w:r>
          </w:p>
        </w:tc>
        <w:tc>
          <w:tcPr>
            <w:tcW w:w="1134" w:type="dxa"/>
            <w:tcBorders>
              <w:top w:val="nil"/>
              <w:left w:val="nil"/>
              <w:bottom w:val="nil"/>
              <w:right w:val="nil"/>
            </w:tcBorders>
            <w:vAlign w:val="bottom"/>
          </w:tcPr>
          <w:p w14:paraId="064E8D59"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0.96</w:t>
            </w:r>
          </w:p>
        </w:tc>
        <w:tc>
          <w:tcPr>
            <w:tcW w:w="1559" w:type="dxa"/>
            <w:tcBorders>
              <w:top w:val="nil"/>
              <w:left w:val="nil"/>
              <w:bottom w:val="nil"/>
              <w:right w:val="nil"/>
            </w:tcBorders>
            <w:vAlign w:val="bottom"/>
          </w:tcPr>
          <w:p w14:paraId="0E914223"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-0.01 (0.23) [0.23]</w:t>
            </w:r>
          </w:p>
        </w:tc>
        <w:tc>
          <w:tcPr>
            <w:tcW w:w="1134" w:type="dxa"/>
            <w:tcBorders>
              <w:top w:val="nil"/>
              <w:left w:val="nil"/>
              <w:bottom w:val="nil"/>
              <w:right w:val="nil"/>
            </w:tcBorders>
            <w:vAlign w:val="bottom"/>
          </w:tcPr>
          <w:p w14:paraId="75A2F208"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0.96</w:t>
            </w:r>
          </w:p>
        </w:tc>
        <w:tc>
          <w:tcPr>
            <w:tcW w:w="1134" w:type="dxa"/>
            <w:tcBorders>
              <w:top w:val="nil"/>
              <w:left w:val="nil"/>
              <w:bottom w:val="nil"/>
              <w:right w:val="nil"/>
            </w:tcBorders>
            <w:shd w:val="clear" w:color="auto" w:fill="auto"/>
            <w:noWrap/>
            <w:vAlign w:val="bottom"/>
            <w:hideMark/>
          </w:tcPr>
          <w:p w14:paraId="072C1B64"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w:t>
            </w:r>
          </w:p>
        </w:tc>
        <w:tc>
          <w:tcPr>
            <w:tcW w:w="716" w:type="dxa"/>
            <w:tcBorders>
              <w:top w:val="nil"/>
              <w:left w:val="nil"/>
              <w:bottom w:val="nil"/>
              <w:right w:val="nil"/>
            </w:tcBorders>
            <w:vAlign w:val="bottom"/>
          </w:tcPr>
          <w:p w14:paraId="42236FD2"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w:t>
            </w:r>
          </w:p>
        </w:tc>
        <w:tc>
          <w:tcPr>
            <w:tcW w:w="992" w:type="dxa"/>
            <w:tcBorders>
              <w:top w:val="nil"/>
              <w:left w:val="nil"/>
              <w:bottom w:val="nil"/>
              <w:right w:val="nil"/>
            </w:tcBorders>
            <w:vAlign w:val="bottom"/>
          </w:tcPr>
          <w:p w14:paraId="6485905F"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w:t>
            </w:r>
          </w:p>
        </w:tc>
        <w:tc>
          <w:tcPr>
            <w:tcW w:w="936" w:type="dxa"/>
            <w:gridSpan w:val="2"/>
            <w:tcBorders>
              <w:top w:val="nil"/>
              <w:left w:val="nil"/>
              <w:bottom w:val="nil"/>
              <w:right w:val="nil"/>
            </w:tcBorders>
            <w:shd w:val="clear" w:color="auto" w:fill="auto"/>
            <w:noWrap/>
            <w:vAlign w:val="bottom"/>
            <w:hideMark/>
          </w:tcPr>
          <w:p w14:paraId="7300787B"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w:t>
            </w:r>
          </w:p>
        </w:tc>
      </w:tr>
      <w:tr w:rsidR="000C4DE2" w:rsidRPr="00B33438" w14:paraId="7CB512A4" w14:textId="77777777" w:rsidTr="000C4DE2">
        <w:trPr>
          <w:trHeight w:val="300"/>
        </w:trPr>
        <w:tc>
          <w:tcPr>
            <w:tcW w:w="531" w:type="dxa"/>
            <w:tcBorders>
              <w:top w:val="nil"/>
              <w:left w:val="nil"/>
              <w:bottom w:val="nil"/>
              <w:right w:val="nil"/>
            </w:tcBorders>
            <w:shd w:val="clear" w:color="auto" w:fill="auto"/>
            <w:noWrap/>
            <w:vAlign w:val="bottom"/>
            <w:hideMark/>
          </w:tcPr>
          <w:p w14:paraId="4A6B7514"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0.5</w:t>
            </w:r>
          </w:p>
        </w:tc>
        <w:tc>
          <w:tcPr>
            <w:tcW w:w="567" w:type="dxa"/>
            <w:tcBorders>
              <w:top w:val="nil"/>
              <w:left w:val="nil"/>
              <w:bottom w:val="nil"/>
              <w:right w:val="nil"/>
            </w:tcBorders>
            <w:shd w:val="clear" w:color="auto" w:fill="auto"/>
            <w:noWrap/>
            <w:vAlign w:val="bottom"/>
            <w:hideMark/>
          </w:tcPr>
          <w:p w14:paraId="17775C81"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w:t>
            </w:r>
          </w:p>
        </w:tc>
        <w:tc>
          <w:tcPr>
            <w:tcW w:w="1702" w:type="dxa"/>
            <w:tcBorders>
              <w:top w:val="nil"/>
              <w:left w:val="nil"/>
              <w:bottom w:val="nil"/>
              <w:right w:val="nil"/>
            </w:tcBorders>
            <w:shd w:val="clear" w:color="auto" w:fill="auto"/>
            <w:noWrap/>
            <w:vAlign w:val="bottom"/>
            <w:hideMark/>
          </w:tcPr>
          <w:p w14:paraId="59248B57"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 xml:space="preserve">0.99 (0.24) [0.24] </w:t>
            </w:r>
          </w:p>
        </w:tc>
        <w:tc>
          <w:tcPr>
            <w:tcW w:w="1134" w:type="dxa"/>
            <w:tcBorders>
              <w:top w:val="nil"/>
              <w:left w:val="nil"/>
              <w:bottom w:val="nil"/>
              <w:right w:val="nil"/>
            </w:tcBorders>
            <w:vAlign w:val="bottom"/>
          </w:tcPr>
          <w:p w14:paraId="6A027792"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0.94</w:t>
            </w:r>
          </w:p>
        </w:tc>
        <w:tc>
          <w:tcPr>
            <w:tcW w:w="1559" w:type="dxa"/>
            <w:tcBorders>
              <w:top w:val="nil"/>
              <w:left w:val="nil"/>
              <w:bottom w:val="nil"/>
              <w:right w:val="nil"/>
            </w:tcBorders>
            <w:vAlign w:val="bottom"/>
          </w:tcPr>
          <w:p w14:paraId="7BB21C9D"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 xml:space="preserve">0.99 (0.24) [0.23] </w:t>
            </w:r>
          </w:p>
        </w:tc>
        <w:tc>
          <w:tcPr>
            <w:tcW w:w="1134" w:type="dxa"/>
            <w:tcBorders>
              <w:top w:val="nil"/>
              <w:left w:val="nil"/>
              <w:bottom w:val="nil"/>
              <w:right w:val="nil"/>
            </w:tcBorders>
            <w:vAlign w:val="bottom"/>
          </w:tcPr>
          <w:p w14:paraId="7B00A78C"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0.94</w:t>
            </w:r>
          </w:p>
        </w:tc>
        <w:tc>
          <w:tcPr>
            <w:tcW w:w="1134" w:type="dxa"/>
            <w:tcBorders>
              <w:top w:val="nil"/>
              <w:left w:val="nil"/>
              <w:bottom w:val="nil"/>
              <w:right w:val="nil"/>
            </w:tcBorders>
            <w:shd w:val="clear" w:color="auto" w:fill="auto"/>
            <w:noWrap/>
            <w:vAlign w:val="bottom"/>
            <w:hideMark/>
          </w:tcPr>
          <w:p w14:paraId="63289114"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0.17</w:t>
            </w:r>
          </w:p>
        </w:tc>
        <w:tc>
          <w:tcPr>
            <w:tcW w:w="716" w:type="dxa"/>
            <w:tcBorders>
              <w:top w:val="nil"/>
              <w:left w:val="nil"/>
              <w:bottom w:val="nil"/>
              <w:right w:val="nil"/>
            </w:tcBorders>
            <w:vAlign w:val="bottom"/>
          </w:tcPr>
          <w:p w14:paraId="2652A9C6"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0.91</w:t>
            </w:r>
          </w:p>
        </w:tc>
        <w:tc>
          <w:tcPr>
            <w:tcW w:w="992" w:type="dxa"/>
            <w:tcBorders>
              <w:top w:val="nil"/>
              <w:left w:val="nil"/>
              <w:bottom w:val="nil"/>
              <w:right w:val="nil"/>
            </w:tcBorders>
            <w:vAlign w:val="bottom"/>
          </w:tcPr>
          <w:p w14:paraId="4C47CDEC"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0.17</w:t>
            </w:r>
          </w:p>
        </w:tc>
        <w:tc>
          <w:tcPr>
            <w:tcW w:w="936" w:type="dxa"/>
            <w:gridSpan w:val="2"/>
            <w:tcBorders>
              <w:top w:val="nil"/>
              <w:left w:val="nil"/>
              <w:bottom w:val="nil"/>
              <w:right w:val="nil"/>
            </w:tcBorders>
            <w:shd w:val="clear" w:color="auto" w:fill="auto"/>
            <w:noWrap/>
            <w:vAlign w:val="bottom"/>
            <w:hideMark/>
          </w:tcPr>
          <w:p w14:paraId="79B3AB07"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0.91</w:t>
            </w:r>
          </w:p>
        </w:tc>
      </w:tr>
      <w:tr w:rsidR="000C4DE2" w:rsidRPr="00B33438" w14:paraId="1050530A" w14:textId="77777777" w:rsidTr="000C4DE2">
        <w:trPr>
          <w:trHeight w:val="300"/>
        </w:trPr>
        <w:tc>
          <w:tcPr>
            <w:tcW w:w="531" w:type="dxa"/>
            <w:tcBorders>
              <w:top w:val="nil"/>
              <w:left w:val="nil"/>
              <w:bottom w:val="nil"/>
              <w:right w:val="nil"/>
            </w:tcBorders>
            <w:shd w:val="clear" w:color="auto" w:fill="auto"/>
            <w:noWrap/>
            <w:vAlign w:val="bottom"/>
            <w:hideMark/>
          </w:tcPr>
          <w:p w14:paraId="49991B62"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0.5</w:t>
            </w:r>
          </w:p>
        </w:tc>
        <w:tc>
          <w:tcPr>
            <w:tcW w:w="567" w:type="dxa"/>
            <w:tcBorders>
              <w:top w:val="nil"/>
              <w:left w:val="nil"/>
              <w:bottom w:val="nil"/>
              <w:right w:val="nil"/>
            </w:tcBorders>
            <w:shd w:val="clear" w:color="auto" w:fill="auto"/>
            <w:noWrap/>
            <w:vAlign w:val="bottom"/>
            <w:hideMark/>
          </w:tcPr>
          <w:p w14:paraId="11BC578B"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w:t>
            </w:r>
          </w:p>
        </w:tc>
        <w:tc>
          <w:tcPr>
            <w:tcW w:w="1702" w:type="dxa"/>
            <w:tcBorders>
              <w:top w:val="nil"/>
              <w:left w:val="nil"/>
              <w:bottom w:val="nil"/>
              <w:right w:val="nil"/>
            </w:tcBorders>
            <w:shd w:val="clear" w:color="auto" w:fill="auto"/>
            <w:noWrap/>
            <w:vAlign w:val="bottom"/>
            <w:hideMark/>
          </w:tcPr>
          <w:p w14:paraId="01773A47"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1.99 (0.23) [0.24]</w:t>
            </w:r>
          </w:p>
        </w:tc>
        <w:tc>
          <w:tcPr>
            <w:tcW w:w="1134" w:type="dxa"/>
            <w:tcBorders>
              <w:top w:val="nil"/>
              <w:left w:val="nil"/>
              <w:bottom w:val="nil"/>
              <w:right w:val="nil"/>
            </w:tcBorders>
            <w:vAlign w:val="bottom"/>
          </w:tcPr>
          <w:p w14:paraId="560373E8"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559" w:type="dxa"/>
            <w:tcBorders>
              <w:top w:val="nil"/>
              <w:left w:val="nil"/>
              <w:bottom w:val="nil"/>
              <w:right w:val="nil"/>
            </w:tcBorders>
            <w:vAlign w:val="bottom"/>
          </w:tcPr>
          <w:p w14:paraId="5D827B60"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1.99 (0.23) [0.24]</w:t>
            </w:r>
          </w:p>
        </w:tc>
        <w:tc>
          <w:tcPr>
            <w:tcW w:w="1134" w:type="dxa"/>
            <w:tcBorders>
              <w:top w:val="nil"/>
              <w:left w:val="nil"/>
              <w:bottom w:val="nil"/>
              <w:right w:val="nil"/>
            </w:tcBorders>
            <w:vAlign w:val="bottom"/>
          </w:tcPr>
          <w:p w14:paraId="71C3ECFC"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134" w:type="dxa"/>
            <w:tcBorders>
              <w:top w:val="nil"/>
              <w:left w:val="nil"/>
              <w:bottom w:val="nil"/>
              <w:right w:val="nil"/>
            </w:tcBorders>
            <w:shd w:val="clear" w:color="auto" w:fill="auto"/>
            <w:noWrap/>
            <w:vAlign w:val="bottom"/>
            <w:hideMark/>
          </w:tcPr>
          <w:p w14:paraId="04677AF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0.41</w:t>
            </w:r>
          </w:p>
        </w:tc>
        <w:tc>
          <w:tcPr>
            <w:tcW w:w="716" w:type="dxa"/>
            <w:tcBorders>
              <w:top w:val="nil"/>
              <w:left w:val="nil"/>
              <w:bottom w:val="nil"/>
              <w:right w:val="nil"/>
            </w:tcBorders>
            <w:vAlign w:val="bottom"/>
          </w:tcPr>
          <w:p w14:paraId="10E4C2C7"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0.92</w:t>
            </w:r>
          </w:p>
        </w:tc>
        <w:tc>
          <w:tcPr>
            <w:tcW w:w="992" w:type="dxa"/>
            <w:tcBorders>
              <w:top w:val="nil"/>
              <w:left w:val="nil"/>
              <w:bottom w:val="nil"/>
              <w:right w:val="nil"/>
            </w:tcBorders>
            <w:vAlign w:val="bottom"/>
          </w:tcPr>
          <w:p w14:paraId="3311017E"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0.41</w:t>
            </w:r>
          </w:p>
        </w:tc>
        <w:tc>
          <w:tcPr>
            <w:tcW w:w="936" w:type="dxa"/>
            <w:gridSpan w:val="2"/>
            <w:tcBorders>
              <w:top w:val="nil"/>
              <w:left w:val="nil"/>
              <w:bottom w:val="nil"/>
              <w:right w:val="nil"/>
            </w:tcBorders>
            <w:shd w:val="clear" w:color="auto" w:fill="auto"/>
            <w:noWrap/>
            <w:vAlign w:val="bottom"/>
            <w:hideMark/>
          </w:tcPr>
          <w:p w14:paraId="2E731744"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0.92</w:t>
            </w:r>
          </w:p>
        </w:tc>
      </w:tr>
      <w:tr w:rsidR="000C4DE2" w:rsidRPr="00B33438" w14:paraId="560C37FB" w14:textId="77777777" w:rsidTr="000C4DE2">
        <w:trPr>
          <w:trHeight w:val="300"/>
        </w:trPr>
        <w:tc>
          <w:tcPr>
            <w:tcW w:w="531" w:type="dxa"/>
            <w:tcBorders>
              <w:top w:val="nil"/>
              <w:left w:val="nil"/>
              <w:bottom w:val="nil"/>
              <w:right w:val="nil"/>
            </w:tcBorders>
            <w:shd w:val="clear" w:color="auto" w:fill="auto"/>
            <w:noWrap/>
            <w:vAlign w:val="bottom"/>
            <w:hideMark/>
          </w:tcPr>
          <w:p w14:paraId="748E571C"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w:t>
            </w:r>
          </w:p>
        </w:tc>
        <w:tc>
          <w:tcPr>
            <w:tcW w:w="567" w:type="dxa"/>
            <w:tcBorders>
              <w:top w:val="nil"/>
              <w:left w:val="nil"/>
              <w:bottom w:val="nil"/>
              <w:right w:val="nil"/>
            </w:tcBorders>
            <w:shd w:val="clear" w:color="auto" w:fill="auto"/>
            <w:noWrap/>
            <w:vAlign w:val="bottom"/>
            <w:hideMark/>
          </w:tcPr>
          <w:p w14:paraId="13B0BB0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w:t>
            </w:r>
          </w:p>
        </w:tc>
        <w:tc>
          <w:tcPr>
            <w:tcW w:w="1702" w:type="dxa"/>
            <w:tcBorders>
              <w:top w:val="nil"/>
              <w:left w:val="nil"/>
              <w:bottom w:val="nil"/>
              <w:right w:val="nil"/>
            </w:tcBorders>
            <w:shd w:val="clear" w:color="auto" w:fill="auto"/>
            <w:noWrap/>
            <w:vAlign w:val="bottom"/>
            <w:hideMark/>
          </w:tcPr>
          <w:p w14:paraId="7E036D61"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-0.01 (0.06) [0.06]</w:t>
            </w:r>
          </w:p>
        </w:tc>
        <w:tc>
          <w:tcPr>
            <w:tcW w:w="1134" w:type="dxa"/>
            <w:tcBorders>
              <w:top w:val="nil"/>
              <w:left w:val="nil"/>
              <w:bottom w:val="nil"/>
              <w:right w:val="nil"/>
            </w:tcBorders>
            <w:vAlign w:val="bottom"/>
          </w:tcPr>
          <w:p w14:paraId="648815C7"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559" w:type="dxa"/>
            <w:tcBorders>
              <w:top w:val="nil"/>
              <w:left w:val="nil"/>
              <w:bottom w:val="nil"/>
              <w:right w:val="nil"/>
            </w:tcBorders>
            <w:vAlign w:val="bottom"/>
          </w:tcPr>
          <w:p w14:paraId="53B850BA"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-0.01 (0.06) [0.06]</w:t>
            </w:r>
          </w:p>
        </w:tc>
        <w:tc>
          <w:tcPr>
            <w:tcW w:w="1134" w:type="dxa"/>
            <w:tcBorders>
              <w:top w:val="nil"/>
              <w:left w:val="nil"/>
              <w:bottom w:val="nil"/>
              <w:right w:val="nil"/>
            </w:tcBorders>
            <w:vAlign w:val="bottom"/>
          </w:tcPr>
          <w:p w14:paraId="60FDDCD0"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134" w:type="dxa"/>
            <w:tcBorders>
              <w:top w:val="nil"/>
              <w:left w:val="nil"/>
              <w:bottom w:val="nil"/>
              <w:right w:val="nil"/>
            </w:tcBorders>
            <w:shd w:val="clear" w:color="auto" w:fill="auto"/>
            <w:noWrap/>
            <w:vAlign w:val="bottom"/>
            <w:hideMark/>
          </w:tcPr>
          <w:p w14:paraId="060D1153"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w:t>
            </w:r>
          </w:p>
        </w:tc>
        <w:tc>
          <w:tcPr>
            <w:tcW w:w="716" w:type="dxa"/>
            <w:tcBorders>
              <w:top w:val="nil"/>
              <w:left w:val="nil"/>
              <w:bottom w:val="nil"/>
              <w:right w:val="nil"/>
            </w:tcBorders>
            <w:vAlign w:val="bottom"/>
          </w:tcPr>
          <w:p w14:paraId="3E5E56FF"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w:t>
            </w:r>
          </w:p>
        </w:tc>
        <w:tc>
          <w:tcPr>
            <w:tcW w:w="992" w:type="dxa"/>
            <w:tcBorders>
              <w:top w:val="nil"/>
              <w:left w:val="nil"/>
              <w:bottom w:val="nil"/>
              <w:right w:val="nil"/>
            </w:tcBorders>
            <w:vAlign w:val="bottom"/>
          </w:tcPr>
          <w:p w14:paraId="443C572B"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w:t>
            </w:r>
          </w:p>
        </w:tc>
        <w:tc>
          <w:tcPr>
            <w:tcW w:w="936" w:type="dxa"/>
            <w:gridSpan w:val="2"/>
            <w:tcBorders>
              <w:top w:val="nil"/>
              <w:left w:val="nil"/>
              <w:bottom w:val="nil"/>
              <w:right w:val="nil"/>
            </w:tcBorders>
            <w:shd w:val="clear" w:color="auto" w:fill="auto"/>
            <w:noWrap/>
            <w:vAlign w:val="bottom"/>
            <w:hideMark/>
          </w:tcPr>
          <w:p w14:paraId="59E8E0FD"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w:t>
            </w:r>
          </w:p>
        </w:tc>
      </w:tr>
      <w:tr w:rsidR="000C4DE2" w:rsidRPr="00B33438" w14:paraId="5BEB41EB" w14:textId="77777777" w:rsidTr="000C4DE2">
        <w:trPr>
          <w:trHeight w:val="300"/>
        </w:trPr>
        <w:tc>
          <w:tcPr>
            <w:tcW w:w="531" w:type="dxa"/>
            <w:tcBorders>
              <w:top w:val="nil"/>
              <w:left w:val="nil"/>
              <w:bottom w:val="nil"/>
              <w:right w:val="nil"/>
            </w:tcBorders>
            <w:shd w:val="clear" w:color="auto" w:fill="auto"/>
            <w:noWrap/>
            <w:vAlign w:val="bottom"/>
            <w:hideMark/>
          </w:tcPr>
          <w:p w14:paraId="2DCC6B81"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w:t>
            </w:r>
          </w:p>
        </w:tc>
        <w:tc>
          <w:tcPr>
            <w:tcW w:w="567" w:type="dxa"/>
            <w:tcBorders>
              <w:top w:val="nil"/>
              <w:left w:val="nil"/>
              <w:bottom w:val="nil"/>
              <w:right w:val="nil"/>
            </w:tcBorders>
            <w:shd w:val="clear" w:color="auto" w:fill="auto"/>
            <w:noWrap/>
            <w:vAlign w:val="bottom"/>
            <w:hideMark/>
          </w:tcPr>
          <w:p w14:paraId="16450D1B"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w:t>
            </w:r>
          </w:p>
        </w:tc>
        <w:tc>
          <w:tcPr>
            <w:tcW w:w="1702" w:type="dxa"/>
            <w:tcBorders>
              <w:top w:val="nil"/>
              <w:left w:val="nil"/>
              <w:bottom w:val="nil"/>
              <w:right w:val="nil"/>
            </w:tcBorders>
            <w:shd w:val="clear" w:color="auto" w:fill="auto"/>
            <w:noWrap/>
            <w:vAlign w:val="bottom"/>
            <w:hideMark/>
          </w:tcPr>
          <w:p w14:paraId="72148518"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1.00 (0.07) [0.06]</w:t>
            </w:r>
          </w:p>
        </w:tc>
        <w:tc>
          <w:tcPr>
            <w:tcW w:w="1134" w:type="dxa"/>
            <w:tcBorders>
              <w:top w:val="nil"/>
              <w:left w:val="nil"/>
              <w:bottom w:val="nil"/>
              <w:right w:val="nil"/>
            </w:tcBorders>
            <w:vAlign w:val="bottom"/>
          </w:tcPr>
          <w:p w14:paraId="1842E414"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559" w:type="dxa"/>
            <w:tcBorders>
              <w:top w:val="nil"/>
              <w:left w:val="nil"/>
              <w:bottom w:val="nil"/>
              <w:right w:val="nil"/>
            </w:tcBorders>
            <w:vAlign w:val="bottom"/>
          </w:tcPr>
          <w:p w14:paraId="59349E91"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1.00 (0.07) [0.06]</w:t>
            </w:r>
          </w:p>
        </w:tc>
        <w:tc>
          <w:tcPr>
            <w:tcW w:w="1134" w:type="dxa"/>
            <w:tcBorders>
              <w:top w:val="nil"/>
              <w:left w:val="nil"/>
              <w:bottom w:val="nil"/>
              <w:right w:val="nil"/>
            </w:tcBorders>
            <w:vAlign w:val="bottom"/>
          </w:tcPr>
          <w:p w14:paraId="52B40F92"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134" w:type="dxa"/>
            <w:tcBorders>
              <w:top w:val="nil"/>
              <w:left w:val="nil"/>
              <w:bottom w:val="nil"/>
              <w:right w:val="nil"/>
            </w:tcBorders>
            <w:shd w:val="clear" w:color="auto" w:fill="auto"/>
            <w:noWrap/>
            <w:vAlign w:val="bottom"/>
            <w:hideMark/>
          </w:tcPr>
          <w:p w14:paraId="60C62748"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0.78</w:t>
            </w:r>
          </w:p>
        </w:tc>
        <w:tc>
          <w:tcPr>
            <w:tcW w:w="716" w:type="dxa"/>
            <w:tcBorders>
              <w:top w:val="nil"/>
              <w:left w:val="nil"/>
              <w:bottom w:val="nil"/>
              <w:right w:val="nil"/>
            </w:tcBorders>
            <w:vAlign w:val="bottom"/>
          </w:tcPr>
          <w:p w14:paraId="2CDDEDCB"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992" w:type="dxa"/>
            <w:tcBorders>
              <w:top w:val="nil"/>
              <w:left w:val="nil"/>
              <w:bottom w:val="nil"/>
              <w:right w:val="nil"/>
            </w:tcBorders>
            <w:vAlign w:val="bottom"/>
          </w:tcPr>
          <w:p w14:paraId="58F84928"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0.78</w:t>
            </w:r>
          </w:p>
        </w:tc>
        <w:tc>
          <w:tcPr>
            <w:tcW w:w="936" w:type="dxa"/>
            <w:gridSpan w:val="2"/>
            <w:tcBorders>
              <w:top w:val="nil"/>
              <w:left w:val="nil"/>
              <w:bottom w:val="nil"/>
              <w:right w:val="nil"/>
            </w:tcBorders>
            <w:shd w:val="clear" w:color="auto" w:fill="auto"/>
            <w:noWrap/>
            <w:vAlign w:val="bottom"/>
            <w:hideMark/>
          </w:tcPr>
          <w:p w14:paraId="481B5727"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0.95</w:t>
            </w:r>
          </w:p>
        </w:tc>
      </w:tr>
      <w:tr w:rsidR="000C4DE2" w:rsidRPr="00B33438" w14:paraId="03630B4D" w14:textId="77777777" w:rsidTr="000C4DE2">
        <w:trPr>
          <w:trHeight w:val="300"/>
        </w:trPr>
        <w:tc>
          <w:tcPr>
            <w:tcW w:w="531" w:type="dxa"/>
            <w:tcBorders>
              <w:top w:val="nil"/>
              <w:left w:val="nil"/>
              <w:bottom w:val="nil"/>
              <w:right w:val="nil"/>
            </w:tcBorders>
            <w:shd w:val="clear" w:color="auto" w:fill="auto"/>
            <w:noWrap/>
            <w:vAlign w:val="bottom"/>
            <w:hideMark/>
          </w:tcPr>
          <w:p w14:paraId="6B4CAA89"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w:t>
            </w:r>
          </w:p>
        </w:tc>
        <w:tc>
          <w:tcPr>
            <w:tcW w:w="567" w:type="dxa"/>
            <w:tcBorders>
              <w:top w:val="nil"/>
              <w:left w:val="nil"/>
              <w:bottom w:val="nil"/>
              <w:right w:val="nil"/>
            </w:tcBorders>
            <w:shd w:val="clear" w:color="auto" w:fill="auto"/>
            <w:noWrap/>
            <w:vAlign w:val="bottom"/>
            <w:hideMark/>
          </w:tcPr>
          <w:p w14:paraId="7737459F"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w:t>
            </w:r>
          </w:p>
        </w:tc>
        <w:tc>
          <w:tcPr>
            <w:tcW w:w="1702" w:type="dxa"/>
            <w:tcBorders>
              <w:top w:val="nil"/>
              <w:left w:val="nil"/>
              <w:bottom w:val="nil"/>
              <w:right w:val="nil"/>
            </w:tcBorders>
            <w:shd w:val="clear" w:color="auto" w:fill="auto"/>
            <w:noWrap/>
            <w:vAlign w:val="bottom"/>
            <w:hideMark/>
          </w:tcPr>
          <w:p w14:paraId="1E76EEB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2.00 (0.07) [0.07]</w:t>
            </w:r>
          </w:p>
        </w:tc>
        <w:tc>
          <w:tcPr>
            <w:tcW w:w="1134" w:type="dxa"/>
            <w:tcBorders>
              <w:top w:val="nil"/>
              <w:left w:val="nil"/>
              <w:bottom w:val="nil"/>
              <w:right w:val="nil"/>
            </w:tcBorders>
            <w:vAlign w:val="bottom"/>
          </w:tcPr>
          <w:p w14:paraId="53B058AA"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0.94</w:t>
            </w:r>
          </w:p>
        </w:tc>
        <w:tc>
          <w:tcPr>
            <w:tcW w:w="1559" w:type="dxa"/>
            <w:tcBorders>
              <w:top w:val="nil"/>
              <w:left w:val="nil"/>
              <w:bottom w:val="nil"/>
              <w:right w:val="nil"/>
            </w:tcBorders>
            <w:vAlign w:val="bottom"/>
          </w:tcPr>
          <w:p w14:paraId="2F465377"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2.00 (0.07) [0.07]</w:t>
            </w:r>
          </w:p>
        </w:tc>
        <w:tc>
          <w:tcPr>
            <w:tcW w:w="1134" w:type="dxa"/>
            <w:tcBorders>
              <w:top w:val="nil"/>
              <w:left w:val="nil"/>
              <w:bottom w:val="nil"/>
              <w:right w:val="nil"/>
            </w:tcBorders>
            <w:vAlign w:val="bottom"/>
          </w:tcPr>
          <w:p w14:paraId="37FCD0AD"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0.94</w:t>
            </w:r>
          </w:p>
        </w:tc>
        <w:tc>
          <w:tcPr>
            <w:tcW w:w="1134" w:type="dxa"/>
            <w:tcBorders>
              <w:top w:val="nil"/>
              <w:left w:val="nil"/>
              <w:bottom w:val="nil"/>
              <w:right w:val="nil"/>
            </w:tcBorders>
            <w:shd w:val="clear" w:color="auto" w:fill="auto"/>
            <w:noWrap/>
            <w:vAlign w:val="bottom"/>
            <w:hideMark/>
          </w:tcPr>
          <w:p w14:paraId="78DE4B8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0.93</w:t>
            </w:r>
          </w:p>
        </w:tc>
        <w:tc>
          <w:tcPr>
            <w:tcW w:w="716" w:type="dxa"/>
            <w:tcBorders>
              <w:top w:val="nil"/>
              <w:left w:val="nil"/>
              <w:bottom w:val="nil"/>
              <w:right w:val="nil"/>
            </w:tcBorders>
            <w:vAlign w:val="bottom"/>
          </w:tcPr>
          <w:p w14:paraId="030422E2"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0.97</w:t>
            </w:r>
          </w:p>
        </w:tc>
        <w:tc>
          <w:tcPr>
            <w:tcW w:w="992" w:type="dxa"/>
            <w:tcBorders>
              <w:top w:val="nil"/>
              <w:left w:val="nil"/>
              <w:bottom w:val="nil"/>
              <w:right w:val="nil"/>
            </w:tcBorders>
            <w:vAlign w:val="bottom"/>
          </w:tcPr>
          <w:p w14:paraId="50BAEB6D"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0.93</w:t>
            </w:r>
          </w:p>
        </w:tc>
        <w:tc>
          <w:tcPr>
            <w:tcW w:w="936" w:type="dxa"/>
            <w:gridSpan w:val="2"/>
            <w:tcBorders>
              <w:top w:val="nil"/>
              <w:left w:val="nil"/>
              <w:bottom w:val="nil"/>
              <w:right w:val="nil"/>
            </w:tcBorders>
            <w:shd w:val="clear" w:color="auto" w:fill="auto"/>
            <w:noWrap/>
            <w:vAlign w:val="bottom"/>
            <w:hideMark/>
          </w:tcPr>
          <w:p w14:paraId="2DE69EB3"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0.97</w:t>
            </w:r>
          </w:p>
        </w:tc>
      </w:tr>
      <w:tr w:rsidR="000C4DE2" w:rsidRPr="00B33438" w14:paraId="0B2069C8" w14:textId="77777777" w:rsidTr="000C4DE2">
        <w:trPr>
          <w:trHeight w:val="300"/>
        </w:trPr>
        <w:tc>
          <w:tcPr>
            <w:tcW w:w="531" w:type="dxa"/>
            <w:tcBorders>
              <w:top w:val="nil"/>
              <w:left w:val="nil"/>
              <w:bottom w:val="nil"/>
              <w:right w:val="nil"/>
            </w:tcBorders>
            <w:shd w:val="clear" w:color="auto" w:fill="auto"/>
            <w:noWrap/>
            <w:vAlign w:val="bottom"/>
            <w:hideMark/>
          </w:tcPr>
          <w:p w14:paraId="09B54D63"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w:t>
            </w:r>
          </w:p>
        </w:tc>
        <w:tc>
          <w:tcPr>
            <w:tcW w:w="567" w:type="dxa"/>
            <w:tcBorders>
              <w:top w:val="nil"/>
              <w:left w:val="nil"/>
              <w:bottom w:val="nil"/>
              <w:right w:val="nil"/>
            </w:tcBorders>
            <w:shd w:val="clear" w:color="auto" w:fill="auto"/>
            <w:noWrap/>
            <w:vAlign w:val="bottom"/>
            <w:hideMark/>
          </w:tcPr>
          <w:p w14:paraId="0B667C3A"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w:t>
            </w:r>
          </w:p>
        </w:tc>
        <w:tc>
          <w:tcPr>
            <w:tcW w:w="1702" w:type="dxa"/>
            <w:tcBorders>
              <w:top w:val="nil"/>
              <w:left w:val="nil"/>
              <w:bottom w:val="nil"/>
              <w:right w:val="nil"/>
            </w:tcBorders>
            <w:shd w:val="clear" w:color="auto" w:fill="auto"/>
            <w:noWrap/>
            <w:vAlign w:val="bottom"/>
            <w:hideMark/>
          </w:tcPr>
          <w:p w14:paraId="75B86574"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0.00 (0.01) [0.01]</w:t>
            </w:r>
          </w:p>
        </w:tc>
        <w:tc>
          <w:tcPr>
            <w:tcW w:w="1134" w:type="dxa"/>
            <w:tcBorders>
              <w:top w:val="nil"/>
              <w:left w:val="nil"/>
              <w:bottom w:val="nil"/>
              <w:right w:val="nil"/>
            </w:tcBorders>
            <w:vAlign w:val="bottom"/>
          </w:tcPr>
          <w:p w14:paraId="3E190FAC"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559" w:type="dxa"/>
            <w:tcBorders>
              <w:top w:val="nil"/>
              <w:left w:val="nil"/>
              <w:bottom w:val="nil"/>
              <w:right w:val="nil"/>
            </w:tcBorders>
            <w:vAlign w:val="bottom"/>
          </w:tcPr>
          <w:p w14:paraId="627B0F20"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0.00 (0.01) [0.01]</w:t>
            </w:r>
          </w:p>
        </w:tc>
        <w:tc>
          <w:tcPr>
            <w:tcW w:w="1134" w:type="dxa"/>
            <w:tcBorders>
              <w:top w:val="nil"/>
              <w:left w:val="nil"/>
              <w:bottom w:val="nil"/>
              <w:right w:val="nil"/>
            </w:tcBorders>
            <w:vAlign w:val="bottom"/>
          </w:tcPr>
          <w:p w14:paraId="26003011"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0.95</w:t>
            </w:r>
          </w:p>
        </w:tc>
        <w:tc>
          <w:tcPr>
            <w:tcW w:w="1134" w:type="dxa"/>
            <w:tcBorders>
              <w:top w:val="nil"/>
              <w:left w:val="nil"/>
              <w:bottom w:val="nil"/>
              <w:right w:val="nil"/>
            </w:tcBorders>
            <w:shd w:val="clear" w:color="auto" w:fill="auto"/>
            <w:noWrap/>
            <w:vAlign w:val="bottom"/>
            <w:hideMark/>
          </w:tcPr>
          <w:p w14:paraId="7040D629"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w:t>
            </w:r>
          </w:p>
        </w:tc>
        <w:tc>
          <w:tcPr>
            <w:tcW w:w="716" w:type="dxa"/>
            <w:tcBorders>
              <w:top w:val="nil"/>
              <w:left w:val="nil"/>
              <w:bottom w:val="nil"/>
              <w:right w:val="nil"/>
            </w:tcBorders>
            <w:vAlign w:val="bottom"/>
          </w:tcPr>
          <w:p w14:paraId="0264E8DF"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w:t>
            </w:r>
          </w:p>
        </w:tc>
        <w:tc>
          <w:tcPr>
            <w:tcW w:w="992" w:type="dxa"/>
            <w:tcBorders>
              <w:top w:val="nil"/>
              <w:left w:val="nil"/>
              <w:bottom w:val="nil"/>
              <w:right w:val="nil"/>
            </w:tcBorders>
            <w:vAlign w:val="bottom"/>
          </w:tcPr>
          <w:p w14:paraId="74465DCB"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w:t>
            </w:r>
          </w:p>
        </w:tc>
        <w:tc>
          <w:tcPr>
            <w:tcW w:w="936" w:type="dxa"/>
            <w:gridSpan w:val="2"/>
            <w:tcBorders>
              <w:top w:val="nil"/>
              <w:left w:val="nil"/>
              <w:bottom w:val="nil"/>
              <w:right w:val="nil"/>
            </w:tcBorders>
            <w:shd w:val="clear" w:color="auto" w:fill="auto"/>
            <w:noWrap/>
            <w:vAlign w:val="bottom"/>
            <w:hideMark/>
          </w:tcPr>
          <w:p w14:paraId="4A892A16"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w:t>
            </w:r>
          </w:p>
        </w:tc>
      </w:tr>
      <w:tr w:rsidR="000C4DE2" w:rsidRPr="00B33438" w14:paraId="6FE8AFD5" w14:textId="77777777" w:rsidTr="000C4DE2">
        <w:trPr>
          <w:trHeight w:val="300"/>
        </w:trPr>
        <w:tc>
          <w:tcPr>
            <w:tcW w:w="531" w:type="dxa"/>
            <w:tcBorders>
              <w:top w:val="nil"/>
              <w:left w:val="nil"/>
              <w:bottom w:val="nil"/>
              <w:right w:val="nil"/>
            </w:tcBorders>
            <w:shd w:val="clear" w:color="auto" w:fill="auto"/>
            <w:noWrap/>
            <w:vAlign w:val="bottom"/>
            <w:hideMark/>
          </w:tcPr>
          <w:p w14:paraId="7586E4AF"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w:t>
            </w:r>
          </w:p>
        </w:tc>
        <w:tc>
          <w:tcPr>
            <w:tcW w:w="567" w:type="dxa"/>
            <w:tcBorders>
              <w:top w:val="nil"/>
              <w:left w:val="nil"/>
              <w:bottom w:val="nil"/>
              <w:right w:val="nil"/>
            </w:tcBorders>
            <w:shd w:val="clear" w:color="auto" w:fill="auto"/>
            <w:noWrap/>
            <w:vAlign w:val="bottom"/>
            <w:hideMark/>
          </w:tcPr>
          <w:p w14:paraId="5300154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w:t>
            </w:r>
          </w:p>
        </w:tc>
        <w:tc>
          <w:tcPr>
            <w:tcW w:w="1702" w:type="dxa"/>
            <w:tcBorders>
              <w:top w:val="nil"/>
              <w:left w:val="nil"/>
              <w:bottom w:val="nil"/>
              <w:right w:val="nil"/>
            </w:tcBorders>
            <w:shd w:val="clear" w:color="auto" w:fill="auto"/>
            <w:noWrap/>
            <w:vAlign w:val="bottom"/>
            <w:hideMark/>
          </w:tcPr>
          <w:p w14:paraId="453CD01B"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1.02 (0.01) [0.01]</w:t>
            </w:r>
          </w:p>
        </w:tc>
        <w:tc>
          <w:tcPr>
            <w:tcW w:w="1134" w:type="dxa"/>
            <w:tcBorders>
              <w:top w:val="nil"/>
              <w:left w:val="nil"/>
              <w:bottom w:val="nil"/>
              <w:right w:val="nil"/>
            </w:tcBorders>
            <w:vAlign w:val="bottom"/>
          </w:tcPr>
          <w:p w14:paraId="4908860F"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0.73</w:t>
            </w:r>
          </w:p>
        </w:tc>
        <w:tc>
          <w:tcPr>
            <w:tcW w:w="1559" w:type="dxa"/>
            <w:tcBorders>
              <w:top w:val="nil"/>
              <w:left w:val="nil"/>
              <w:bottom w:val="nil"/>
              <w:right w:val="nil"/>
            </w:tcBorders>
            <w:vAlign w:val="bottom"/>
          </w:tcPr>
          <w:p w14:paraId="670BB6A7"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1.02 (0.01) [0.01]</w:t>
            </w:r>
          </w:p>
        </w:tc>
        <w:tc>
          <w:tcPr>
            <w:tcW w:w="1134" w:type="dxa"/>
            <w:tcBorders>
              <w:top w:val="nil"/>
              <w:left w:val="nil"/>
              <w:bottom w:val="nil"/>
              <w:right w:val="nil"/>
            </w:tcBorders>
            <w:vAlign w:val="bottom"/>
          </w:tcPr>
          <w:p w14:paraId="476B1044"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0.74</w:t>
            </w:r>
          </w:p>
        </w:tc>
        <w:tc>
          <w:tcPr>
            <w:tcW w:w="1134" w:type="dxa"/>
            <w:tcBorders>
              <w:top w:val="nil"/>
              <w:left w:val="nil"/>
              <w:bottom w:val="nil"/>
              <w:right w:val="nil"/>
            </w:tcBorders>
            <w:shd w:val="clear" w:color="auto" w:fill="auto"/>
            <w:noWrap/>
            <w:vAlign w:val="bottom"/>
            <w:hideMark/>
          </w:tcPr>
          <w:p w14:paraId="715BD43F"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1.00</w:t>
            </w:r>
          </w:p>
        </w:tc>
        <w:tc>
          <w:tcPr>
            <w:tcW w:w="716" w:type="dxa"/>
            <w:tcBorders>
              <w:top w:val="nil"/>
              <w:left w:val="nil"/>
              <w:bottom w:val="nil"/>
              <w:right w:val="nil"/>
            </w:tcBorders>
            <w:vAlign w:val="bottom"/>
          </w:tcPr>
          <w:p w14:paraId="6AEA6307"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1.00</w:t>
            </w:r>
          </w:p>
        </w:tc>
        <w:tc>
          <w:tcPr>
            <w:tcW w:w="992" w:type="dxa"/>
            <w:tcBorders>
              <w:top w:val="nil"/>
              <w:left w:val="nil"/>
              <w:bottom w:val="nil"/>
              <w:right w:val="nil"/>
            </w:tcBorders>
            <w:vAlign w:val="bottom"/>
          </w:tcPr>
          <w:p w14:paraId="3CE60458"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1.00</w:t>
            </w:r>
          </w:p>
        </w:tc>
        <w:tc>
          <w:tcPr>
            <w:tcW w:w="936" w:type="dxa"/>
            <w:gridSpan w:val="2"/>
            <w:tcBorders>
              <w:top w:val="nil"/>
              <w:left w:val="nil"/>
              <w:bottom w:val="nil"/>
              <w:right w:val="nil"/>
            </w:tcBorders>
            <w:shd w:val="clear" w:color="auto" w:fill="auto"/>
            <w:noWrap/>
            <w:vAlign w:val="bottom"/>
            <w:hideMark/>
          </w:tcPr>
          <w:p w14:paraId="5F418719"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1.00</w:t>
            </w:r>
          </w:p>
        </w:tc>
      </w:tr>
      <w:tr w:rsidR="000C4DE2" w:rsidRPr="00B33438" w14:paraId="34AC1689" w14:textId="77777777" w:rsidTr="000C4DE2">
        <w:trPr>
          <w:trHeight w:val="300"/>
        </w:trPr>
        <w:tc>
          <w:tcPr>
            <w:tcW w:w="531" w:type="dxa"/>
            <w:tcBorders>
              <w:top w:val="nil"/>
              <w:left w:val="nil"/>
              <w:bottom w:val="nil"/>
              <w:right w:val="nil"/>
            </w:tcBorders>
            <w:shd w:val="clear" w:color="auto" w:fill="auto"/>
            <w:noWrap/>
            <w:vAlign w:val="bottom"/>
            <w:hideMark/>
          </w:tcPr>
          <w:p w14:paraId="4CAE71D8"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w:t>
            </w:r>
          </w:p>
        </w:tc>
        <w:tc>
          <w:tcPr>
            <w:tcW w:w="567" w:type="dxa"/>
            <w:tcBorders>
              <w:top w:val="nil"/>
              <w:left w:val="nil"/>
              <w:bottom w:val="nil"/>
              <w:right w:val="nil"/>
            </w:tcBorders>
            <w:shd w:val="clear" w:color="auto" w:fill="auto"/>
            <w:noWrap/>
            <w:vAlign w:val="bottom"/>
            <w:hideMark/>
          </w:tcPr>
          <w:p w14:paraId="5B5241DC"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w:t>
            </w:r>
          </w:p>
        </w:tc>
        <w:tc>
          <w:tcPr>
            <w:tcW w:w="1702" w:type="dxa"/>
            <w:tcBorders>
              <w:top w:val="nil"/>
              <w:left w:val="nil"/>
              <w:bottom w:val="nil"/>
              <w:right w:val="nil"/>
            </w:tcBorders>
            <w:shd w:val="clear" w:color="auto" w:fill="auto"/>
            <w:noWrap/>
            <w:vAlign w:val="bottom"/>
            <w:hideMark/>
          </w:tcPr>
          <w:p w14:paraId="7DB57F51"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eastAsia="Times New Roman" w:hAnsi="Calibri" w:cs="Calibri"/>
                <w:color w:val="000000"/>
                <w:sz w:val="18"/>
                <w:szCs w:val="18"/>
                <w:lang w:val="en-GB" w:eastAsia="en-GB"/>
              </w:rPr>
              <w:t>2.03 (0.02) [0.01]</w:t>
            </w:r>
          </w:p>
        </w:tc>
        <w:tc>
          <w:tcPr>
            <w:tcW w:w="1134" w:type="dxa"/>
            <w:tcBorders>
              <w:top w:val="nil"/>
              <w:left w:val="nil"/>
              <w:bottom w:val="nil"/>
              <w:right w:val="nil"/>
            </w:tcBorders>
            <w:vAlign w:val="bottom"/>
          </w:tcPr>
          <w:p w14:paraId="36E243EE"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0.44</w:t>
            </w:r>
          </w:p>
        </w:tc>
        <w:tc>
          <w:tcPr>
            <w:tcW w:w="1559" w:type="dxa"/>
            <w:tcBorders>
              <w:top w:val="nil"/>
              <w:left w:val="nil"/>
              <w:bottom w:val="nil"/>
              <w:right w:val="nil"/>
            </w:tcBorders>
            <w:vAlign w:val="bottom"/>
          </w:tcPr>
          <w:p w14:paraId="2154E4E5" w14:textId="77777777" w:rsidR="000C4DE2" w:rsidRPr="00B33438" w:rsidRDefault="000C4DE2" w:rsidP="000C4DE2">
            <w:pPr>
              <w:jc w:val="right"/>
              <w:rPr>
                <w:rFonts w:ascii="Calibri" w:hAnsi="Calibri" w:cs="Calibri"/>
                <w:color w:val="000000"/>
                <w:sz w:val="18"/>
                <w:szCs w:val="18"/>
              </w:rPr>
            </w:pPr>
            <w:r w:rsidRPr="00B33438">
              <w:rPr>
                <w:rFonts w:ascii="Calibri" w:eastAsia="Times New Roman" w:hAnsi="Calibri" w:cs="Calibri"/>
                <w:color w:val="000000"/>
                <w:sz w:val="18"/>
                <w:szCs w:val="18"/>
                <w:lang w:val="en-GB" w:eastAsia="en-GB"/>
              </w:rPr>
              <w:t>2.03 (0.01) [0.01]</w:t>
            </w:r>
          </w:p>
        </w:tc>
        <w:tc>
          <w:tcPr>
            <w:tcW w:w="1134" w:type="dxa"/>
            <w:tcBorders>
              <w:top w:val="nil"/>
              <w:left w:val="nil"/>
              <w:bottom w:val="nil"/>
              <w:right w:val="nil"/>
            </w:tcBorders>
            <w:vAlign w:val="bottom"/>
          </w:tcPr>
          <w:p w14:paraId="50DDDA17"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0.44</w:t>
            </w:r>
          </w:p>
        </w:tc>
        <w:tc>
          <w:tcPr>
            <w:tcW w:w="1134" w:type="dxa"/>
            <w:tcBorders>
              <w:top w:val="nil"/>
              <w:left w:val="nil"/>
              <w:bottom w:val="nil"/>
              <w:right w:val="nil"/>
            </w:tcBorders>
            <w:shd w:val="clear" w:color="auto" w:fill="auto"/>
            <w:noWrap/>
            <w:vAlign w:val="bottom"/>
            <w:hideMark/>
          </w:tcPr>
          <w:p w14:paraId="6A048755"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1.00</w:t>
            </w:r>
          </w:p>
        </w:tc>
        <w:tc>
          <w:tcPr>
            <w:tcW w:w="716" w:type="dxa"/>
            <w:tcBorders>
              <w:top w:val="nil"/>
              <w:left w:val="nil"/>
              <w:bottom w:val="nil"/>
              <w:right w:val="nil"/>
            </w:tcBorders>
            <w:vAlign w:val="bottom"/>
          </w:tcPr>
          <w:p w14:paraId="4AC8C60F"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1.00</w:t>
            </w:r>
          </w:p>
        </w:tc>
        <w:tc>
          <w:tcPr>
            <w:tcW w:w="992" w:type="dxa"/>
            <w:tcBorders>
              <w:top w:val="nil"/>
              <w:left w:val="nil"/>
              <w:bottom w:val="nil"/>
              <w:right w:val="nil"/>
            </w:tcBorders>
            <w:vAlign w:val="bottom"/>
          </w:tcPr>
          <w:p w14:paraId="136302CC" w14:textId="77777777" w:rsidR="000C4DE2" w:rsidRPr="00B33438" w:rsidRDefault="000C4DE2" w:rsidP="000C4DE2">
            <w:pPr>
              <w:jc w:val="right"/>
              <w:rPr>
                <w:rFonts w:ascii="Calibri" w:hAnsi="Calibri" w:cs="Calibri"/>
                <w:color w:val="000000"/>
                <w:sz w:val="18"/>
                <w:szCs w:val="18"/>
              </w:rPr>
            </w:pPr>
            <w:r w:rsidRPr="00B33438">
              <w:rPr>
                <w:rFonts w:ascii="Calibri" w:hAnsi="Calibri" w:cs="Calibri"/>
                <w:color w:val="000000"/>
                <w:sz w:val="18"/>
                <w:szCs w:val="18"/>
              </w:rPr>
              <w:t>1.00</w:t>
            </w:r>
          </w:p>
        </w:tc>
        <w:tc>
          <w:tcPr>
            <w:tcW w:w="936" w:type="dxa"/>
            <w:gridSpan w:val="2"/>
            <w:tcBorders>
              <w:top w:val="nil"/>
              <w:left w:val="nil"/>
              <w:bottom w:val="nil"/>
              <w:right w:val="nil"/>
            </w:tcBorders>
            <w:shd w:val="clear" w:color="auto" w:fill="auto"/>
            <w:noWrap/>
            <w:vAlign w:val="bottom"/>
            <w:hideMark/>
          </w:tcPr>
          <w:p w14:paraId="586EFB50" w14:textId="77777777" w:rsidR="000C4DE2" w:rsidRPr="00B33438" w:rsidRDefault="000C4DE2" w:rsidP="000C4DE2">
            <w:pPr>
              <w:jc w:val="right"/>
              <w:rPr>
                <w:rFonts w:ascii="Calibri" w:eastAsia="Times New Roman" w:hAnsi="Calibri" w:cs="Calibri"/>
                <w:color w:val="000000"/>
                <w:sz w:val="18"/>
                <w:szCs w:val="18"/>
                <w:lang w:val="en-GB" w:eastAsia="en-GB"/>
              </w:rPr>
            </w:pPr>
            <w:r w:rsidRPr="00B33438">
              <w:rPr>
                <w:rFonts w:ascii="Calibri" w:hAnsi="Calibri" w:cs="Calibri"/>
                <w:color w:val="000000"/>
                <w:sz w:val="18"/>
                <w:szCs w:val="18"/>
              </w:rPr>
              <w:t>1.00</w:t>
            </w:r>
          </w:p>
        </w:tc>
      </w:tr>
      <w:tr w:rsidR="00692644" w:rsidRPr="00B33438" w14:paraId="3D576959" w14:textId="77777777" w:rsidTr="000C4DE2">
        <w:trPr>
          <w:trHeight w:val="300"/>
        </w:trPr>
        <w:tc>
          <w:tcPr>
            <w:tcW w:w="531" w:type="dxa"/>
            <w:tcBorders>
              <w:top w:val="nil"/>
              <w:left w:val="nil"/>
              <w:bottom w:val="nil"/>
              <w:right w:val="nil"/>
            </w:tcBorders>
            <w:shd w:val="clear" w:color="auto" w:fill="auto"/>
            <w:noWrap/>
            <w:vAlign w:val="bottom"/>
          </w:tcPr>
          <w:p w14:paraId="11C171C2" w14:textId="5AE7C1CF"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3</w:t>
            </w:r>
          </w:p>
        </w:tc>
        <w:tc>
          <w:tcPr>
            <w:tcW w:w="567" w:type="dxa"/>
            <w:tcBorders>
              <w:top w:val="nil"/>
              <w:left w:val="nil"/>
              <w:bottom w:val="nil"/>
              <w:right w:val="nil"/>
            </w:tcBorders>
            <w:shd w:val="clear" w:color="auto" w:fill="auto"/>
            <w:noWrap/>
            <w:vAlign w:val="bottom"/>
          </w:tcPr>
          <w:p w14:paraId="4535C7DD" w14:textId="08031405"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w:t>
            </w:r>
          </w:p>
        </w:tc>
        <w:tc>
          <w:tcPr>
            <w:tcW w:w="1702" w:type="dxa"/>
            <w:tcBorders>
              <w:top w:val="nil"/>
              <w:left w:val="nil"/>
              <w:bottom w:val="nil"/>
              <w:right w:val="nil"/>
            </w:tcBorders>
            <w:shd w:val="clear" w:color="auto" w:fill="auto"/>
            <w:noWrap/>
            <w:vAlign w:val="bottom"/>
          </w:tcPr>
          <w:p w14:paraId="3B413F74" w14:textId="5A36624F"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 xml:space="preserve">0.00 (0.00)[0.00] </w:t>
            </w:r>
          </w:p>
        </w:tc>
        <w:tc>
          <w:tcPr>
            <w:tcW w:w="1134" w:type="dxa"/>
            <w:tcBorders>
              <w:top w:val="nil"/>
              <w:left w:val="nil"/>
              <w:bottom w:val="nil"/>
              <w:right w:val="nil"/>
            </w:tcBorders>
            <w:vAlign w:val="bottom"/>
          </w:tcPr>
          <w:p w14:paraId="512C1AA2" w14:textId="44230EED"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559" w:type="dxa"/>
            <w:tcBorders>
              <w:top w:val="nil"/>
              <w:left w:val="nil"/>
              <w:bottom w:val="nil"/>
              <w:right w:val="nil"/>
            </w:tcBorders>
            <w:vAlign w:val="bottom"/>
          </w:tcPr>
          <w:p w14:paraId="24069C5C" w14:textId="5EB99661"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0.00 (0.00)[0.00]</w:t>
            </w:r>
          </w:p>
        </w:tc>
        <w:tc>
          <w:tcPr>
            <w:tcW w:w="1134" w:type="dxa"/>
            <w:tcBorders>
              <w:top w:val="nil"/>
              <w:left w:val="nil"/>
              <w:bottom w:val="nil"/>
              <w:right w:val="nil"/>
            </w:tcBorders>
            <w:vAlign w:val="bottom"/>
          </w:tcPr>
          <w:p w14:paraId="2CA9314B" w14:textId="5FA34E2B"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tcPr>
          <w:p w14:paraId="71D4C2BD"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0A3FCB38"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4C63CEE0"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C0455AC" w14:textId="77777777" w:rsidR="00692644" w:rsidRPr="00B33438" w:rsidRDefault="00692644" w:rsidP="00692644">
            <w:pPr>
              <w:jc w:val="right"/>
              <w:rPr>
                <w:rFonts w:ascii="Calibri" w:hAnsi="Calibri" w:cs="Calibri"/>
                <w:color w:val="000000"/>
                <w:sz w:val="18"/>
                <w:szCs w:val="18"/>
              </w:rPr>
            </w:pPr>
          </w:p>
        </w:tc>
      </w:tr>
      <w:tr w:rsidR="00692644" w:rsidRPr="00B33438" w14:paraId="4124B3DF" w14:textId="77777777" w:rsidTr="000C4DE2">
        <w:trPr>
          <w:trHeight w:val="300"/>
        </w:trPr>
        <w:tc>
          <w:tcPr>
            <w:tcW w:w="531" w:type="dxa"/>
            <w:tcBorders>
              <w:top w:val="nil"/>
              <w:left w:val="nil"/>
              <w:bottom w:val="nil"/>
              <w:right w:val="nil"/>
            </w:tcBorders>
            <w:shd w:val="clear" w:color="auto" w:fill="auto"/>
            <w:noWrap/>
            <w:vAlign w:val="bottom"/>
          </w:tcPr>
          <w:p w14:paraId="276FC069" w14:textId="1D7C2ED0"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3</w:t>
            </w:r>
          </w:p>
        </w:tc>
        <w:tc>
          <w:tcPr>
            <w:tcW w:w="567" w:type="dxa"/>
            <w:tcBorders>
              <w:top w:val="nil"/>
              <w:left w:val="nil"/>
              <w:bottom w:val="nil"/>
              <w:right w:val="nil"/>
            </w:tcBorders>
            <w:shd w:val="clear" w:color="auto" w:fill="auto"/>
            <w:noWrap/>
            <w:vAlign w:val="bottom"/>
          </w:tcPr>
          <w:p w14:paraId="05354C66" w14:textId="401CAE37"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w:t>
            </w:r>
          </w:p>
        </w:tc>
        <w:tc>
          <w:tcPr>
            <w:tcW w:w="1702" w:type="dxa"/>
            <w:tcBorders>
              <w:top w:val="nil"/>
              <w:left w:val="nil"/>
              <w:bottom w:val="nil"/>
              <w:right w:val="nil"/>
            </w:tcBorders>
            <w:shd w:val="clear" w:color="auto" w:fill="auto"/>
            <w:noWrap/>
            <w:vAlign w:val="bottom"/>
          </w:tcPr>
          <w:p w14:paraId="68C086C5" w14:textId="6A5DE879"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CFF29BB" w14:textId="100069D3"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559" w:type="dxa"/>
            <w:tcBorders>
              <w:top w:val="nil"/>
              <w:left w:val="nil"/>
              <w:bottom w:val="nil"/>
              <w:right w:val="nil"/>
            </w:tcBorders>
            <w:vAlign w:val="bottom"/>
          </w:tcPr>
          <w:p w14:paraId="23F0AF92" w14:textId="736651F4"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638C3633" w14:textId="16FAAC41"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0.00</w:t>
            </w:r>
          </w:p>
        </w:tc>
        <w:tc>
          <w:tcPr>
            <w:tcW w:w="1134" w:type="dxa"/>
            <w:tcBorders>
              <w:top w:val="nil"/>
              <w:left w:val="nil"/>
              <w:bottom w:val="nil"/>
              <w:right w:val="nil"/>
            </w:tcBorders>
            <w:shd w:val="clear" w:color="auto" w:fill="auto"/>
            <w:noWrap/>
            <w:vAlign w:val="bottom"/>
          </w:tcPr>
          <w:p w14:paraId="15082B48"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75711A15"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0F0288EC"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6F4B91C9" w14:textId="77777777" w:rsidR="00692644" w:rsidRPr="00B33438" w:rsidRDefault="00692644" w:rsidP="00692644">
            <w:pPr>
              <w:jc w:val="right"/>
              <w:rPr>
                <w:rFonts w:ascii="Calibri" w:hAnsi="Calibri" w:cs="Calibri"/>
                <w:color w:val="000000"/>
                <w:sz w:val="18"/>
                <w:szCs w:val="18"/>
              </w:rPr>
            </w:pPr>
          </w:p>
        </w:tc>
      </w:tr>
      <w:tr w:rsidR="00692644" w:rsidRPr="00B33438" w14:paraId="4D759DE1" w14:textId="77777777" w:rsidTr="000C4DE2">
        <w:trPr>
          <w:trHeight w:val="300"/>
        </w:trPr>
        <w:tc>
          <w:tcPr>
            <w:tcW w:w="531" w:type="dxa"/>
            <w:tcBorders>
              <w:top w:val="nil"/>
              <w:left w:val="nil"/>
              <w:bottom w:val="nil"/>
              <w:right w:val="nil"/>
            </w:tcBorders>
            <w:shd w:val="clear" w:color="auto" w:fill="auto"/>
            <w:noWrap/>
            <w:vAlign w:val="bottom"/>
          </w:tcPr>
          <w:p w14:paraId="76F043FD" w14:textId="40FBADD8"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3</w:t>
            </w:r>
          </w:p>
        </w:tc>
        <w:tc>
          <w:tcPr>
            <w:tcW w:w="567" w:type="dxa"/>
            <w:tcBorders>
              <w:top w:val="nil"/>
              <w:left w:val="nil"/>
              <w:bottom w:val="nil"/>
              <w:right w:val="nil"/>
            </w:tcBorders>
            <w:shd w:val="clear" w:color="auto" w:fill="auto"/>
            <w:noWrap/>
            <w:vAlign w:val="bottom"/>
          </w:tcPr>
          <w:p w14:paraId="7A6D30AA" w14:textId="124917D4"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1702" w:type="dxa"/>
            <w:tcBorders>
              <w:top w:val="nil"/>
              <w:left w:val="nil"/>
              <w:bottom w:val="nil"/>
              <w:right w:val="nil"/>
            </w:tcBorders>
            <w:shd w:val="clear" w:color="auto" w:fill="auto"/>
            <w:noWrap/>
            <w:vAlign w:val="bottom"/>
          </w:tcPr>
          <w:p w14:paraId="49F0D3A2" w14:textId="0F2FCBB8"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1.03 (0.01) [0.01]</w:t>
            </w:r>
          </w:p>
        </w:tc>
        <w:tc>
          <w:tcPr>
            <w:tcW w:w="1134" w:type="dxa"/>
            <w:tcBorders>
              <w:top w:val="nil"/>
              <w:left w:val="nil"/>
              <w:bottom w:val="nil"/>
              <w:right w:val="nil"/>
            </w:tcBorders>
            <w:vAlign w:val="bottom"/>
          </w:tcPr>
          <w:p w14:paraId="36F3BAA7" w14:textId="032B5373"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0.00</w:t>
            </w:r>
          </w:p>
        </w:tc>
        <w:tc>
          <w:tcPr>
            <w:tcW w:w="1559" w:type="dxa"/>
            <w:tcBorders>
              <w:top w:val="nil"/>
              <w:left w:val="nil"/>
              <w:bottom w:val="nil"/>
              <w:right w:val="nil"/>
            </w:tcBorders>
            <w:vAlign w:val="bottom"/>
          </w:tcPr>
          <w:p w14:paraId="3F4C797A" w14:textId="208510AD"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1.03 (0.00) [0.01]</w:t>
            </w:r>
          </w:p>
        </w:tc>
        <w:tc>
          <w:tcPr>
            <w:tcW w:w="1134" w:type="dxa"/>
            <w:tcBorders>
              <w:top w:val="nil"/>
              <w:left w:val="nil"/>
              <w:bottom w:val="nil"/>
              <w:right w:val="nil"/>
            </w:tcBorders>
            <w:vAlign w:val="bottom"/>
          </w:tcPr>
          <w:p w14:paraId="73DD0ADE" w14:textId="29AEEAEB"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0.00</w:t>
            </w:r>
          </w:p>
        </w:tc>
        <w:tc>
          <w:tcPr>
            <w:tcW w:w="1134" w:type="dxa"/>
            <w:tcBorders>
              <w:top w:val="nil"/>
              <w:left w:val="nil"/>
              <w:bottom w:val="nil"/>
              <w:right w:val="nil"/>
            </w:tcBorders>
            <w:shd w:val="clear" w:color="auto" w:fill="auto"/>
            <w:noWrap/>
            <w:vAlign w:val="bottom"/>
          </w:tcPr>
          <w:p w14:paraId="01F6E6C8"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78002B25"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398415E4"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1B48A884" w14:textId="77777777" w:rsidR="00692644" w:rsidRPr="00B33438" w:rsidRDefault="00692644" w:rsidP="00692644">
            <w:pPr>
              <w:jc w:val="right"/>
              <w:rPr>
                <w:rFonts w:ascii="Calibri" w:hAnsi="Calibri" w:cs="Calibri"/>
                <w:color w:val="000000"/>
                <w:sz w:val="18"/>
                <w:szCs w:val="18"/>
              </w:rPr>
            </w:pPr>
          </w:p>
        </w:tc>
      </w:tr>
      <w:tr w:rsidR="00692644" w:rsidRPr="00B33438" w14:paraId="4BD7D9EF" w14:textId="77777777" w:rsidTr="000C4DE2">
        <w:trPr>
          <w:trHeight w:val="300"/>
        </w:trPr>
        <w:tc>
          <w:tcPr>
            <w:tcW w:w="531" w:type="dxa"/>
            <w:tcBorders>
              <w:top w:val="nil"/>
              <w:left w:val="nil"/>
              <w:bottom w:val="nil"/>
              <w:right w:val="nil"/>
            </w:tcBorders>
            <w:shd w:val="clear" w:color="auto" w:fill="auto"/>
            <w:noWrap/>
            <w:vAlign w:val="bottom"/>
          </w:tcPr>
          <w:p w14:paraId="63442BFB" w14:textId="6DFB6A4B"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3</w:t>
            </w:r>
          </w:p>
        </w:tc>
        <w:tc>
          <w:tcPr>
            <w:tcW w:w="567" w:type="dxa"/>
            <w:tcBorders>
              <w:top w:val="nil"/>
              <w:left w:val="nil"/>
              <w:bottom w:val="nil"/>
              <w:right w:val="nil"/>
            </w:tcBorders>
            <w:shd w:val="clear" w:color="auto" w:fill="auto"/>
            <w:noWrap/>
            <w:vAlign w:val="bottom"/>
          </w:tcPr>
          <w:p w14:paraId="49582D66" w14:textId="6129BC00"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1702" w:type="dxa"/>
            <w:tcBorders>
              <w:top w:val="nil"/>
              <w:left w:val="nil"/>
              <w:bottom w:val="nil"/>
              <w:right w:val="nil"/>
            </w:tcBorders>
            <w:shd w:val="clear" w:color="auto" w:fill="auto"/>
            <w:noWrap/>
            <w:vAlign w:val="bottom"/>
          </w:tcPr>
          <w:p w14:paraId="56D28D80" w14:textId="27E02D02"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668B5378" w14:textId="44B5ED12"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0.00</w:t>
            </w:r>
          </w:p>
        </w:tc>
        <w:tc>
          <w:tcPr>
            <w:tcW w:w="1559" w:type="dxa"/>
            <w:tcBorders>
              <w:top w:val="nil"/>
              <w:left w:val="nil"/>
              <w:bottom w:val="nil"/>
              <w:right w:val="nil"/>
            </w:tcBorders>
            <w:vAlign w:val="bottom"/>
          </w:tcPr>
          <w:p w14:paraId="0A0E18FC" w14:textId="2BDD8B60"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9E12EB9" w14:textId="367700C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0.00</w:t>
            </w:r>
          </w:p>
        </w:tc>
        <w:tc>
          <w:tcPr>
            <w:tcW w:w="1134" w:type="dxa"/>
            <w:tcBorders>
              <w:top w:val="nil"/>
              <w:left w:val="nil"/>
              <w:bottom w:val="nil"/>
              <w:right w:val="nil"/>
            </w:tcBorders>
            <w:shd w:val="clear" w:color="auto" w:fill="auto"/>
            <w:noWrap/>
            <w:vAlign w:val="bottom"/>
          </w:tcPr>
          <w:p w14:paraId="2ECA4B5F"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21BA3F06"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011095E9"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7453BF1E" w14:textId="77777777" w:rsidR="00692644" w:rsidRPr="00B33438" w:rsidRDefault="00692644" w:rsidP="00692644">
            <w:pPr>
              <w:jc w:val="right"/>
              <w:rPr>
                <w:rFonts w:ascii="Calibri" w:hAnsi="Calibri" w:cs="Calibri"/>
                <w:color w:val="000000"/>
                <w:sz w:val="18"/>
                <w:szCs w:val="18"/>
              </w:rPr>
            </w:pPr>
          </w:p>
        </w:tc>
      </w:tr>
      <w:tr w:rsidR="00692644" w:rsidRPr="00B33438" w14:paraId="3B3D04A7" w14:textId="77777777" w:rsidTr="000C4DE2">
        <w:trPr>
          <w:trHeight w:val="300"/>
        </w:trPr>
        <w:tc>
          <w:tcPr>
            <w:tcW w:w="531" w:type="dxa"/>
            <w:tcBorders>
              <w:top w:val="nil"/>
              <w:left w:val="nil"/>
              <w:bottom w:val="nil"/>
              <w:right w:val="nil"/>
            </w:tcBorders>
            <w:shd w:val="clear" w:color="auto" w:fill="auto"/>
            <w:noWrap/>
            <w:vAlign w:val="bottom"/>
          </w:tcPr>
          <w:p w14:paraId="19F57A7A" w14:textId="01B67DD1"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3</w:t>
            </w:r>
          </w:p>
        </w:tc>
        <w:tc>
          <w:tcPr>
            <w:tcW w:w="567" w:type="dxa"/>
            <w:tcBorders>
              <w:top w:val="nil"/>
              <w:left w:val="nil"/>
              <w:bottom w:val="nil"/>
              <w:right w:val="nil"/>
            </w:tcBorders>
            <w:shd w:val="clear" w:color="auto" w:fill="auto"/>
            <w:noWrap/>
            <w:vAlign w:val="bottom"/>
          </w:tcPr>
          <w:p w14:paraId="796847E0" w14:textId="51057824"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1702" w:type="dxa"/>
            <w:tcBorders>
              <w:top w:val="nil"/>
              <w:left w:val="nil"/>
              <w:bottom w:val="nil"/>
              <w:right w:val="nil"/>
            </w:tcBorders>
            <w:shd w:val="clear" w:color="auto" w:fill="auto"/>
            <w:noWrap/>
            <w:vAlign w:val="bottom"/>
          </w:tcPr>
          <w:p w14:paraId="309A4700" w14:textId="4AFE72D9"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2.07 (0.01) [0.01]</w:t>
            </w:r>
          </w:p>
        </w:tc>
        <w:tc>
          <w:tcPr>
            <w:tcW w:w="1134" w:type="dxa"/>
            <w:tcBorders>
              <w:top w:val="nil"/>
              <w:left w:val="nil"/>
              <w:bottom w:val="nil"/>
              <w:right w:val="nil"/>
            </w:tcBorders>
            <w:vAlign w:val="bottom"/>
          </w:tcPr>
          <w:p w14:paraId="29A290C3" w14:textId="302D0CF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0.00</w:t>
            </w:r>
          </w:p>
        </w:tc>
        <w:tc>
          <w:tcPr>
            <w:tcW w:w="1559" w:type="dxa"/>
            <w:tcBorders>
              <w:top w:val="nil"/>
              <w:left w:val="nil"/>
              <w:bottom w:val="nil"/>
              <w:right w:val="nil"/>
            </w:tcBorders>
            <w:vAlign w:val="bottom"/>
          </w:tcPr>
          <w:p w14:paraId="5C98406F" w14:textId="035E2DEE"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2.07 (0.01) [0.01]</w:t>
            </w:r>
          </w:p>
        </w:tc>
        <w:tc>
          <w:tcPr>
            <w:tcW w:w="1134" w:type="dxa"/>
            <w:tcBorders>
              <w:top w:val="nil"/>
              <w:left w:val="nil"/>
              <w:bottom w:val="nil"/>
              <w:right w:val="nil"/>
            </w:tcBorders>
            <w:vAlign w:val="bottom"/>
          </w:tcPr>
          <w:p w14:paraId="57ECD9FC" w14:textId="0E65B01B"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0.00</w:t>
            </w:r>
          </w:p>
        </w:tc>
        <w:tc>
          <w:tcPr>
            <w:tcW w:w="1134" w:type="dxa"/>
            <w:tcBorders>
              <w:top w:val="nil"/>
              <w:left w:val="nil"/>
              <w:bottom w:val="nil"/>
              <w:right w:val="nil"/>
            </w:tcBorders>
            <w:shd w:val="clear" w:color="auto" w:fill="auto"/>
            <w:noWrap/>
            <w:vAlign w:val="bottom"/>
          </w:tcPr>
          <w:p w14:paraId="34737576"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4C6DEC55"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3010691F"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009DA7DA" w14:textId="77777777" w:rsidR="00692644" w:rsidRPr="00B33438" w:rsidRDefault="00692644" w:rsidP="00692644">
            <w:pPr>
              <w:jc w:val="right"/>
              <w:rPr>
                <w:rFonts w:ascii="Calibri" w:hAnsi="Calibri" w:cs="Calibri"/>
                <w:color w:val="000000"/>
                <w:sz w:val="18"/>
                <w:szCs w:val="18"/>
              </w:rPr>
            </w:pPr>
          </w:p>
        </w:tc>
      </w:tr>
      <w:tr w:rsidR="00692644" w:rsidRPr="00B33438" w14:paraId="15ED8DCB" w14:textId="77777777" w:rsidTr="00B33438">
        <w:trPr>
          <w:trHeight w:val="484"/>
        </w:trPr>
        <w:tc>
          <w:tcPr>
            <w:tcW w:w="531" w:type="dxa"/>
            <w:tcBorders>
              <w:top w:val="nil"/>
              <w:left w:val="nil"/>
              <w:bottom w:val="nil"/>
              <w:right w:val="nil"/>
            </w:tcBorders>
            <w:shd w:val="clear" w:color="auto" w:fill="auto"/>
            <w:noWrap/>
            <w:vAlign w:val="bottom"/>
          </w:tcPr>
          <w:p w14:paraId="286269B1" w14:textId="39AD3C31"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3</w:t>
            </w:r>
          </w:p>
        </w:tc>
        <w:tc>
          <w:tcPr>
            <w:tcW w:w="567" w:type="dxa"/>
            <w:tcBorders>
              <w:top w:val="nil"/>
              <w:left w:val="nil"/>
              <w:bottom w:val="nil"/>
              <w:right w:val="nil"/>
            </w:tcBorders>
            <w:shd w:val="clear" w:color="auto" w:fill="auto"/>
            <w:noWrap/>
            <w:vAlign w:val="bottom"/>
          </w:tcPr>
          <w:p w14:paraId="627D7FE5" w14:textId="45EAF672"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1702" w:type="dxa"/>
            <w:tcBorders>
              <w:top w:val="nil"/>
              <w:left w:val="nil"/>
              <w:bottom w:val="nil"/>
              <w:right w:val="nil"/>
            </w:tcBorders>
            <w:shd w:val="clear" w:color="auto" w:fill="auto"/>
            <w:noWrap/>
            <w:vAlign w:val="bottom"/>
          </w:tcPr>
          <w:p w14:paraId="03A050CF" w14:textId="3835E95C"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848B5CB" w14:textId="568CB290"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0.00</w:t>
            </w:r>
          </w:p>
        </w:tc>
        <w:tc>
          <w:tcPr>
            <w:tcW w:w="1559" w:type="dxa"/>
            <w:tcBorders>
              <w:top w:val="nil"/>
              <w:left w:val="nil"/>
              <w:bottom w:val="nil"/>
              <w:right w:val="nil"/>
            </w:tcBorders>
            <w:vAlign w:val="bottom"/>
          </w:tcPr>
          <w:p w14:paraId="5873071C" w14:textId="1E88CD2B"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FE49942" w14:textId="6E21BF2B"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0.97</w:t>
            </w:r>
          </w:p>
        </w:tc>
        <w:tc>
          <w:tcPr>
            <w:tcW w:w="1134" w:type="dxa"/>
            <w:tcBorders>
              <w:top w:val="nil"/>
              <w:left w:val="nil"/>
              <w:bottom w:val="nil"/>
              <w:right w:val="nil"/>
            </w:tcBorders>
            <w:shd w:val="clear" w:color="auto" w:fill="auto"/>
            <w:noWrap/>
            <w:vAlign w:val="bottom"/>
          </w:tcPr>
          <w:p w14:paraId="0FD85BE3"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7A49BDF2"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7A08ECBD"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436F0A5E" w14:textId="77777777" w:rsidR="00692644" w:rsidRPr="00B33438" w:rsidRDefault="00692644" w:rsidP="00692644">
            <w:pPr>
              <w:jc w:val="right"/>
              <w:rPr>
                <w:rFonts w:ascii="Calibri" w:hAnsi="Calibri" w:cs="Calibri"/>
                <w:color w:val="000000"/>
                <w:sz w:val="18"/>
                <w:szCs w:val="18"/>
              </w:rPr>
            </w:pPr>
          </w:p>
        </w:tc>
      </w:tr>
      <w:tr w:rsidR="00692644" w:rsidRPr="00B33438" w14:paraId="29BEFACB" w14:textId="77777777" w:rsidTr="000C4DE2">
        <w:trPr>
          <w:trHeight w:val="300"/>
        </w:trPr>
        <w:tc>
          <w:tcPr>
            <w:tcW w:w="531" w:type="dxa"/>
            <w:tcBorders>
              <w:top w:val="nil"/>
              <w:left w:val="nil"/>
              <w:bottom w:val="nil"/>
              <w:right w:val="nil"/>
            </w:tcBorders>
            <w:shd w:val="clear" w:color="auto" w:fill="auto"/>
            <w:noWrap/>
            <w:vAlign w:val="bottom"/>
          </w:tcPr>
          <w:p w14:paraId="72F91A26" w14:textId="2B699A2B"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-0.5</w:t>
            </w:r>
          </w:p>
        </w:tc>
        <w:tc>
          <w:tcPr>
            <w:tcW w:w="567" w:type="dxa"/>
            <w:tcBorders>
              <w:top w:val="nil"/>
              <w:left w:val="nil"/>
              <w:bottom w:val="nil"/>
              <w:right w:val="nil"/>
            </w:tcBorders>
            <w:shd w:val="clear" w:color="auto" w:fill="auto"/>
            <w:noWrap/>
            <w:vAlign w:val="bottom"/>
          </w:tcPr>
          <w:p w14:paraId="596D0D87" w14:textId="0D4C1ED1"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w:t>
            </w:r>
          </w:p>
        </w:tc>
        <w:tc>
          <w:tcPr>
            <w:tcW w:w="1702" w:type="dxa"/>
            <w:tcBorders>
              <w:top w:val="nil"/>
              <w:left w:val="nil"/>
              <w:bottom w:val="nil"/>
              <w:right w:val="nil"/>
            </w:tcBorders>
            <w:shd w:val="clear" w:color="auto" w:fill="auto"/>
            <w:noWrap/>
            <w:vAlign w:val="bottom"/>
          </w:tcPr>
          <w:p w14:paraId="47ACD945" w14:textId="23BFC3D8"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-0.03 (0.73) [0.74]</w:t>
            </w:r>
          </w:p>
        </w:tc>
        <w:tc>
          <w:tcPr>
            <w:tcW w:w="1134" w:type="dxa"/>
            <w:tcBorders>
              <w:top w:val="nil"/>
              <w:left w:val="nil"/>
              <w:bottom w:val="nil"/>
              <w:right w:val="nil"/>
            </w:tcBorders>
            <w:vAlign w:val="bottom"/>
          </w:tcPr>
          <w:p w14:paraId="4D18151E" w14:textId="6EAB159A"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0.97</w:t>
            </w:r>
          </w:p>
        </w:tc>
        <w:tc>
          <w:tcPr>
            <w:tcW w:w="1559" w:type="dxa"/>
            <w:tcBorders>
              <w:top w:val="nil"/>
              <w:left w:val="nil"/>
              <w:bottom w:val="nil"/>
              <w:right w:val="nil"/>
            </w:tcBorders>
            <w:vAlign w:val="bottom"/>
          </w:tcPr>
          <w:p w14:paraId="2FEEECB4" w14:textId="7A823D79"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-0.03 (0.73) [0.74]</w:t>
            </w:r>
          </w:p>
        </w:tc>
        <w:tc>
          <w:tcPr>
            <w:tcW w:w="1134" w:type="dxa"/>
            <w:tcBorders>
              <w:top w:val="nil"/>
              <w:left w:val="nil"/>
              <w:bottom w:val="nil"/>
              <w:right w:val="nil"/>
            </w:tcBorders>
            <w:vAlign w:val="bottom"/>
          </w:tcPr>
          <w:p w14:paraId="7BFB6FD5" w14:textId="1FAFB9C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0.97</w:t>
            </w:r>
          </w:p>
        </w:tc>
        <w:tc>
          <w:tcPr>
            <w:tcW w:w="1134" w:type="dxa"/>
            <w:tcBorders>
              <w:top w:val="nil"/>
              <w:left w:val="nil"/>
              <w:bottom w:val="nil"/>
              <w:right w:val="nil"/>
            </w:tcBorders>
            <w:shd w:val="clear" w:color="auto" w:fill="auto"/>
            <w:noWrap/>
            <w:vAlign w:val="bottom"/>
          </w:tcPr>
          <w:p w14:paraId="77FE324A"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6DDC4115"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35B9BABD"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313DC518" w14:textId="77777777" w:rsidR="00692644" w:rsidRPr="00B33438" w:rsidRDefault="00692644" w:rsidP="00692644">
            <w:pPr>
              <w:jc w:val="right"/>
              <w:rPr>
                <w:rFonts w:ascii="Calibri" w:hAnsi="Calibri" w:cs="Calibri"/>
                <w:color w:val="000000"/>
                <w:sz w:val="18"/>
                <w:szCs w:val="18"/>
              </w:rPr>
            </w:pPr>
          </w:p>
        </w:tc>
      </w:tr>
      <w:tr w:rsidR="00692644" w:rsidRPr="00B33438" w14:paraId="57505E6E" w14:textId="77777777" w:rsidTr="000C4DE2">
        <w:trPr>
          <w:trHeight w:val="300"/>
        </w:trPr>
        <w:tc>
          <w:tcPr>
            <w:tcW w:w="531" w:type="dxa"/>
            <w:tcBorders>
              <w:top w:val="nil"/>
              <w:left w:val="nil"/>
              <w:bottom w:val="nil"/>
              <w:right w:val="nil"/>
            </w:tcBorders>
            <w:shd w:val="clear" w:color="auto" w:fill="auto"/>
            <w:noWrap/>
            <w:vAlign w:val="bottom"/>
          </w:tcPr>
          <w:p w14:paraId="23DAFDC0" w14:textId="0B14E01E"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-0.5</w:t>
            </w:r>
          </w:p>
        </w:tc>
        <w:tc>
          <w:tcPr>
            <w:tcW w:w="567" w:type="dxa"/>
            <w:tcBorders>
              <w:top w:val="nil"/>
              <w:left w:val="nil"/>
              <w:bottom w:val="nil"/>
              <w:right w:val="nil"/>
            </w:tcBorders>
            <w:shd w:val="clear" w:color="auto" w:fill="auto"/>
            <w:noWrap/>
            <w:vAlign w:val="bottom"/>
          </w:tcPr>
          <w:p w14:paraId="23456E37" w14:textId="3AE69E83"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w:t>
            </w:r>
          </w:p>
        </w:tc>
        <w:tc>
          <w:tcPr>
            <w:tcW w:w="1702" w:type="dxa"/>
            <w:tcBorders>
              <w:top w:val="nil"/>
              <w:left w:val="nil"/>
              <w:bottom w:val="nil"/>
              <w:right w:val="nil"/>
            </w:tcBorders>
            <w:shd w:val="clear" w:color="auto" w:fill="auto"/>
            <w:noWrap/>
            <w:vAlign w:val="bottom"/>
          </w:tcPr>
          <w:p w14:paraId="39A2080D" w14:textId="12C89163"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81BACEC" w14:textId="3468A63D"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0.97</w:t>
            </w:r>
          </w:p>
        </w:tc>
        <w:tc>
          <w:tcPr>
            <w:tcW w:w="1559" w:type="dxa"/>
            <w:tcBorders>
              <w:top w:val="nil"/>
              <w:left w:val="nil"/>
              <w:bottom w:val="nil"/>
              <w:right w:val="nil"/>
            </w:tcBorders>
            <w:vAlign w:val="bottom"/>
          </w:tcPr>
          <w:p w14:paraId="78C5972C" w14:textId="4F14ABEC"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F457117" w14:textId="3376C329"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134" w:type="dxa"/>
            <w:tcBorders>
              <w:top w:val="nil"/>
              <w:left w:val="nil"/>
              <w:bottom w:val="nil"/>
              <w:right w:val="nil"/>
            </w:tcBorders>
            <w:shd w:val="clear" w:color="auto" w:fill="auto"/>
            <w:noWrap/>
            <w:vAlign w:val="bottom"/>
          </w:tcPr>
          <w:p w14:paraId="36104DCE"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2A85B87F"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67039FC0"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11146AC2" w14:textId="77777777" w:rsidR="00692644" w:rsidRPr="00B33438" w:rsidRDefault="00692644" w:rsidP="00692644">
            <w:pPr>
              <w:jc w:val="right"/>
              <w:rPr>
                <w:rFonts w:ascii="Calibri" w:hAnsi="Calibri" w:cs="Calibri"/>
                <w:color w:val="000000"/>
                <w:sz w:val="18"/>
                <w:szCs w:val="18"/>
              </w:rPr>
            </w:pPr>
          </w:p>
        </w:tc>
      </w:tr>
      <w:tr w:rsidR="00692644" w:rsidRPr="00B33438" w14:paraId="36B74E87" w14:textId="77777777" w:rsidTr="000C4DE2">
        <w:trPr>
          <w:trHeight w:val="300"/>
        </w:trPr>
        <w:tc>
          <w:tcPr>
            <w:tcW w:w="531" w:type="dxa"/>
            <w:tcBorders>
              <w:top w:val="nil"/>
              <w:left w:val="nil"/>
              <w:bottom w:val="nil"/>
              <w:right w:val="nil"/>
            </w:tcBorders>
            <w:shd w:val="clear" w:color="auto" w:fill="auto"/>
            <w:noWrap/>
            <w:vAlign w:val="bottom"/>
          </w:tcPr>
          <w:p w14:paraId="223B60CD" w14:textId="293EB8DA"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-0.5</w:t>
            </w:r>
          </w:p>
        </w:tc>
        <w:tc>
          <w:tcPr>
            <w:tcW w:w="567" w:type="dxa"/>
            <w:tcBorders>
              <w:top w:val="nil"/>
              <w:left w:val="nil"/>
              <w:bottom w:val="nil"/>
              <w:right w:val="nil"/>
            </w:tcBorders>
            <w:shd w:val="clear" w:color="auto" w:fill="auto"/>
            <w:noWrap/>
            <w:vAlign w:val="bottom"/>
          </w:tcPr>
          <w:p w14:paraId="5AFD4B59" w14:textId="66464EB9"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1702" w:type="dxa"/>
            <w:tcBorders>
              <w:top w:val="nil"/>
              <w:left w:val="nil"/>
              <w:bottom w:val="nil"/>
              <w:right w:val="nil"/>
            </w:tcBorders>
            <w:shd w:val="clear" w:color="auto" w:fill="auto"/>
            <w:noWrap/>
            <w:vAlign w:val="bottom"/>
          </w:tcPr>
          <w:p w14:paraId="42407BFC" w14:textId="53AE90B6"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1.04 (0.77) [0.75]</w:t>
            </w:r>
          </w:p>
        </w:tc>
        <w:tc>
          <w:tcPr>
            <w:tcW w:w="1134" w:type="dxa"/>
            <w:tcBorders>
              <w:top w:val="nil"/>
              <w:left w:val="nil"/>
              <w:bottom w:val="nil"/>
              <w:right w:val="nil"/>
            </w:tcBorders>
            <w:vAlign w:val="bottom"/>
          </w:tcPr>
          <w:p w14:paraId="3EE1468B" w14:textId="2DBE3E3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559" w:type="dxa"/>
            <w:tcBorders>
              <w:top w:val="nil"/>
              <w:left w:val="nil"/>
              <w:bottom w:val="nil"/>
              <w:right w:val="nil"/>
            </w:tcBorders>
            <w:vAlign w:val="bottom"/>
          </w:tcPr>
          <w:p w14:paraId="635C0DB9" w14:textId="65910FDD"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1.04 (0.76) [0.74]</w:t>
            </w:r>
          </w:p>
        </w:tc>
        <w:tc>
          <w:tcPr>
            <w:tcW w:w="1134" w:type="dxa"/>
            <w:tcBorders>
              <w:top w:val="nil"/>
              <w:left w:val="nil"/>
              <w:bottom w:val="nil"/>
              <w:right w:val="nil"/>
            </w:tcBorders>
            <w:vAlign w:val="bottom"/>
          </w:tcPr>
          <w:p w14:paraId="5D875A22" w14:textId="6E29DAC0"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134" w:type="dxa"/>
            <w:tcBorders>
              <w:top w:val="nil"/>
              <w:left w:val="nil"/>
              <w:bottom w:val="nil"/>
              <w:right w:val="nil"/>
            </w:tcBorders>
            <w:shd w:val="clear" w:color="auto" w:fill="auto"/>
            <w:noWrap/>
            <w:vAlign w:val="bottom"/>
          </w:tcPr>
          <w:p w14:paraId="2C99A1B8"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1CDDE1BE"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0729FDF5"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710061DD" w14:textId="77777777" w:rsidR="00692644" w:rsidRPr="00B33438" w:rsidRDefault="00692644" w:rsidP="00692644">
            <w:pPr>
              <w:jc w:val="right"/>
              <w:rPr>
                <w:rFonts w:ascii="Calibri" w:hAnsi="Calibri" w:cs="Calibri"/>
                <w:color w:val="000000"/>
                <w:sz w:val="18"/>
                <w:szCs w:val="18"/>
              </w:rPr>
            </w:pPr>
          </w:p>
        </w:tc>
      </w:tr>
      <w:tr w:rsidR="00692644" w:rsidRPr="00B33438" w14:paraId="10E298BE" w14:textId="77777777" w:rsidTr="000C4DE2">
        <w:trPr>
          <w:trHeight w:val="300"/>
        </w:trPr>
        <w:tc>
          <w:tcPr>
            <w:tcW w:w="531" w:type="dxa"/>
            <w:tcBorders>
              <w:top w:val="nil"/>
              <w:left w:val="nil"/>
              <w:bottom w:val="nil"/>
              <w:right w:val="nil"/>
            </w:tcBorders>
            <w:shd w:val="clear" w:color="auto" w:fill="auto"/>
            <w:noWrap/>
            <w:vAlign w:val="bottom"/>
          </w:tcPr>
          <w:p w14:paraId="05A3018C" w14:textId="7AD43290"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-0.5</w:t>
            </w:r>
          </w:p>
        </w:tc>
        <w:tc>
          <w:tcPr>
            <w:tcW w:w="567" w:type="dxa"/>
            <w:tcBorders>
              <w:top w:val="nil"/>
              <w:left w:val="nil"/>
              <w:bottom w:val="nil"/>
              <w:right w:val="nil"/>
            </w:tcBorders>
            <w:shd w:val="clear" w:color="auto" w:fill="auto"/>
            <w:noWrap/>
            <w:vAlign w:val="bottom"/>
          </w:tcPr>
          <w:p w14:paraId="597F0138" w14:textId="39A4C735"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1702" w:type="dxa"/>
            <w:tcBorders>
              <w:top w:val="nil"/>
              <w:left w:val="nil"/>
              <w:bottom w:val="nil"/>
              <w:right w:val="nil"/>
            </w:tcBorders>
            <w:shd w:val="clear" w:color="auto" w:fill="auto"/>
            <w:noWrap/>
            <w:vAlign w:val="bottom"/>
          </w:tcPr>
          <w:p w14:paraId="785EA55F" w14:textId="26C581CB"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61FB1A28" w14:textId="7665857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559" w:type="dxa"/>
            <w:tcBorders>
              <w:top w:val="nil"/>
              <w:left w:val="nil"/>
              <w:bottom w:val="nil"/>
              <w:right w:val="nil"/>
            </w:tcBorders>
            <w:vAlign w:val="bottom"/>
          </w:tcPr>
          <w:p w14:paraId="7927590E" w14:textId="59B513D3"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759056D5" w14:textId="56B9F64E"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134" w:type="dxa"/>
            <w:tcBorders>
              <w:top w:val="nil"/>
              <w:left w:val="nil"/>
              <w:bottom w:val="nil"/>
              <w:right w:val="nil"/>
            </w:tcBorders>
            <w:shd w:val="clear" w:color="auto" w:fill="auto"/>
            <w:noWrap/>
            <w:vAlign w:val="bottom"/>
          </w:tcPr>
          <w:p w14:paraId="3D60272F"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2CCC0F04"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2B68D73C"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7015D6E9" w14:textId="77777777" w:rsidR="00692644" w:rsidRPr="00B33438" w:rsidRDefault="00692644" w:rsidP="00692644">
            <w:pPr>
              <w:jc w:val="right"/>
              <w:rPr>
                <w:rFonts w:ascii="Calibri" w:hAnsi="Calibri" w:cs="Calibri"/>
                <w:color w:val="000000"/>
                <w:sz w:val="18"/>
                <w:szCs w:val="18"/>
              </w:rPr>
            </w:pPr>
          </w:p>
        </w:tc>
      </w:tr>
      <w:tr w:rsidR="00692644" w:rsidRPr="00B33438" w14:paraId="1C8D265C" w14:textId="77777777" w:rsidTr="000C4DE2">
        <w:trPr>
          <w:trHeight w:val="300"/>
        </w:trPr>
        <w:tc>
          <w:tcPr>
            <w:tcW w:w="531" w:type="dxa"/>
            <w:tcBorders>
              <w:top w:val="nil"/>
              <w:left w:val="nil"/>
              <w:bottom w:val="nil"/>
              <w:right w:val="nil"/>
            </w:tcBorders>
            <w:shd w:val="clear" w:color="auto" w:fill="auto"/>
            <w:noWrap/>
            <w:vAlign w:val="bottom"/>
          </w:tcPr>
          <w:p w14:paraId="6B88E8C0" w14:textId="6F28E6EE"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-0.5</w:t>
            </w:r>
          </w:p>
        </w:tc>
        <w:tc>
          <w:tcPr>
            <w:tcW w:w="567" w:type="dxa"/>
            <w:tcBorders>
              <w:top w:val="nil"/>
              <w:left w:val="nil"/>
              <w:bottom w:val="nil"/>
              <w:right w:val="nil"/>
            </w:tcBorders>
            <w:shd w:val="clear" w:color="auto" w:fill="auto"/>
            <w:noWrap/>
            <w:vAlign w:val="bottom"/>
          </w:tcPr>
          <w:p w14:paraId="7E55ECFB" w14:textId="0F3039F1"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1702" w:type="dxa"/>
            <w:tcBorders>
              <w:top w:val="nil"/>
              <w:left w:val="nil"/>
              <w:bottom w:val="nil"/>
              <w:right w:val="nil"/>
            </w:tcBorders>
            <w:shd w:val="clear" w:color="auto" w:fill="auto"/>
            <w:noWrap/>
            <w:vAlign w:val="bottom"/>
          </w:tcPr>
          <w:p w14:paraId="4171544B" w14:textId="12C6603E"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1.99 (0.79) [0.75]</w:t>
            </w:r>
          </w:p>
        </w:tc>
        <w:tc>
          <w:tcPr>
            <w:tcW w:w="1134" w:type="dxa"/>
            <w:tcBorders>
              <w:top w:val="nil"/>
              <w:left w:val="nil"/>
              <w:bottom w:val="nil"/>
              <w:right w:val="nil"/>
            </w:tcBorders>
            <w:vAlign w:val="bottom"/>
          </w:tcPr>
          <w:p w14:paraId="33BB8582" w14:textId="2FBE1CFE"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559" w:type="dxa"/>
            <w:tcBorders>
              <w:top w:val="nil"/>
              <w:left w:val="nil"/>
              <w:bottom w:val="nil"/>
              <w:right w:val="nil"/>
            </w:tcBorders>
            <w:vAlign w:val="bottom"/>
          </w:tcPr>
          <w:p w14:paraId="3BFD91E9" w14:textId="0BD7AFB7"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1.99 (0.79) [0.75]</w:t>
            </w:r>
          </w:p>
        </w:tc>
        <w:tc>
          <w:tcPr>
            <w:tcW w:w="1134" w:type="dxa"/>
            <w:tcBorders>
              <w:top w:val="nil"/>
              <w:left w:val="nil"/>
              <w:bottom w:val="nil"/>
              <w:right w:val="nil"/>
            </w:tcBorders>
            <w:vAlign w:val="bottom"/>
          </w:tcPr>
          <w:p w14:paraId="09D36EA4" w14:textId="372AE03C"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134" w:type="dxa"/>
            <w:tcBorders>
              <w:top w:val="nil"/>
              <w:left w:val="nil"/>
              <w:bottom w:val="nil"/>
              <w:right w:val="nil"/>
            </w:tcBorders>
            <w:shd w:val="clear" w:color="auto" w:fill="auto"/>
            <w:noWrap/>
            <w:vAlign w:val="bottom"/>
          </w:tcPr>
          <w:p w14:paraId="0F4838A3"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60B17B63"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13D76B52"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4A3CE0E9" w14:textId="77777777" w:rsidR="00692644" w:rsidRPr="00B33438" w:rsidRDefault="00692644" w:rsidP="00692644">
            <w:pPr>
              <w:jc w:val="right"/>
              <w:rPr>
                <w:rFonts w:ascii="Calibri" w:hAnsi="Calibri" w:cs="Calibri"/>
                <w:color w:val="000000"/>
                <w:sz w:val="18"/>
                <w:szCs w:val="18"/>
              </w:rPr>
            </w:pPr>
          </w:p>
        </w:tc>
      </w:tr>
      <w:tr w:rsidR="00692644" w:rsidRPr="00B33438" w14:paraId="50C8202E" w14:textId="77777777" w:rsidTr="000C4DE2">
        <w:trPr>
          <w:trHeight w:val="300"/>
        </w:trPr>
        <w:tc>
          <w:tcPr>
            <w:tcW w:w="531" w:type="dxa"/>
            <w:tcBorders>
              <w:top w:val="nil"/>
              <w:left w:val="nil"/>
              <w:bottom w:val="nil"/>
              <w:right w:val="nil"/>
            </w:tcBorders>
            <w:shd w:val="clear" w:color="auto" w:fill="auto"/>
            <w:noWrap/>
            <w:vAlign w:val="bottom"/>
          </w:tcPr>
          <w:p w14:paraId="532FDA14" w14:textId="386D44C3"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-0.5</w:t>
            </w:r>
          </w:p>
        </w:tc>
        <w:tc>
          <w:tcPr>
            <w:tcW w:w="567" w:type="dxa"/>
            <w:tcBorders>
              <w:top w:val="nil"/>
              <w:left w:val="nil"/>
              <w:bottom w:val="nil"/>
              <w:right w:val="nil"/>
            </w:tcBorders>
            <w:shd w:val="clear" w:color="auto" w:fill="auto"/>
            <w:noWrap/>
            <w:vAlign w:val="bottom"/>
          </w:tcPr>
          <w:p w14:paraId="6DCE0615" w14:textId="52F3B3CC"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1702" w:type="dxa"/>
            <w:tcBorders>
              <w:top w:val="nil"/>
              <w:left w:val="nil"/>
              <w:bottom w:val="nil"/>
              <w:right w:val="nil"/>
            </w:tcBorders>
            <w:shd w:val="clear" w:color="auto" w:fill="auto"/>
            <w:noWrap/>
            <w:vAlign w:val="bottom"/>
          </w:tcPr>
          <w:p w14:paraId="13CC4526" w14:textId="7E4925F1"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E857D7A" w14:textId="2B6B125E"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559" w:type="dxa"/>
            <w:tcBorders>
              <w:top w:val="nil"/>
              <w:left w:val="nil"/>
              <w:bottom w:val="nil"/>
              <w:right w:val="nil"/>
            </w:tcBorders>
            <w:vAlign w:val="bottom"/>
          </w:tcPr>
          <w:p w14:paraId="022B6D6B" w14:textId="337E407B"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71148E8" w14:textId="02E925BB"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tcPr>
          <w:p w14:paraId="4D26DE79"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6731B1E7"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7882E4F9"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097208A" w14:textId="77777777" w:rsidR="00692644" w:rsidRPr="00B33438" w:rsidRDefault="00692644" w:rsidP="00692644">
            <w:pPr>
              <w:jc w:val="right"/>
              <w:rPr>
                <w:rFonts w:ascii="Calibri" w:hAnsi="Calibri" w:cs="Calibri"/>
                <w:color w:val="000000"/>
                <w:sz w:val="18"/>
                <w:szCs w:val="18"/>
              </w:rPr>
            </w:pPr>
          </w:p>
        </w:tc>
      </w:tr>
      <w:tr w:rsidR="00692644" w:rsidRPr="00B33438" w14:paraId="294D6704" w14:textId="77777777" w:rsidTr="000C4DE2">
        <w:trPr>
          <w:trHeight w:val="300"/>
        </w:trPr>
        <w:tc>
          <w:tcPr>
            <w:tcW w:w="531" w:type="dxa"/>
            <w:tcBorders>
              <w:top w:val="nil"/>
              <w:left w:val="nil"/>
              <w:bottom w:val="nil"/>
              <w:right w:val="nil"/>
            </w:tcBorders>
            <w:shd w:val="clear" w:color="auto" w:fill="auto"/>
            <w:noWrap/>
            <w:vAlign w:val="bottom"/>
          </w:tcPr>
          <w:p w14:paraId="4BFF7C58" w14:textId="64B583C4"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567" w:type="dxa"/>
            <w:tcBorders>
              <w:top w:val="nil"/>
              <w:left w:val="nil"/>
              <w:bottom w:val="nil"/>
              <w:right w:val="nil"/>
            </w:tcBorders>
            <w:shd w:val="clear" w:color="auto" w:fill="auto"/>
            <w:noWrap/>
            <w:vAlign w:val="bottom"/>
          </w:tcPr>
          <w:p w14:paraId="23520EEB" w14:textId="228CCFAB"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w:t>
            </w:r>
          </w:p>
        </w:tc>
        <w:tc>
          <w:tcPr>
            <w:tcW w:w="1702" w:type="dxa"/>
            <w:tcBorders>
              <w:top w:val="nil"/>
              <w:left w:val="nil"/>
              <w:bottom w:val="nil"/>
              <w:right w:val="nil"/>
            </w:tcBorders>
            <w:shd w:val="clear" w:color="auto" w:fill="auto"/>
            <w:noWrap/>
            <w:vAlign w:val="bottom"/>
          </w:tcPr>
          <w:p w14:paraId="1E1303C5" w14:textId="4D54AE67"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-0.04 (0.67) [0.65]</w:t>
            </w:r>
          </w:p>
        </w:tc>
        <w:tc>
          <w:tcPr>
            <w:tcW w:w="1134" w:type="dxa"/>
            <w:tcBorders>
              <w:top w:val="nil"/>
              <w:left w:val="nil"/>
              <w:bottom w:val="nil"/>
              <w:right w:val="nil"/>
            </w:tcBorders>
            <w:vAlign w:val="bottom"/>
          </w:tcPr>
          <w:p w14:paraId="5A847175" w14:textId="45AC6EAC"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559" w:type="dxa"/>
            <w:tcBorders>
              <w:top w:val="nil"/>
              <w:left w:val="nil"/>
              <w:bottom w:val="nil"/>
              <w:right w:val="nil"/>
            </w:tcBorders>
            <w:vAlign w:val="bottom"/>
          </w:tcPr>
          <w:p w14:paraId="26018DFE" w14:textId="25E53F4C"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-0.04 (0.67) [0.65]</w:t>
            </w:r>
          </w:p>
        </w:tc>
        <w:tc>
          <w:tcPr>
            <w:tcW w:w="1134" w:type="dxa"/>
            <w:tcBorders>
              <w:top w:val="nil"/>
              <w:left w:val="nil"/>
              <w:bottom w:val="nil"/>
              <w:right w:val="nil"/>
            </w:tcBorders>
            <w:vAlign w:val="bottom"/>
          </w:tcPr>
          <w:p w14:paraId="24B0FFC0" w14:textId="455938CC"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tcPr>
          <w:p w14:paraId="35501E40"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5DA54B40"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2944B376"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4BA58E35" w14:textId="77777777" w:rsidR="00692644" w:rsidRPr="00B33438" w:rsidRDefault="00692644" w:rsidP="00692644">
            <w:pPr>
              <w:jc w:val="right"/>
              <w:rPr>
                <w:rFonts w:ascii="Calibri" w:hAnsi="Calibri" w:cs="Calibri"/>
                <w:color w:val="000000"/>
                <w:sz w:val="18"/>
                <w:szCs w:val="18"/>
              </w:rPr>
            </w:pPr>
          </w:p>
        </w:tc>
      </w:tr>
      <w:tr w:rsidR="00692644" w:rsidRPr="00B33438" w14:paraId="50493749" w14:textId="77777777" w:rsidTr="000C4DE2">
        <w:trPr>
          <w:trHeight w:val="300"/>
        </w:trPr>
        <w:tc>
          <w:tcPr>
            <w:tcW w:w="531" w:type="dxa"/>
            <w:tcBorders>
              <w:top w:val="nil"/>
              <w:left w:val="nil"/>
              <w:bottom w:val="nil"/>
              <w:right w:val="nil"/>
            </w:tcBorders>
            <w:shd w:val="clear" w:color="auto" w:fill="auto"/>
            <w:noWrap/>
            <w:vAlign w:val="bottom"/>
          </w:tcPr>
          <w:p w14:paraId="63433ECA" w14:textId="6ABA5FD5"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567" w:type="dxa"/>
            <w:tcBorders>
              <w:top w:val="nil"/>
              <w:left w:val="nil"/>
              <w:bottom w:val="nil"/>
              <w:right w:val="nil"/>
            </w:tcBorders>
            <w:shd w:val="clear" w:color="auto" w:fill="auto"/>
            <w:noWrap/>
            <w:vAlign w:val="bottom"/>
          </w:tcPr>
          <w:p w14:paraId="25CCAF1D" w14:textId="0AFB54CF"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w:t>
            </w:r>
          </w:p>
        </w:tc>
        <w:tc>
          <w:tcPr>
            <w:tcW w:w="1702" w:type="dxa"/>
            <w:tcBorders>
              <w:top w:val="nil"/>
              <w:left w:val="nil"/>
              <w:bottom w:val="nil"/>
              <w:right w:val="nil"/>
            </w:tcBorders>
            <w:shd w:val="clear" w:color="auto" w:fill="auto"/>
            <w:noWrap/>
            <w:vAlign w:val="bottom"/>
          </w:tcPr>
          <w:p w14:paraId="3866BC4F" w14:textId="508A1CD2"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852F532" w14:textId="031EA41D"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559" w:type="dxa"/>
            <w:tcBorders>
              <w:top w:val="nil"/>
              <w:left w:val="nil"/>
              <w:bottom w:val="nil"/>
              <w:right w:val="nil"/>
            </w:tcBorders>
            <w:vAlign w:val="bottom"/>
          </w:tcPr>
          <w:p w14:paraId="0195587C" w14:textId="57418EFA"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9702DF0" w14:textId="0AE4B6FE"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tcPr>
          <w:p w14:paraId="3F9F466D"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5C5D9AAA"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0E034826"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EF38BDC" w14:textId="77777777" w:rsidR="00692644" w:rsidRPr="00B33438" w:rsidRDefault="00692644" w:rsidP="00692644">
            <w:pPr>
              <w:jc w:val="right"/>
              <w:rPr>
                <w:rFonts w:ascii="Calibri" w:hAnsi="Calibri" w:cs="Calibri"/>
                <w:color w:val="000000"/>
                <w:sz w:val="18"/>
                <w:szCs w:val="18"/>
              </w:rPr>
            </w:pPr>
          </w:p>
        </w:tc>
      </w:tr>
      <w:tr w:rsidR="00692644" w:rsidRPr="00B33438" w14:paraId="40191559" w14:textId="77777777" w:rsidTr="000C4DE2">
        <w:trPr>
          <w:trHeight w:val="300"/>
        </w:trPr>
        <w:tc>
          <w:tcPr>
            <w:tcW w:w="531" w:type="dxa"/>
            <w:tcBorders>
              <w:top w:val="nil"/>
              <w:left w:val="nil"/>
              <w:bottom w:val="nil"/>
              <w:right w:val="nil"/>
            </w:tcBorders>
            <w:shd w:val="clear" w:color="auto" w:fill="auto"/>
            <w:noWrap/>
            <w:vAlign w:val="bottom"/>
          </w:tcPr>
          <w:p w14:paraId="3D8BBF09" w14:textId="6E162268"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567" w:type="dxa"/>
            <w:tcBorders>
              <w:top w:val="nil"/>
              <w:left w:val="nil"/>
              <w:bottom w:val="nil"/>
              <w:right w:val="nil"/>
            </w:tcBorders>
            <w:shd w:val="clear" w:color="auto" w:fill="auto"/>
            <w:noWrap/>
            <w:vAlign w:val="bottom"/>
          </w:tcPr>
          <w:p w14:paraId="352C8866" w14:textId="6232D921"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1702" w:type="dxa"/>
            <w:tcBorders>
              <w:top w:val="nil"/>
              <w:left w:val="nil"/>
              <w:bottom w:val="nil"/>
              <w:right w:val="nil"/>
            </w:tcBorders>
            <w:shd w:val="clear" w:color="auto" w:fill="auto"/>
            <w:noWrap/>
            <w:vAlign w:val="bottom"/>
          </w:tcPr>
          <w:p w14:paraId="08797984" w14:textId="7E2876CA"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0.99 (0.64) [0.64]</w:t>
            </w:r>
          </w:p>
        </w:tc>
        <w:tc>
          <w:tcPr>
            <w:tcW w:w="1134" w:type="dxa"/>
            <w:tcBorders>
              <w:top w:val="nil"/>
              <w:left w:val="nil"/>
              <w:bottom w:val="nil"/>
              <w:right w:val="nil"/>
            </w:tcBorders>
            <w:vAlign w:val="bottom"/>
          </w:tcPr>
          <w:p w14:paraId="373762DE" w14:textId="498AA80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559" w:type="dxa"/>
            <w:tcBorders>
              <w:top w:val="nil"/>
              <w:left w:val="nil"/>
              <w:bottom w:val="nil"/>
              <w:right w:val="nil"/>
            </w:tcBorders>
            <w:vAlign w:val="bottom"/>
          </w:tcPr>
          <w:p w14:paraId="62D8B50A" w14:textId="357C8C6D"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0.99 (0.64) [0.64]</w:t>
            </w:r>
          </w:p>
        </w:tc>
        <w:tc>
          <w:tcPr>
            <w:tcW w:w="1134" w:type="dxa"/>
            <w:tcBorders>
              <w:top w:val="nil"/>
              <w:left w:val="nil"/>
              <w:bottom w:val="nil"/>
              <w:right w:val="nil"/>
            </w:tcBorders>
            <w:vAlign w:val="bottom"/>
          </w:tcPr>
          <w:p w14:paraId="2EA62B08" w14:textId="034CE054"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tcPr>
          <w:p w14:paraId="37CDA90C"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67DB14B6"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5AB684C6"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7108708" w14:textId="77777777" w:rsidR="00692644" w:rsidRPr="00B33438" w:rsidRDefault="00692644" w:rsidP="00692644">
            <w:pPr>
              <w:jc w:val="right"/>
              <w:rPr>
                <w:rFonts w:ascii="Calibri" w:hAnsi="Calibri" w:cs="Calibri"/>
                <w:color w:val="000000"/>
                <w:sz w:val="18"/>
                <w:szCs w:val="18"/>
              </w:rPr>
            </w:pPr>
          </w:p>
        </w:tc>
      </w:tr>
      <w:tr w:rsidR="00692644" w:rsidRPr="00B33438" w14:paraId="2CF66F27" w14:textId="77777777" w:rsidTr="000C4DE2">
        <w:trPr>
          <w:trHeight w:val="300"/>
        </w:trPr>
        <w:tc>
          <w:tcPr>
            <w:tcW w:w="531" w:type="dxa"/>
            <w:tcBorders>
              <w:top w:val="nil"/>
              <w:left w:val="nil"/>
              <w:bottom w:val="nil"/>
              <w:right w:val="nil"/>
            </w:tcBorders>
            <w:shd w:val="clear" w:color="auto" w:fill="auto"/>
            <w:noWrap/>
            <w:vAlign w:val="bottom"/>
          </w:tcPr>
          <w:p w14:paraId="1529E4EA" w14:textId="08F0A84C"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567" w:type="dxa"/>
            <w:tcBorders>
              <w:top w:val="nil"/>
              <w:left w:val="nil"/>
              <w:bottom w:val="nil"/>
              <w:right w:val="nil"/>
            </w:tcBorders>
            <w:shd w:val="clear" w:color="auto" w:fill="auto"/>
            <w:noWrap/>
            <w:vAlign w:val="bottom"/>
          </w:tcPr>
          <w:p w14:paraId="033FB0D7" w14:textId="13752994"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1702" w:type="dxa"/>
            <w:tcBorders>
              <w:top w:val="nil"/>
              <w:left w:val="nil"/>
              <w:bottom w:val="nil"/>
              <w:right w:val="nil"/>
            </w:tcBorders>
            <w:shd w:val="clear" w:color="auto" w:fill="auto"/>
            <w:noWrap/>
            <w:vAlign w:val="bottom"/>
          </w:tcPr>
          <w:p w14:paraId="3D6FD4B0" w14:textId="38855123"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063F40B4" w14:textId="675CF6ED"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559" w:type="dxa"/>
            <w:tcBorders>
              <w:top w:val="nil"/>
              <w:left w:val="nil"/>
              <w:bottom w:val="nil"/>
              <w:right w:val="nil"/>
            </w:tcBorders>
            <w:vAlign w:val="bottom"/>
          </w:tcPr>
          <w:p w14:paraId="43A1FEED" w14:textId="5D8091C2"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8BD9327" w14:textId="3746B6E1"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134" w:type="dxa"/>
            <w:tcBorders>
              <w:top w:val="nil"/>
              <w:left w:val="nil"/>
              <w:bottom w:val="nil"/>
              <w:right w:val="nil"/>
            </w:tcBorders>
            <w:shd w:val="clear" w:color="auto" w:fill="auto"/>
            <w:noWrap/>
            <w:vAlign w:val="bottom"/>
          </w:tcPr>
          <w:p w14:paraId="5BC31CD4"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6735CCCD"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15FEC1DF"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696042FA" w14:textId="77777777" w:rsidR="00692644" w:rsidRPr="00B33438" w:rsidRDefault="00692644" w:rsidP="00692644">
            <w:pPr>
              <w:jc w:val="right"/>
              <w:rPr>
                <w:rFonts w:ascii="Calibri" w:hAnsi="Calibri" w:cs="Calibri"/>
                <w:color w:val="000000"/>
                <w:sz w:val="18"/>
                <w:szCs w:val="18"/>
              </w:rPr>
            </w:pPr>
          </w:p>
        </w:tc>
      </w:tr>
      <w:tr w:rsidR="00692644" w:rsidRPr="00B33438" w14:paraId="0DE239F9" w14:textId="77777777" w:rsidTr="000C4DE2">
        <w:trPr>
          <w:trHeight w:val="300"/>
        </w:trPr>
        <w:tc>
          <w:tcPr>
            <w:tcW w:w="531" w:type="dxa"/>
            <w:tcBorders>
              <w:top w:val="nil"/>
              <w:left w:val="nil"/>
              <w:bottom w:val="nil"/>
              <w:right w:val="nil"/>
            </w:tcBorders>
            <w:shd w:val="clear" w:color="auto" w:fill="auto"/>
            <w:noWrap/>
            <w:vAlign w:val="bottom"/>
          </w:tcPr>
          <w:p w14:paraId="4AF50A49" w14:textId="402A5152"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lastRenderedPageBreak/>
              <w:t>-1</w:t>
            </w:r>
          </w:p>
        </w:tc>
        <w:tc>
          <w:tcPr>
            <w:tcW w:w="567" w:type="dxa"/>
            <w:tcBorders>
              <w:top w:val="nil"/>
              <w:left w:val="nil"/>
              <w:bottom w:val="nil"/>
              <w:right w:val="nil"/>
            </w:tcBorders>
            <w:shd w:val="clear" w:color="auto" w:fill="auto"/>
            <w:noWrap/>
            <w:vAlign w:val="bottom"/>
          </w:tcPr>
          <w:p w14:paraId="3598762D" w14:textId="327E9247"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1702" w:type="dxa"/>
            <w:tcBorders>
              <w:top w:val="nil"/>
              <w:left w:val="nil"/>
              <w:bottom w:val="nil"/>
              <w:right w:val="nil"/>
            </w:tcBorders>
            <w:shd w:val="clear" w:color="auto" w:fill="auto"/>
            <w:noWrap/>
            <w:vAlign w:val="bottom"/>
          </w:tcPr>
          <w:p w14:paraId="34FA6627" w14:textId="0165734C"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1.96 (0.67) [0.64]</w:t>
            </w:r>
          </w:p>
        </w:tc>
        <w:tc>
          <w:tcPr>
            <w:tcW w:w="1134" w:type="dxa"/>
            <w:tcBorders>
              <w:top w:val="nil"/>
              <w:left w:val="nil"/>
              <w:bottom w:val="nil"/>
              <w:right w:val="nil"/>
            </w:tcBorders>
            <w:vAlign w:val="bottom"/>
          </w:tcPr>
          <w:p w14:paraId="052DBCCA" w14:textId="7479BF88"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559" w:type="dxa"/>
            <w:tcBorders>
              <w:top w:val="nil"/>
              <w:left w:val="nil"/>
              <w:bottom w:val="nil"/>
              <w:right w:val="nil"/>
            </w:tcBorders>
            <w:vAlign w:val="bottom"/>
          </w:tcPr>
          <w:p w14:paraId="46B043F6" w14:textId="0DB770C1"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1.96 (0.67) [0.64]</w:t>
            </w:r>
          </w:p>
        </w:tc>
        <w:tc>
          <w:tcPr>
            <w:tcW w:w="1134" w:type="dxa"/>
            <w:tcBorders>
              <w:top w:val="nil"/>
              <w:left w:val="nil"/>
              <w:bottom w:val="nil"/>
              <w:right w:val="nil"/>
            </w:tcBorders>
            <w:vAlign w:val="bottom"/>
          </w:tcPr>
          <w:p w14:paraId="732BFF25" w14:textId="2EE2B0B4"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134" w:type="dxa"/>
            <w:tcBorders>
              <w:top w:val="nil"/>
              <w:left w:val="nil"/>
              <w:bottom w:val="nil"/>
              <w:right w:val="nil"/>
            </w:tcBorders>
            <w:shd w:val="clear" w:color="auto" w:fill="auto"/>
            <w:noWrap/>
            <w:vAlign w:val="bottom"/>
          </w:tcPr>
          <w:p w14:paraId="79E812EB"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572AB18A"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1BE9D1D4"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74236B8F" w14:textId="77777777" w:rsidR="00692644" w:rsidRPr="00B33438" w:rsidRDefault="00692644" w:rsidP="00692644">
            <w:pPr>
              <w:jc w:val="right"/>
              <w:rPr>
                <w:rFonts w:ascii="Calibri" w:hAnsi="Calibri" w:cs="Calibri"/>
                <w:color w:val="000000"/>
                <w:sz w:val="18"/>
                <w:szCs w:val="18"/>
              </w:rPr>
            </w:pPr>
          </w:p>
        </w:tc>
      </w:tr>
      <w:tr w:rsidR="00692644" w:rsidRPr="00B33438" w14:paraId="105568E0" w14:textId="77777777" w:rsidTr="000C4DE2">
        <w:trPr>
          <w:trHeight w:val="300"/>
        </w:trPr>
        <w:tc>
          <w:tcPr>
            <w:tcW w:w="531" w:type="dxa"/>
            <w:tcBorders>
              <w:top w:val="nil"/>
              <w:left w:val="nil"/>
              <w:bottom w:val="nil"/>
              <w:right w:val="nil"/>
            </w:tcBorders>
            <w:shd w:val="clear" w:color="auto" w:fill="auto"/>
            <w:noWrap/>
            <w:vAlign w:val="bottom"/>
          </w:tcPr>
          <w:p w14:paraId="20D776ED" w14:textId="544BAB68"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567" w:type="dxa"/>
            <w:tcBorders>
              <w:top w:val="nil"/>
              <w:left w:val="nil"/>
              <w:bottom w:val="nil"/>
              <w:right w:val="nil"/>
            </w:tcBorders>
            <w:shd w:val="clear" w:color="auto" w:fill="auto"/>
            <w:noWrap/>
            <w:vAlign w:val="bottom"/>
          </w:tcPr>
          <w:p w14:paraId="04FA1DAB" w14:textId="75FB95BC"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1702" w:type="dxa"/>
            <w:tcBorders>
              <w:top w:val="nil"/>
              <w:left w:val="nil"/>
              <w:bottom w:val="nil"/>
              <w:right w:val="nil"/>
            </w:tcBorders>
            <w:shd w:val="clear" w:color="auto" w:fill="auto"/>
            <w:noWrap/>
            <w:vAlign w:val="bottom"/>
          </w:tcPr>
          <w:p w14:paraId="0A50EC1C" w14:textId="7E076F1D"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D7EB07B" w14:textId="7DB5B1A6"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0.93</w:t>
            </w:r>
          </w:p>
        </w:tc>
        <w:tc>
          <w:tcPr>
            <w:tcW w:w="1559" w:type="dxa"/>
            <w:tcBorders>
              <w:top w:val="nil"/>
              <w:left w:val="nil"/>
              <w:bottom w:val="nil"/>
              <w:right w:val="nil"/>
            </w:tcBorders>
            <w:vAlign w:val="bottom"/>
          </w:tcPr>
          <w:p w14:paraId="6045555E" w14:textId="6D868F5E"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EE8EC8F" w14:textId="49A1C780"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0.92</w:t>
            </w:r>
          </w:p>
        </w:tc>
        <w:tc>
          <w:tcPr>
            <w:tcW w:w="1134" w:type="dxa"/>
            <w:tcBorders>
              <w:top w:val="nil"/>
              <w:left w:val="nil"/>
              <w:bottom w:val="nil"/>
              <w:right w:val="nil"/>
            </w:tcBorders>
            <w:shd w:val="clear" w:color="auto" w:fill="auto"/>
            <w:noWrap/>
            <w:vAlign w:val="bottom"/>
          </w:tcPr>
          <w:p w14:paraId="28C81BFE"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1FE6A449"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6E394328"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5D2500A" w14:textId="77777777" w:rsidR="00692644" w:rsidRPr="00B33438" w:rsidRDefault="00692644" w:rsidP="00692644">
            <w:pPr>
              <w:jc w:val="right"/>
              <w:rPr>
                <w:rFonts w:ascii="Calibri" w:hAnsi="Calibri" w:cs="Calibri"/>
                <w:color w:val="000000"/>
                <w:sz w:val="18"/>
                <w:szCs w:val="18"/>
              </w:rPr>
            </w:pPr>
          </w:p>
        </w:tc>
      </w:tr>
      <w:tr w:rsidR="00692644" w:rsidRPr="00B33438" w14:paraId="49923D9F" w14:textId="77777777" w:rsidTr="000C4DE2">
        <w:trPr>
          <w:trHeight w:val="300"/>
        </w:trPr>
        <w:tc>
          <w:tcPr>
            <w:tcW w:w="531" w:type="dxa"/>
            <w:tcBorders>
              <w:top w:val="nil"/>
              <w:left w:val="nil"/>
              <w:bottom w:val="nil"/>
              <w:right w:val="nil"/>
            </w:tcBorders>
            <w:shd w:val="clear" w:color="auto" w:fill="auto"/>
            <w:noWrap/>
            <w:vAlign w:val="bottom"/>
          </w:tcPr>
          <w:p w14:paraId="0144F24E" w14:textId="186C0D74"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567" w:type="dxa"/>
            <w:tcBorders>
              <w:top w:val="nil"/>
              <w:left w:val="nil"/>
              <w:bottom w:val="nil"/>
              <w:right w:val="nil"/>
            </w:tcBorders>
            <w:shd w:val="clear" w:color="auto" w:fill="auto"/>
            <w:noWrap/>
            <w:vAlign w:val="bottom"/>
          </w:tcPr>
          <w:p w14:paraId="4D104E1C" w14:textId="044CE686"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w:t>
            </w:r>
          </w:p>
        </w:tc>
        <w:tc>
          <w:tcPr>
            <w:tcW w:w="1702" w:type="dxa"/>
            <w:tcBorders>
              <w:top w:val="nil"/>
              <w:left w:val="nil"/>
              <w:bottom w:val="nil"/>
              <w:right w:val="nil"/>
            </w:tcBorders>
            <w:shd w:val="clear" w:color="auto" w:fill="auto"/>
            <w:noWrap/>
            <w:vAlign w:val="bottom"/>
          </w:tcPr>
          <w:p w14:paraId="059175B9" w14:textId="03FDB7CE"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-0.10 (1.01) [0.93]</w:t>
            </w:r>
          </w:p>
        </w:tc>
        <w:tc>
          <w:tcPr>
            <w:tcW w:w="1134" w:type="dxa"/>
            <w:tcBorders>
              <w:top w:val="nil"/>
              <w:left w:val="nil"/>
              <w:bottom w:val="nil"/>
              <w:right w:val="nil"/>
            </w:tcBorders>
            <w:vAlign w:val="bottom"/>
          </w:tcPr>
          <w:p w14:paraId="385DE837" w14:textId="3E6D273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0.92</w:t>
            </w:r>
          </w:p>
        </w:tc>
        <w:tc>
          <w:tcPr>
            <w:tcW w:w="1559" w:type="dxa"/>
            <w:tcBorders>
              <w:top w:val="nil"/>
              <w:left w:val="nil"/>
              <w:bottom w:val="nil"/>
              <w:right w:val="nil"/>
            </w:tcBorders>
            <w:vAlign w:val="bottom"/>
          </w:tcPr>
          <w:p w14:paraId="05A24DB1" w14:textId="6F09880E"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-0.10 (1.01) [0.93]</w:t>
            </w:r>
          </w:p>
        </w:tc>
        <w:tc>
          <w:tcPr>
            <w:tcW w:w="1134" w:type="dxa"/>
            <w:tcBorders>
              <w:top w:val="nil"/>
              <w:left w:val="nil"/>
              <w:bottom w:val="nil"/>
              <w:right w:val="nil"/>
            </w:tcBorders>
            <w:vAlign w:val="bottom"/>
          </w:tcPr>
          <w:p w14:paraId="3E8B2C42" w14:textId="5E6F58BB"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0.92</w:t>
            </w:r>
          </w:p>
        </w:tc>
        <w:tc>
          <w:tcPr>
            <w:tcW w:w="1134" w:type="dxa"/>
            <w:tcBorders>
              <w:top w:val="nil"/>
              <w:left w:val="nil"/>
              <w:bottom w:val="nil"/>
              <w:right w:val="nil"/>
            </w:tcBorders>
            <w:shd w:val="clear" w:color="auto" w:fill="auto"/>
            <w:noWrap/>
            <w:vAlign w:val="bottom"/>
          </w:tcPr>
          <w:p w14:paraId="7C2DB936"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012759A3"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5DA66FFF"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52362CD" w14:textId="77777777" w:rsidR="00692644" w:rsidRPr="00B33438" w:rsidRDefault="00692644" w:rsidP="00692644">
            <w:pPr>
              <w:jc w:val="right"/>
              <w:rPr>
                <w:rFonts w:ascii="Calibri" w:hAnsi="Calibri" w:cs="Calibri"/>
                <w:color w:val="000000"/>
                <w:sz w:val="18"/>
                <w:szCs w:val="18"/>
              </w:rPr>
            </w:pPr>
          </w:p>
        </w:tc>
      </w:tr>
      <w:tr w:rsidR="00692644" w:rsidRPr="00B33438" w14:paraId="35996E8B" w14:textId="77777777" w:rsidTr="000C4DE2">
        <w:trPr>
          <w:trHeight w:val="300"/>
        </w:trPr>
        <w:tc>
          <w:tcPr>
            <w:tcW w:w="531" w:type="dxa"/>
            <w:tcBorders>
              <w:top w:val="nil"/>
              <w:left w:val="nil"/>
              <w:bottom w:val="nil"/>
              <w:right w:val="nil"/>
            </w:tcBorders>
            <w:shd w:val="clear" w:color="auto" w:fill="auto"/>
            <w:noWrap/>
            <w:vAlign w:val="bottom"/>
          </w:tcPr>
          <w:p w14:paraId="56FA9B67" w14:textId="3F56EE66"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567" w:type="dxa"/>
            <w:tcBorders>
              <w:top w:val="nil"/>
              <w:left w:val="nil"/>
              <w:bottom w:val="nil"/>
              <w:right w:val="nil"/>
            </w:tcBorders>
            <w:shd w:val="clear" w:color="auto" w:fill="auto"/>
            <w:noWrap/>
            <w:vAlign w:val="bottom"/>
          </w:tcPr>
          <w:p w14:paraId="6728B1BB" w14:textId="0504A470"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0</w:t>
            </w:r>
          </w:p>
        </w:tc>
        <w:tc>
          <w:tcPr>
            <w:tcW w:w="1702" w:type="dxa"/>
            <w:tcBorders>
              <w:top w:val="nil"/>
              <w:left w:val="nil"/>
              <w:bottom w:val="nil"/>
              <w:right w:val="nil"/>
            </w:tcBorders>
            <w:shd w:val="clear" w:color="auto" w:fill="auto"/>
            <w:noWrap/>
            <w:vAlign w:val="bottom"/>
          </w:tcPr>
          <w:p w14:paraId="1F3741AE" w14:textId="711E6E7C"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5DF7586" w14:textId="7C8630D5"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0.92</w:t>
            </w:r>
          </w:p>
        </w:tc>
        <w:tc>
          <w:tcPr>
            <w:tcW w:w="1559" w:type="dxa"/>
            <w:tcBorders>
              <w:top w:val="nil"/>
              <w:left w:val="nil"/>
              <w:bottom w:val="nil"/>
              <w:right w:val="nil"/>
            </w:tcBorders>
            <w:vAlign w:val="bottom"/>
          </w:tcPr>
          <w:p w14:paraId="08AC49D5" w14:textId="7E3EB1CE"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499340A" w14:textId="70ABF8F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tcPr>
          <w:p w14:paraId="146E3E4D"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6458BB34"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3B12B2AD"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75D6931" w14:textId="77777777" w:rsidR="00692644" w:rsidRPr="00B33438" w:rsidRDefault="00692644" w:rsidP="00692644">
            <w:pPr>
              <w:jc w:val="right"/>
              <w:rPr>
                <w:rFonts w:ascii="Calibri" w:hAnsi="Calibri" w:cs="Calibri"/>
                <w:color w:val="000000"/>
                <w:sz w:val="18"/>
                <w:szCs w:val="18"/>
              </w:rPr>
            </w:pPr>
          </w:p>
        </w:tc>
      </w:tr>
      <w:tr w:rsidR="00692644" w:rsidRPr="00B33438" w14:paraId="7FE60BDF" w14:textId="77777777" w:rsidTr="000C4DE2">
        <w:trPr>
          <w:trHeight w:val="300"/>
        </w:trPr>
        <w:tc>
          <w:tcPr>
            <w:tcW w:w="531" w:type="dxa"/>
            <w:tcBorders>
              <w:top w:val="nil"/>
              <w:left w:val="nil"/>
              <w:bottom w:val="nil"/>
              <w:right w:val="nil"/>
            </w:tcBorders>
            <w:shd w:val="clear" w:color="auto" w:fill="auto"/>
            <w:noWrap/>
            <w:vAlign w:val="bottom"/>
          </w:tcPr>
          <w:p w14:paraId="58C85943" w14:textId="167AD37C"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567" w:type="dxa"/>
            <w:tcBorders>
              <w:top w:val="nil"/>
              <w:left w:val="nil"/>
              <w:bottom w:val="nil"/>
              <w:right w:val="nil"/>
            </w:tcBorders>
            <w:shd w:val="clear" w:color="auto" w:fill="auto"/>
            <w:noWrap/>
            <w:vAlign w:val="bottom"/>
          </w:tcPr>
          <w:p w14:paraId="19154013" w14:textId="010FEC9B"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1702" w:type="dxa"/>
            <w:tcBorders>
              <w:top w:val="nil"/>
              <w:left w:val="nil"/>
              <w:bottom w:val="nil"/>
              <w:right w:val="nil"/>
            </w:tcBorders>
            <w:shd w:val="clear" w:color="auto" w:fill="auto"/>
            <w:noWrap/>
            <w:vAlign w:val="bottom"/>
          </w:tcPr>
          <w:p w14:paraId="5F47DF7C" w14:textId="51CC616A"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1.01 (0.97) [0.93]</w:t>
            </w:r>
          </w:p>
        </w:tc>
        <w:tc>
          <w:tcPr>
            <w:tcW w:w="1134" w:type="dxa"/>
            <w:tcBorders>
              <w:top w:val="nil"/>
              <w:left w:val="nil"/>
              <w:bottom w:val="nil"/>
              <w:right w:val="nil"/>
            </w:tcBorders>
            <w:vAlign w:val="bottom"/>
          </w:tcPr>
          <w:p w14:paraId="635575EE" w14:textId="430C6300"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559" w:type="dxa"/>
            <w:tcBorders>
              <w:top w:val="nil"/>
              <w:left w:val="nil"/>
              <w:bottom w:val="nil"/>
              <w:right w:val="nil"/>
            </w:tcBorders>
            <w:vAlign w:val="bottom"/>
          </w:tcPr>
          <w:p w14:paraId="609A1C27" w14:textId="479DD0D2"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1.01 (0.97) [0.93]</w:t>
            </w:r>
          </w:p>
        </w:tc>
        <w:tc>
          <w:tcPr>
            <w:tcW w:w="1134" w:type="dxa"/>
            <w:tcBorders>
              <w:top w:val="nil"/>
              <w:left w:val="nil"/>
              <w:bottom w:val="nil"/>
              <w:right w:val="nil"/>
            </w:tcBorders>
            <w:vAlign w:val="bottom"/>
          </w:tcPr>
          <w:p w14:paraId="1336E534" w14:textId="107AFF50"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134" w:type="dxa"/>
            <w:tcBorders>
              <w:top w:val="nil"/>
              <w:left w:val="nil"/>
              <w:bottom w:val="nil"/>
              <w:right w:val="nil"/>
            </w:tcBorders>
            <w:shd w:val="clear" w:color="auto" w:fill="auto"/>
            <w:noWrap/>
            <w:vAlign w:val="bottom"/>
          </w:tcPr>
          <w:p w14:paraId="3C03B7FC"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75B60BF2"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63F5351A"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1031FC1" w14:textId="77777777" w:rsidR="00692644" w:rsidRPr="00B33438" w:rsidRDefault="00692644" w:rsidP="00692644">
            <w:pPr>
              <w:jc w:val="right"/>
              <w:rPr>
                <w:rFonts w:ascii="Calibri" w:hAnsi="Calibri" w:cs="Calibri"/>
                <w:color w:val="000000"/>
                <w:sz w:val="18"/>
                <w:szCs w:val="18"/>
              </w:rPr>
            </w:pPr>
          </w:p>
        </w:tc>
      </w:tr>
      <w:tr w:rsidR="00692644" w:rsidRPr="00B33438" w14:paraId="2C69C9E5" w14:textId="77777777" w:rsidTr="000C4DE2">
        <w:trPr>
          <w:trHeight w:val="300"/>
        </w:trPr>
        <w:tc>
          <w:tcPr>
            <w:tcW w:w="531" w:type="dxa"/>
            <w:tcBorders>
              <w:top w:val="nil"/>
              <w:left w:val="nil"/>
              <w:bottom w:val="nil"/>
              <w:right w:val="nil"/>
            </w:tcBorders>
            <w:shd w:val="clear" w:color="auto" w:fill="auto"/>
            <w:noWrap/>
            <w:vAlign w:val="bottom"/>
          </w:tcPr>
          <w:p w14:paraId="5F4880F3" w14:textId="2AACC212"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567" w:type="dxa"/>
            <w:tcBorders>
              <w:top w:val="nil"/>
              <w:left w:val="nil"/>
              <w:bottom w:val="nil"/>
              <w:right w:val="nil"/>
            </w:tcBorders>
            <w:shd w:val="clear" w:color="auto" w:fill="auto"/>
            <w:noWrap/>
            <w:vAlign w:val="bottom"/>
          </w:tcPr>
          <w:p w14:paraId="7B87C802" w14:textId="409DF3B9"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w:t>
            </w:r>
          </w:p>
        </w:tc>
        <w:tc>
          <w:tcPr>
            <w:tcW w:w="1702" w:type="dxa"/>
            <w:tcBorders>
              <w:top w:val="nil"/>
              <w:left w:val="nil"/>
              <w:bottom w:val="nil"/>
              <w:right w:val="nil"/>
            </w:tcBorders>
            <w:shd w:val="clear" w:color="auto" w:fill="auto"/>
            <w:noWrap/>
            <w:vAlign w:val="bottom"/>
          </w:tcPr>
          <w:p w14:paraId="2310FDD9" w14:textId="66A2FA57"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DE730E4" w14:textId="4D3EC826"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0.95</w:t>
            </w:r>
          </w:p>
        </w:tc>
        <w:tc>
          <w:tcPr>
            <w:tcW w:w="1559" w:type="dxa"/>
            <w:tcBorders>
              <w:top w:val="nil"/>
              <w:left w:val="nil"/>
              <w:bottom w:val="nil"/>
              <w:right w:val="nil"/>
            </w:tcBorders>
            <w:vAlign w:val="bottom"/>
          </w:tcPr>
          <w:p w14:paraId="094B8A7A" w14:textId="37817E96"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20C1029" w14:textId="59A162F9"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0.97</w:t>
            </w:r>
          </w:p>
        </w:tc>
        <w:tc>
          <w:tcPr>
            <w:tcW w:w="1134" w:type="dxa"/>
            <w:tcBorders>
              <w:top w:val="nil"/>
              <w:left w:val="nil"/>
              <w:bottom w:val="nil"/>
              <w:right w:val="nil"/>
            </w:tcBorders>
            <w:shd w:val="clear" w:color="auto" w:fill="auto"/>
            <w:noWrap/>
            <w:vAlign w:val="bottom"/>
          </w:tcPr>
          <w:p w14:paraId="13D4C452"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647C45F1"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0E942BAF"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655C9916" w14:textId="77777777" w:rsidR="00692644" w:rsidRPr="00B33438" w:rsidRDefault="00692644" w:rsidP="00692644">
            <w:pPr>
              <w:jc w:val="right"/>
              <w:rPr>
                <w:rFonts w:ascii="Calibri" w:hAnsi="Calibri" w:cs="Calibri"/>
                <w:color w:val="000000"/>
                <w:sz w:val="18"/>
                <w:szCs w:val="18"/>
              </w:rPr>
            </w:pPr>
          </w:p>
        </w:tc>
      </w:tr>
      <w:tr w:rsidR="00692644" w:rsidRPr="00B33438" w14:paraId="39BC9705" w14:textId="77777777" w:rsidTr="000C4DE2">
        <w:trPr>
          <w:trHeight w:val="300"/>
        </w:trPr>
        <w:tc>
          <w:tcPr>
            <w:tcW w:w="531" w:type="dxa"/>
            <w:tcBorders>
              <w:top w:val="nil"/>
              <w:left w:val="nil"/>
              <w:bottom w:val="nil"/>
              <w:right w:val="nil"/>
            </w:tcBorders>
            <w:shd w:val="clear" w:color="auto" w:fill="auto"/>
            <w:noWrap/>
            <w:vAlign w:val="bottom"/>
          </w:tcPr>
          <w:p w14:paraId="08BE4E82" w14:textId="097C5C15"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567" w:type="dxa"/>
            <w:tcBorders>
              <w:top w:val="nil"/>
              <w:left w:val="nil"/>
              <w:bottom w:val="nil"/>
              <w:right w:val="nil"/>
            </w:tcBorders>
            <w:shd w:val="clear" w:color="auto" w:fill="auto"/>
            <w:noWrap/>
            <w:vAlign w:val="bottom"/>
          </w:tcPr>
          <w:p w14:paraId="07D693B1" w14:textId="02E55059"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1702" w:type="dxa"/>
            <w:tcBorders>
              <w:top w:val="nil"/>
              <w:left w:val="nil"/>
              <w:bottom w:val="nil"/>
              <w:right w:val="nil"/>
            </w:tcBorders>
            <w:shd w:val="clear" w:color="auto" w:fill="auto"/>
            <w:noWrap/>
            <w:vAlign w:val="bottom"/>
          </w:tcPr>
          <w:p w14:paraId="4DECA532" w14:textId="71E0FA91"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1.89 (0.93) [0.93]</w:t>
            </w:r>
          </w:p>
        </w:tc>
        <w:tc>
          <w:tcPr>
            <w:tcW w:w="1134" w:type="dxa"/>
            <w:tcBorders>
              <w:top w:val="nil"/>
              <w:left w:val="nil"/>
              <w:bottom w:val="nil"/>
              <w:right w:val="nil"/>
            </w:tcBorders>
            <w:vAlign w:val="bottom"/>
          </w:tcPr>
          <w:p w14:paraId="0A8A5C57" w14:textId="7C9128C7"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0.97</w:t>
            </w:r>
          </w:p>
        </w:tc>
        <w:tc>
          <w:tcPr>
            <w:tcW w:w="1559" w:type="dxa"/>
            <w:tcBorders>
              <w:top w:val="nil"/>
              <w:left w:val="nil"/>
              <w:bottom w:val="nil"/>
              <w:right w:val="nil"/>
            </w:tcBorders>
            <w:vAlign w:val="bottom"/>
          </w:tcPr>
          <w:p w14:paraId="79051BAA" w14:textId="0F296024"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1.89 (0.93) [0.93]</w:t>
            </w:r>
          </w:p>
        </w:tc>
        <w:tc>
          <w:tcPr>
            <w:tcW w:w="1134" w:type="dxa"/>
            <w:tcBorders>
              <w:top w:val="nil"/>
              <w:left w:val="nil"/>
              <w:bottom w:val="nil"/>
              <w:right w:val="nil"/>
            </w:tcBorders>
            <w:vAlign w:val="bottom"/>
          </w:tcPr>
          <w:p w14:paraId="54035373" w14:textId="1F5ECC2A"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0.97</w:t>
            </w:r>
          </w:p>
        </w:tc>
        <w:tc>
          <w:tcPr>
            <w:tcW w:w="1134" w:type="dxa"/>
            <w:tcBorders>
              <w:top w:val="nil"/>
              <w:left w:val="nil"/>
              <w:bottom w:val="nil"/>
              <w:right w:val="nil"/>
            </w:tcBorders>
            <w:shd w:val="clear" w:color="auto" w:fill="auto"/>
            <w:noWrap/>
            <w:vAlign w:val="bottom"/>
          </w:tcPr>
          <w:p w14:paraId="1EA54503"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45553C96"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72021EAE"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65FF165" w14:textId="77777777" w:rsidR="00692644" w:rsidRPr="00B33438" w:rsidRDefault="00692644" w:rsidP="00692644">
            <w:pPr>
              <w:jc w:val="right"/>
              <w:rPr>
                <w:rFonts w:ascii="Calibri" w:hAnsi="Calibri" w:cs="Calibri"/>
                <w:color w:val="000000"/>
                <w:sz w:val="18"/>
                <w:szCs w:val="18"/>
              </w:rPr>
            </w:pPr>
          </w:p>
        </w:tc>
      </w:tr>
      <w:tr w:rsidR="00692644" w:rsidRPr="00B33438" w14:paraId="073C6E51" w14:textId="77777777" w:rsidTr="000C4DE2">
        <w:trPr>
          <w:trHeight w:val="300"/>
        </w:trPr>
        <w:tc>
          <w:tcPr>
            <w:tcW w:w="531" w:type="dxa"/>
            <w:tcBorders>
              <w:top w:val="nil"/>
              <w:left w:val="nil"/>
              <w:bottom w:val="nil"/>
              <w:right w:val="nil"/>
            </w:tcBorders>
            <w:shd w:val="clear" w:color="auto" w:fill="auto"/>
            <w:noWrap/>
            <w:vAlign w:val="bottom"/>
          </w:tcPr>
          <w:p w14:paraId="3A7DFEEE" w14:textId="5AE04063"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567" w:type="dxa"/>
            <w:tcBorders>
              <w:top w:val="nil"/>
              <w:left w:val="nil"/>
              <w:bottom w:val="nil"/>
              <w:right w:val="nil"/>
            </w:tcBorders>
            <w:shd w:val="clear" w:color="auto" w:fill="auto"/>
            <w:noWrap/>
            <w:vAlign w:val="bottom"/>
          </w:tcPr>
          <w:p w14:paraId="0EA9BB05" w14:textId="6812F366" w:rsidR="00692644" w:rsidRPr="00B33438" w:rsidRDefault="00692644" w:rsidP="00692644">
            <w:pPr>
              <w:jc w:val="right"/>
              <w:rPr>
                <w:rFonts w:ascii="Calibri" w:eastAsia="Times New Roman" w:hAnsi="Calibri" w:cs="Calibri"/>
                <w:color w:val="000000"/>
                <w:sz w:val="18"/>
                <w:szCs w:val="18"/>
                <w:lang w:val="en-GB" w:eastAsia="en-GB"/>
              </w:rPr>
            </w:pPr>
            <w:r>
              <w:rPr>
                <w:rFonts w:ascii="Calibri" w:hAnsi="Calibri" w:cs="Calibri"/>
                <w:color w:val="000000"/>
                <w:sz w:val="22"/>
                <w:szCs w:val="22"/>
              </w:rPr>
              <w:t>2</w:t>
            </w:r>
          </w:p>
        </w:tc>
        <w:tc>
          <w:tcPr>
            <w:tcW w:w="1702" w:type="dxa"/>
            <w:tcBorders>
              <w:top w:val="nil"/>
              <w:left w:val="nil"/>
              <w:bottom w:val="nil"/>
              <w:right w:val="nil"/>
            </w:tcBorders>
            <w:shd w:val="clear" w:color="auto" w:fill="auto"/>
            <w:noWrap/>
            <w:vAlign w:val="bottom"/>
          </w:tcPr>
          <w:p w14:paraId="20785807" w14:textId="66593695"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3D5DAA3" w14:textId="67D6455D" w:rsidR="00692644" w:rsidRPr="00B33438" w:rsidRDefault="00692644" w:rsidP="00692644">
            <w:pPr>
              <w:jc w:val="right"/>
              <w:rPr>
                <w:rFonts w:ascii="Calibri" w:hAnsi="Calibri" w:cs="Calibri"/>
                <w:color w:val="000000"/>
                <w:sz w:val="18"/>
                <w:szCs w:val="18"/>
              </w:rPr>
            </w:pPr>
            <w:r>
              <w:rPr>
                <w:rFonts w:ascii="Calibri" w:hAnsi="Calibri" w:cs="Calibri"/>
                <w:color w:val="000000"/>
                <w:sz w:val="22"/>
                <w:szCs w:val="22"/>
              </w:rPr>
              <w:t>0.97</w:t>
            </w:r>
          </w:p>
        </w:tc>
        <w:tc>
          <w:tcPr>
            <w:tcW w:w="1559" w:type="dxa"/>
            <w:tcBorders>
              <w:top w:val="nil"/>
              <w:left w:val="nil"/>
              <w:bottom w:val="nil"/>
              <w:right w:val="nil"/>
            </w:tcBorders>
            <w:vAlign w:val="bottom"/>
          </w:tcPr>
          <w:p w14:paraId="7E316DBC" w14:textId="156AD584" w:rsidR="00692644" w:rsidRPr="00B33438" w:rsidRDefault="00692644" w:rsidP="00692644">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94BD349" w14:textId="77777777" w:rsidR="00692644" w:rsidRPr="00B33438" w:rsidRDefault="00692644" w:rsidP="00692644">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7CF57973" w14:textId="77777777" w:rsidR="00692644" w:rsidRPr="00B33438" w:rsidRDefault="00692644" w:rsidP="00692644">
            <w:pPr>
              <w:jc w:val="right"/>
              <w:rPr>
                <w:rFonts w:ascii="Calibri" w:hAnsi="Calibri" w:cs="Calibri"/>
                <w:color w:val="000000"/>
                <w:sz w:val="18"/>
                <w:szCs w:val="18"/>
              </w:rPr>
            </w:pPr>
          </w:p>
        </w:tc>
        <w:tc>
          <w:tcPr>
            <w:tcW w:w="716" w:type="dxa"/>
            <w:tcBorders>
              <w:top w:val="nil"/>
              <w:left w:val="nil"/>
              <w:bottom w:val="nil"/>
              <w:right w:val="nil"/>
            </w:tcBorders>
            <w:vAlign w:val="bottom"/>
          </w:tcPr>
          <w:p w14:paraId="70411A20" w14:textId="77777777" w:rsidR="00692644" w:rsidRPr="00B33438" w:rsidRDefault="00692644" w:rsidP="00692644">
            <w:pPr>
              <w:jc w:val="right"/>
              <w:rPr>
                <w:rFonts w:ascii="Calibri" w:hAnsi="Calibri" w:cs="Calibri"/>
                <w:color w:val="000000"/>
                <w:sz w:val="18"/>
                <w:szCs w:val="18"/>
              </w:rPr>
            </w:pPr>
          </w:p>
        </w:tc>
        <w:tc>
          <w:tcPr>
            <w:tcW w:w="992" w:type="dxa"/>
            <w:tcBorders>
              <w:top w:val="nil"/>
              <w:left w:val="nil"/>
              <w:bottom w:val="nil"/>
              <w:right w:val="nil"/>
            </w:tcBorders>
            <w:vAlign w:val="bottom"/>
          </w:tcPr>
          <w:p w14:paraId="0C942674" w14:textId="77777777" w:rsidR="00692644" w:rsidRPr="00B33438" w:rsidRDefault="00692644" w:rsidP="00692644">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A93E81D" w14:textId="77777777" w:rsidR="00692644" w:rsidRPr="00B33438" w:rsidRDefault="00692644" w:rsidP="00692644">
            <w:pPr>
              <w:jc w:val="right"/>
              <w:rPr>
                <w:rFonts w:ascii="Calibri" w:hAnsi="Calibri" w:cs="Calibri"/>
                <w:color w:val="000000"/>
                <w:sz w:val="18"/>
                <w:szCs w:val="18"/>
              </w:rPr>
            </w:pPr>
          </w:p>
        </w:tc>
      </w:tr>
      <w:tr w:rsidR="00B33438" w:rsidRPr="00B33438" w14:paraId="406A7A45" w14:textId="77777777" w:rsidTr="000C4DE2">
        <w:trPr>
          <w:trHeight w:val="300"/>
        </w:trPr>
        <w:tc>
          <w:tcPr>
            <w:tcW w:w="531" w:type="dxa"/>
            <w:tcBorders>
              <w:top w:val="nil"/>
              <w:left w:val="nil"/>
              <w:bottom w:val="nil"/>
              <w:right w:val="nil"/>
            </w:tcBorders>
            <w:shd w:val="clear" w:color="auto" w:fill="auto"/>
            <w:noWrap/>
            <w:vAlign w:val="bottom"/>
          </w:tcPr>
          <w:p w14:paraId="01BFC371" w14:textId="1E6FDCD4"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34B97A34" w14:textId="2F104690"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4A91E08E" w14:textId="5B10D034"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96072E3" w14:textId="080FA3F0"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64245D5B" w14:textId="1AE96D3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621E65AA"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432F2364"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026D9E1B"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42571F11"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34F9DEE" w14:textId="77777777" w:rsidR="00B33438" w:rsidRPr="00B33438" w:rsidRDefault="00B33438" w:rsidP="00B33438">
            <w:pPr>
              <w:jc w:val="right"/>
              <w:rPr>
                <w:rFonts w:ascii="Calibri" w:hAnsi="Calibri" w:cs="Calibri"/>
                <w:color w:val="000000"/>
                <w:sz w:val="18"/>
                <w:szCs w:val="18"/>
              </w:rPr>
            </w:pPr>
          </w:p>
        </w:tc>
      </w:tr>
      <w:tr w:rsidR="00B33438" w:rsidRPr="00B33438" w14:paraId="5268386D" w14:textId="77777777" w:rsidTr="000C4DE2">
        <w:trPr>
          <w:trHeight w:val="300"/>
        </w:trPr>
        <w:tc>
          <w:tcPr>
            <w:tcW w:w="531" w:type="dxa"/>
            <w:tcBorders>
              <w:top w:val="nil"/>
              <w:left w:val="nil"/>
              <w:bottom w:val="nil"/>
              <w:right w:val="nil"/>
            </w:tcBorders>
            <w:shd w:val="clear" w:color="auto" w:fill="auto"/>
            <w:noWrap/>
            <w:vAlign w:val="bottom"/>
          </w:tcPr>
          <w:p w14:paraId="127F0F05" w14:textId="45B1C345"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2F6FFE3C" w14:textId="77424DDB"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76790398" w14:textId="382ED230"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B8BE4D4" w14:textId="35C3EB83"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60D66BF6" w14:textId="447774AD"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CF89922"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08175BE3"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032CBF3A"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66B0CA8B"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757125D" w14:textId="77777777" w:rsidR="00B33438" w:rsidRPr="00B33438" w:rsidRDefault="00B33438" w:rsidP="00B33438">
            <w:pPr>
              <w:jc w:val="right"/>
              <w:rPr>
                <w:rFonts w:ascii="Calibri" w:hAnsi="Calibri" w:cs="Calibri"/>
                <w:color w:val="000000"/>
                <w:sz w:val="18"/>
                <w:szCs w:val="18"/>
              </w:rPr>
            </w:pPr>
          </w:p>
        </w:tc>
      </w:tr>
      <w:tr w:rsidR="00B33438" w:rsidRPr="00B33438" w14:paraId="1DD116B1" w14:textId="77777777" w:rsidTr="000C4DE2">
        <w:trPr>
          <w:trHeight w:val="300"/>
        </w:trPr>
        <w:tc>
          <w:tcPr>
            <w:tcW w:w="531" w:type="dxa"/>
            <w:tcBorders>
              <w:top w:val="nil"/>
              <w:left w:val="nil"/>
              <w:bottom w:val="nil"/>
              <w:right w:val="nil"/>
            </w:tcBorders>
            <w:shd w:val="clear" w:color="auto" w:fill="auto"/>
            <w:noWrap/>
            <w:vAlign w:val="bottom"/>
          </w:tcPr>
          <w:p w14:paraId="5C691AB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4732265C"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69F66F6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E1C0C3F"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050E9A37"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C3EF4D8"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3643B32C"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5E3D7B5F"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77B2C3ED"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01341D4" w14:textId="77777777" w:rsidR="00B33438" w:rsidRPr="00B33438" w:rsidRDefault="00B33438" w:rsidP="00B33438">
            <w:pPr>
              <w:jc w:val="right"/>
              <w:rPr>
                <w:rFonts w:ascii="Calibri" w:hAnsi="Calibri" w:cs="Calibri"/>
                <w:color w:val="000000"/>
                <w:sz w:val="18"/>
                <w:szCs w:val="18"/>
              </w:rPr>
            </w:pPr>
          </w:p>
        </w:tc>
      </w:tr>
      <w:tr w:rsidR="00B33438" w:rsidRPr="00B33438" w14:paraId="68FEE29C" w14:textId="77777777" w:rsidTr="000C4DE2">
        <w:trPr>
          <w:trHeight w:val="300"/>
        </w:trPr>
        <w:tc>
          <w:tcPr>
            <w:tcW w:w="531" w:type="dxa"/>
            <w:tcBorders>
              <w:top w:val="nil"/>
              <w:left w:val="nil"/>
              <w:bottom w:val="nil"/>
              <w:right w:val="nil"/>
            </w:tcBorders>
            <w:shd w:val="clear" w:color="auto" w:fill="auto"/>
            <w:noWrap/>
            <w:vAlign w:val="bottom"/>
          </w:tcPr>
          <w:p w14:paraId="071B7A41"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442DBE38"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29E7436F"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812D20B"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7510A5DE"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AB8267E"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25A97888"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7181BB31"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18F73313"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E6F2582" w14:textId="77777777" w:rsidR="00B33438" w:rsidRPr="00B33438" w:rsidRDefault="00B33438" w:rsidP="00B33438">
            <w:pPr>
              <w:jc w:val="right"/>
              <w:rPr>
                <w:rFonts w:ascii="Calibri" w:hAnsi="Calibri" w:cs="Calibri"/>
                <w:color w:val="000000"/>
                <w:sz w:val="18"/>
                <w:szCs w:val="18"/>
              </w:rPr>
            </w:pPr>
          </w:p>
        </w:tc>
      </w:tr>
      <w:tr w:rsidR="00B33438" w:rsidRPr="00B33438" w14:paraId="7DB87B19" w14:textId="77777777" w:rsidTr="000C4DE2">
        <w:trPr>
          <w:trHeight w:val="300"/>
        </w:trPr>
        <w:tc>
          <w:tcPr>
            <w:tcW w:w="531" w:type="dxa"/>
            <w:tcBorders>
              <w:top w:val="nil"/>
              <w:left w:val="nil"/>
              <w:bottom w:val="nil"/>
              <w:right w:val="nil"/>
            </w:tcBorders>
            <w:shd w:val="clear" w:color="auto" w:fill="auto"/>
            <w:noWrap/>
            <w:vAlign w:val="bottom"/>
          </w:tcPr>
          <w:p w14:paraId="5C32ECD6"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28B4B03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36D861EE"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631B34A"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5BB7F0D4"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A9ED1C7"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79E2942F"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045BC790"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500395C9"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34961BE2" w14:textId="77777777" w:rsidR="00B33438" w:rsidRPr="00B33438" w:rsidRDefault="00B33438" w:rsidP="00B33438">
            <w:pPr>
              <w:jc w:val="right"/>
              <w:rPr>
                <w:rFonts w:ascii="Calibri" w:hAnsi="Calibri" w:cs="Calibri"/>
                <w:color w:val="000000"/>
                <w:sz w:val="18"/>
                <w:szCs w:val="18"/>
              </w:rPr>
            </w:pPr>
          </w:p>
        </w:tc>
      </w:tr>
      <w:tr w:rsidR="00B33438" w:rsidRPr="00B33438" w14:paraId="6C879E4F" w14:textId="77777777" w:rsidTr="000C4DE2">
        <w:trPr>
          <w:trHeight w:val="300"/>
        </w:trPr>
        <w:tc>
          <w:tcPr>
            <w:tcW w:w="531" w:type="dxa"/>
            <w:tcBorders>
              <w:top w:val="nil"/>
              <w:left w:val="nil"/>
              <w:bottom w:val="nil"/>
              <w:right w:val="nil"/>
            </w:tcBorders>
            <w:shd w:val="clear" w:color="auto" w:fill="auto"/>
            <w:noWrap/>
            <w:vAlign w:val="bottom"/>
          </w:tcPr>
          <w:p w14:paraId="58A23735"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622CD71A"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6D44DB08"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0593B2E7"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0E42F81A"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A34A90E"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11464CFD"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510443A6"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2BA42AEC"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40F5DA0" w14:textId="77777777" w:rsidR="00B33438" w:rsidRPr="00B33438" w:rsidRDefault="00B33438" w:rsidP="00B33438">
            <w:pPr>
              <w:jc w:val="right"/>
              <w:rPr>
                <w:rFonts w:ascii="Calibri" w:hAnsi="Calibri" w:cs="Calibri"/>
                <w:color w:val="000000"/>
                <w:sz w:val="18"/>
                <w:szCs w:val="18"/>
              </w:rPr>
            </w:pPr>
          </w:p>
        </w:tc>
      </w:tr>
      <w:tr w:rsidR="00B33438" w:rsidRPr="00B33438" w14:paraId="3C9364DE" w14:textId="77777777" w:rsidTr="000C4DE2">
        <w:trPr>
          <w:trHeight w:val="300"/>
        </w:trPr>
        <w:tc>
          <w:tcPr>
            <w:tcW w:w="531" w:type="dxa"/>
            <w:tcBorders>
              <w:top w:val="nil"/>
              <w:left w:val="nil"/>
              <w:bottom w:val="nil"/>
              <w:right w:val="nil"/>
            </w:tcBorders>
            <w:shd w:val="clear" w:color="auto" w:fill="auto"/>
            <w:noWrap/>
            <w:vAlign w:val="bottom"/>
          </w:tcPr>
          <w:p w14:paraId="53713139"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387A366B"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43867120"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7AEB2B1"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2409F084"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C5CC4FB"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7DFDA087"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060468F6"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723B5A0A"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69FA2612" w14:textId="77777777" w:rsidR="00B33438" w:rsidRPr="00B33438" w:rsidRDefault="00B33438" w:rsidP="00B33438">
            <w:pPr>
              <w:jc w:val="right"/>
              <w:rPr>
                <w:rFonts w:ascii="Calibri" w:hAnsi="Calibri" w:cs="Calibri"/>
                <w:color w:val="000000"/>
                <w:sz w:val="18"/>
                <w:szCs w:val="18"/>
              </w:rPr>
            </w:pPr>
          </w:p>
        </w:tc>
      </w:tr>
      <w:tr w:rsidR="00B33438" w:rsidRPr="00B33438" w14:paraId="3451A5BD" w14:textId="77777777" w:rsidTr="000C4DE2">
        <w:trPr>
          <w:trHeight w:val="300"/>
        </w:trPr>
        <w:tc>
          <w:tcPr>
            <w:tcW w:w="531" w:type="dxa"/>
            <w:tcBorders>
              <w:top w:val="nil"/>
              <w:left w:val="nil"/>
              <w:bottom w:val="nil"/>
              <w:right w:val="nil"/>
            </w:tcBorders>
            <w:shd w:val="clear" w:color="auto" w:fill="auto"/>
            <w:noWrap/>
            <w:vAlign w:val="bottom"/>
          </w:tcPr>
          <w:p w14:paraId="59D06496"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2AAFA51C"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2F5DFC1D"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39DAF50"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135B748B"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692C23A"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3731FAB8"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136C41E8"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3B292BB0"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357DC093" w14:textId="77777777" w:rsidR="00B33438" w:rsidRPr="00B33438" w:rsidRDefault="00B33438" w:rsidP="00B33438">
            <w:pPr>
              <w:jc w:val="right"/>
              <w:rPr>
                <w:rFonts w:ascii="Calibri" w:hAnsi="Calibri" w:cs="Calibri"/>
                <w:color w:val="000000"/>
                <w:sz w:val="18"/>
                <w:szCs w:val="18"/>
              </w:rPr>
            </w:pPr>
          </w:p>
        </w:tc>
      </w:tr>
      <w:tr w:rsidR="00B33438" w:rsidRPr="00B33438" w14:paraId="1203C22D" w14:textId="77777777" w:rsidTr="000C4DE2">
        <w:trPr>
          <w:trHeight w:val="300"/>
        </w:trPr>
        <w:tc>
          <w:tcPr>
            <w:tcW w:w="531" w:type="dxa"/>
            <w:tcBorders>
              <w:top w:val="nil"/>
              <w:left w:val="nil"/>
              <w:bottom w:val="nil"/>
              <w:right w:val="nil"/>
            </w:tcBorders>
            <w:shd w:val="clear" w:color="auto" w:fill="auto"/>
            <w:noWrap/>
            <w:vAlign w:val="bottom"/>
          </w:tcPr>
          <w:p w14:paraId="077E341D"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0FA1ECDE"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5208BA31"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3DBD6D3"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13CD1B25"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E9720A6"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46CC61B6"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29CD620E"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47376BE2"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34328ACE" w14:textId="77777777" w:rsidR="00B33438" w:rsidRPr="00B33438" w:rsidRDefault="00B33438" w:rsidP="00B33438">
            <w:pPr>
              <w:jc w:val="right"/>
              <w:rPr>
                <w:rFonts w:ascii="Calibri" w:hAnsi="Calibri" w:cs="Calibri"/>
                <w:color w:val="000000"/>
                <w:sz w:val="18"/>
                <w:szCs w:val="18"/>
              </w:rPr>
            </w:pPr>
          </w:p>
        </w:tc>
      </w:tr>
      <w:tr w:rsidR="00B33438" w:rsidRPr="00B33438" w14:paraId="518C646F" w14:textId="77777777" w:rsidTr="000C4DE2">
        <w:trPr>
          <w:trHeight w:val="300"/>
        </w:trPr>
        <w:tc>
          <w:tcPr>
            <w:tcW w:w="531" w:type="dxa"/>
            <w:tcBorders>
              <w:top w:val="nil"/>
              <w:left w:val="nil"/>
              <w:bottom w:val="nil"/>
              <w:right w:val="nil"/>
            </w:tcBorders>
            <w:shd w:val="clear" w:color="auto" w:fill="auto"/>
            <w:noWrap/>
            <w:vAlign w:val="bottom"/>
          </w:tcPr>
          <w:p w14:paraId="528F5AE6"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609F1201"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51829225"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92D70DB"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7F4F4C1C"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027C41C"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309B3C6A"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4E698AF8"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42052B7A"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B61C9ED" w14:textId="77777777" w:rsidR="00B33438" w:rsidRPr="00B33438" w:rsidRDefault="00B33438" w:rsidP="00B33438">
            <w:pPr>
              <w:jc w:val="right"/>
              <w:rPr>
                <w:rFonts w:ascii="Calibri" w:hAnsi="Calibri" w:cs="Calibri"/>
                <w:color w:val="000000"/>
                <w:sz w:val="18"/>
                <w:szCs w:val="18"/>
              </w:rPr>
            </w:pPr>
          </w:p>
        </w:tc>
      </w:tr>
      <w:tr w:rsidR="00B33438" w:rsidRPr="00B33438" w14:paraId="76607039" w14:textId="77777777" w:rsidTr="000C4DE2">
        <w:trPr>
          <w:trHeight w:val="300"/>
        </w:trPr>
        <w:tc>
          <w:tcPr>
            <w:tcW w:w="531" w:type="dxa"/>
            <w:tcBorders>
              <w:top w:val="nil"/>
              <w:left w:val="nil"/>
              <w:bottom w:val="nil"/>
              <w:right w:val="nil"/>
            </w:tcBorders>
            <w:shd w:val="clear" w:color="auto" w:fill="auto"/>
            <w:noWrap/>
            <w:vAlign w:val="bottom"/>
          </w:tcPr>
          <w:p w14:paraId="1A1D4A6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70BB72A2"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6229934E"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70050B3F"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0C8D7004"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90F144F"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428ADFC9"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64B7E7A0"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7E3DDB82"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261B0A22" w14:textId="77777777" w:rsidR="00B33438" w:rsidRPr="00B33438" w:rsidRDefault="00B33438" w:rsidP="00B33438">
            <w:pPr>
              <w:jc w:val="right"/>
              <w:rPr>
                <w:rFonts w:ascii="Calibri" w:hAnsi="Calibri" w:cs="Calibri"/>
                <w:color w:val="000000"/>
                <w:sz w:val="18"/>
                <w:szCs w:val="18"/>
              </w:rPr>
            </w:pPr>
          </w:p>
        </w:tc>
      </w:tr>
      <w:tr w:rsidR="00B33438" w:rsidRPr="00B33438" w14:paraId="7A12CE7F" w14:textId="77777777" w:rsidTr="000C4DE2">
        <w:trPr>
          <w:trHeight w:val="300"/>
        </w:trPr>
        <w:tc>
          <w:tcPr>
            <w:tcW w:w="531" w:type="dxa"/>
            <w:tcBorders>
              <w:top w:val="nil"/>
              <w:left w:val="nil"/>
              <w:bottom w:val="nil"/>
              <w:right w:val="nil"/>
            </w:tcBorders>
            <w:shd w:val="clear" w:color="auto" w:fill="auto"/>
            <w:noWrap/>
            <w:vAlign w:val="bottom"/>
          </w:tcPr>
          <w:p w14:paraId="0DE2D7E5"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52813279"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417A3455"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08367BB2"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2D3414D6"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2101FEC"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7FA573D4"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095976B8"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482C1722"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5E804639" w14:textId="77777777" w:rsidR="00B33438" w:rsidRPr="00B33438" w:rsidRDefault="00B33438" w:rsidP="00B33438">
            <w:pPr>
              <w:jc w:val="right"/>
              <w:rPr>
                <w:rFonts w:ascii="Calibri" w:hAnsi="Calibri" w:cs="Calibri"/>
                <w:color w:val="000000"/>
                <w:sz w:val="18"/>
                <w:szCs w:val="18"/>
              </w:rPr>
            </w:pPr>
          </w:p>
        </w:tc>
      </w:tr>
      <w:tr w:rsidR="00B33438" w:rsidRPr="00B33438" w14:paraId="2103C22B" w14:textId="77777777" w:rsidTr="000C4DE2">
        <w:trPr>
          <w:trHeight w:val="300"/>
        </w:trPr>
        <w:tc>
          <w:tcPr>
            <w:tcW w:w="531" w:type="dxa"/>
            <w:tcBorders>
              <w:top w:val="nil"/>
              <w:left w:val="nil"/>
              <w:bottom w:val="nil"/>
              <w:right w:val="nil"/>
            </w:tcBorders>
            <w:shd w:val="clear" w:color="auto" w:fill="auto"/>
            <w:noWrap/>
            <w:vAlign w:val="bottom"/>
          </w:tcPr>
          <w:p w14:paraId="73463E7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68D6BC6F"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1107D581"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74966DE8"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4A03586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7D62B896"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4F503E8A"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547C0B46"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35C95FC9"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096C7651" w14:textId="77777777" w:rsidR="00B33438" w:rsidRPr="00B33438" w:rsidRDefault="00B33438" w:rsidP="00B33438">
            <w:pPr>
              <w:jc w:val="right"/>
              <w:rPr>
                <w:rFonts w:ascii="Calibri" w:hAnsi="Calibri" w:cs="Calibri"/>
                <w:color w:val="000000"/>
                <w:sz w:val="18"/>
                <w:szCs w:val="18"/>
              </w:rPr>
            </w:pPr>
          </w:p>
        </w:tc>
      </w:tr>
      <w:tr w:rsidR="00B33438" w:rsidRPr="00B33438" w14:paraId="1DFB8A54" w14:textId="77777777" w:rsidTr="000C4DE2">
        <w:trPr>
          <w:trHeight w:val="300"/>
        </w:trPr>
        <w:tc>
          <w:tcPr>
            <w:tcW w:w="531" w:type="dxa"/>
            <w:tcBorders>
              <w:top w:val="nil"/>
              <w:left w:val="nil"/>
              <w:bottom w:val="nil"/>
              <w:right w:val="nil"/>
            </w:tcBorders>
            <w:shd w:val="clear" w:color="auto" w:fill="auto"/>
            <w:noWrap/>
            <w:vAlign w:val="bottom"/>
          </w:tcPr>
          <w:p w14:paraId="4C64D7D2"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53B872D2"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6619D2D4"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07BA087A"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06E3F4A9"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722D9DAE"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5B071572"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39CE8C5C"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43EB6603"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38B54A98" w14:textId="77777777" w:rsidR="00B33438" w:rsidRPr="00B33438" w:rsidRDefault="00B33438" w:rsidP="00B33438">
            <w:pPr>
              <w:jc w:val="right"/>
              <w:rPr>
                <w:rFonts w:ascii="Calibri" w:hAnsi="Calibri" w:cs="Calibri"/>
                <w:color w:val="000000"/>
                <w:sz w:val="18"/>
                <w:szCs w:val="18"/>
              </w:rPr>
            </w:pPr>
          </w:p>
        </w:tc>
      </w:tr>
      <w:tr w:rsidR="00B33438" w:rsidRPr="00B33438" w14:paraId="2995D4AD" w14:textId="77777777" w:rsidTr="000C4DE2">
        <w:trPr>
          <w:trHeight w:val="300"/>
        </w:trPr>
        <w:tc>
          <w:tcPr>
            <w:tcW w:w="531" w:type="dxa"/>
            <w:tcBorders>
              <w:top w:val="nil"/>
              <w:left w:val="nil"/>
              <w:bottom w:val="nil"/>
              <w:right w:val="nil"/>
            </w:tcBorders>
            <w:shd w:val="clear" w:color="auto" w:fill="auto"/>
            <w:noWrap/>
            <w:vAlign w:val="bottom"/>
          </w:tcPr>
          <w:p w14:paraId="5CCFAE37"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265B60DA"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1A9F621D"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6F83C0FC"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2C8F6435"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4040505"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79415A65"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5B35BCC4"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37979095"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4C9274C0" w14:textId="77777777" w:rsidR="00B33438" w:rsidRPr="00B33438" w:rsidRDefault="00B33438" w:rsidP="00B33438">
            <w:pPr>
              <w:jc w:val="right"/>
              <w:rPr>
                <w:rFonts w:ascii="Calibri" w:hAnsi="Calibri" w:cs="Calibri"/>
                <w:color w:val="000000"/>
                <w:sz w:val="18"/>
                <w:szCs w:val="18"/>
              </w:rPr>
            </w:pPr>
          </w:p>
        </w:tc>
      </w:tr>
      <w:tr w:rsidR="00B33438" w:rsidRPr="00B33438" w14:paraId="0FACA45E" w14:textId="77777777" w:rsidTr="000C4DE2">
        <w:trPr>
          <w:trHeight w:val="300"/>
        </w:trPr>
        <w:tc>
          <w:tcPr>
            <w:tcW w:w="531" w:type="dxa"/>
            <w:tcBorders>
              <w:top w:val="nil"/>
              <w:left w:val="nil"/>
              <w:bottom w:val="nil"/>
              <w:right w:val="nil"/>
            </w:tcBorders>
            <w:shd w:val="clear" w:color="auto" w:fill="auto"/>
            <w:noWrap/>
            <w:vAlign w:val="bottom"/>
          </w:tcPr>
          <w:p w14:paraId="3D677F8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4693A7DF"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299BE357"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C6D4577"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670EBD4C"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B80E8FF"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5B77570D"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0C537474"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78A73ABD"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42855221" w14:textId="77777777" w:rsidR="00B33438" w:rsidRPr="00B33438" w:rsidRDefault="00B33438" w:rsidP="00B33438">
            <w:pPr>
              <w:jc w:val="right"/>
              <w:rPr>
                <w:rFonts w:ascii="Calibri" w:hAnsi="Calibri" w:cs="Calibri"/>
                <w:color w:val="000000"/>
                <w:sz w:val="18"/>
                <w:szCs w:val="18"/>
              </w:rPr>
            </w:pPr>
          </w:p>
        </w:tc>
      </w:tr>
      <w:tr w:rsidR="00B33438" w:rsidRPr="00B33438" w14:paraId="3B57EEE2" w14:textId="77777777" w:rsidTr="000C4DE2">
        <w:trPr>
          <w:trHeight w:val="300"/>
        </w:trPr>
        <w:tc>
          <w:tcPr>
            <w:tcW w:w="531" w:type="dxa"/>
            <w:tcBorders>
              <w:top w:val="nil"/>
              <w:left w:val="nil"/>
              <w:bottom w:val="nil"/>
              <w:right w:val="nil"/>
            </w:tcBorders>
            <w:shd w:val="clear" w:color="auto" w:fill="auto"/>
            <w:noWrap/>
            <w:vAlign w:val="bottom"/>
          </w:tcPr>
          <w:p w14:paraId="6A274C9D"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00B32052"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72EB91DF"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2481F08"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33DB676C"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031B7B32"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5051E24A"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70630268"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2160323D"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02741BB7" w14:textId="77777777" w:rsidR="00B33438" w:rsidRPr="00B33438" w:rsidRDefault="00B33438" w:rsidP="00B33438">
            <w:pPr>
              <w:jc w:val="right"/>
              <w:rPr>
                <w:rFonts w:ascii="Calibri" w:hAnsi="Calibri" w:cs="Calibri"/>
                <w:color w:val="000000"/>
                <w:sz w:val="18"/>
                <w:szCs w:val="18"/>
              </w:rPr>
            </w:pPr>
          </w:p>
        </w:tc>
      </w:tr>
      <w:tr w:rsidR="00B33438" w:rsidRPr="00B33438" w14:paraId="160B62B2" w14:textId="77777777" w:rsidTr="000C4DE2">
        <w:trPr>
          <w:trHeight w:val="300"/>
        </w:trPr>
        <w:tc>
          <w:tcPr>
            <w:tcW w:w="531" w:type="dxa"/>
            <w:tcBorders>
              <w:top w:val="nil"/>
              <w:left w:val="nil"/>
              <w:bottom w:val="nil"/>
              <w:right w:val="nil"/>
            </w:tcBorders>
            <w:shd w:val="clear" w:color="auto" w:fill="auto"/>
            <w:noWrap/>
            <w:vAlign w:val="bottom"/>
          </w:tcPr>
          <w:p w14:paraId="29FBC00E"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3A03A8E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3972D11A"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04CC949C"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376DE70F"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0E4601BE"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2EBDA0F4"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3BD47CB2"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61C07A26"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301AFA91" w14:textId="77777777" w:rsidR="00B33438" w:rsidRPr="00B33438" w:rsidRDefault="00B33438" w:rsidP="00B33438">
            <w:pPr>
              <w:jc w:val="right"/>
              <w:rPr>
                <w:rFonts w:ascii="Calibri" w:hAnsi="Calibri" w:cs="Calibri"/>
                <w:color w:val="000000"/>
                <w:sz w:val="18"/>
                <w:szCs w:val="18"/>
              </w:rPr>
            </w:pPr>
          </w:p>
        </w:tc>
      </w:tr>
      <w:tr w:rsidR="00B33438" w:rsidRPr="00B33438" w14:paraId="61871F86" w14:textId="77777777" w:rsidTr="000C4DE2">
        <w:trPr>
          <w:trHeight w:val="300"/>
        </w:trPr>
        <w:tc>
          <w:tcPr>
            <w:tcW w:w="531" w:type="dxa"/>
            <w:tcBorders>
              <w:top w:val="nil"/>
              <w:left w:val="nil"/>
              <w:bottom w:val="nil"/>
              <w:right w:val="nil"/>
            </w:tcBorders>
            <w:shd w:val="clear" w:color="auto" w:fill="auto"/>
            <w:noWrap/>
            <w:vAlign w:val="bottom"/>
          </w:tcPr>
          <w:p w14:paraId="30F83D40"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3E528795"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7F2835F8"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4AB58F0"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7C7FD41D"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EF95013"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4D81C656"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06A2BE7E"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2C7294CF"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42C3830B" w14:textId="77777777" w:rsidR="00B33438" w:rsidRPr="00B33438" w:rsidRDefault="00B33438" w:rsidP="00B33438">
            <w:pPr>
              <w:jc w:val="right"/>
              <w:rPr>
                <w:rFonts w:ascii="Calibri" w:hAnsi="Calibri" w:cs="Calibri"/>
                <w:color w:val="000000"/>
                <w:sz w:val="18"/>
                <w:szCs w:val="18"/>
              </w:rPr>
            </w:pPr>
          </w:p>
        </w:tc>
      </w:tr>
      <w:tr w:rsidR="00B33438" w:rsidRPr="00B33438" w14:paraId="741E4B10" w14:textId="77777777" w:rsidTr="000C4DE2">
        <w:trPr>
          <w:trHeight w:val="300"/>
        </w:trPr>
        <w:tc>
          <w:tcPr>
            <w:tcW w:w="531" w:type="dxa"/>
            <w:tcBorders>
              <w:top w:val="nil"/>
              <w:left w:val="nil"/>
              <w:bottom w:val="nil"/>
              <w:right w:val="nil"/>
            </w:tcBorders>
            <w:shd w:val="clear" w:color="auto" w:fill="auto"/>
            <w:noWrap/>
            <w:vAlign w:val="bottom"/>
          </w:tcPr>
          <w:p w14:paraId="77440F45"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090AC879"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7DB98DEA"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5286408B"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0366FC20"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0E3131F"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42614848"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291EB897"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1A9C48CE"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78A1D967" w14:textId="77777777" w:rsidR="00B33438" w:rsidRPr="00B33438" w:rsidRDefault="00B33438" w:rsidP="00B33438">
            <w:pPr>
              <w:jc w:val="right"/>
              <w:rPr>
                <w:rFonts w:ascii="Calibri" w:hAnsi="Calibri" w:cs="Calibri"/>
                <w:color w:val="000000"/>
                <w:sz w:val="18"/>
                <w:szCs w:val="18"/>
              </w:rPr>
            </w:pPr>
          </w:p>
        </w:tc>
      </w:tr>
      <w:tr w:rsidR="00B33438" w:rsidRPr="00B33438" w14:paraId="62CB7987" w14:textId="77777777" w:rsidTr="000C4DE2">
        <w:trPr>
          <w:trHeight w:val="300"/>
        </w:trPr>
        <w:tc>
          <w:tcPr>
            <w:tcW w:w="531" w:type="dxa"/>
            <w:tcBorders>
              <w:top w:val="nil"/>
              <w:left w:val="nil"/>
              <w:bottom w:val="nil"/>
              <w:right w:val="nil"/>
            </w:tcBorders>
            <w:shd w:val="clear" w:color="auto" w:fill="auto"/>
            <w:noWrap/>
            <w:vAlign w:val="bottom"/>
          </w:tcPr>
          <w:p w14:paraId="37556978"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62BBE706"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5D9AC77D"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5E3FF59"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66C7B340"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63487C0"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7848A0FF"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15554515"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03480695"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7D312E55" w14:textId="77777777" w:rsidR="00B33438" w:rsidRPr="00B33438" w:rsidRDefault="00B33438" w:rsidP="00B33438">
            <w:pPr>
              <w:jc w:val="right"/>
              <w:rPr>
                <w:rFonts w:ascii="Calibri" w:hAnsi="Calibri" w:cs="Calibri"/>
                <w:color w:val="000000"/>
                <w:sz w:val="18"/>
                <w:szCs w:val="18"/>
              </w:rPr>
            </w:pPr>
          </w:p>
        </w:tc>
      </w:tr>
      <w:tr w:rsidR="00B33438" w:rsidRPr="00B33438" w14:paraId="5E52635B" w14:textId="77777777" w:rsidTr="000C4DE2">
        <w:trPr>
          <w:trHeight w:val="300"/>
        </w:trPr>
        <w:tc>
          <w:tcPr>
            <w:tcW w:w="531" w:type="dxa"/>
            <w:tcBorders>
              <w:top w:val="nil"/>
              <w:left w:val="nil"/>
              <w:bottom w:val="nil"/>
              <w:right w:val="nil"/>
            </w:tcBorders>
            <w:shd w:val="clear" w:color="auto" w:fill="auto"/>
            <w:noWrap/>
            <w:vAlign w:val="bottom"/>
          </w:tcPr>
          <w:p w14:paraId="7A2E6701"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61328AD2"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6B04850F"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27718A6F"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49D89313"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148F1613"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504E8608"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6F78C469"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0713D261"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1E7A8BD0" w14:textId="77777777" w:rsidR="00B33438" w:rsidRPr="00B33438" w:rsidRDefault="00B33438" w:rsidP="00B33438">
            <w:pPr>
              <w:jc w:val="right"/>
              <w:rPr>
                <w:rFonts w:ascii="Calibri" w:hAnsi="Calibri" w:cs="Calibri"/>
                <w:color w:val="000000"/>
                <w:sz w:val="18"/>
                <w:szCs w:val="18"/>
              </w:rPr>
            </w:pPr>
          </w:p>
        </w:tc>
      </w:tr>
      <w:tr w:rsidR="00B33438" w:rsidRPr="00B33438" w14:paraId="17F1BEE2" w14:textId="77777777" w:rsidTr="000C4DE2">
        <w:trPr>
          <w:trHeight w:val="300"/>
        </w:trPr>
        <w:tc>
          <w:tcPr>
            <w:tcW w:w="531" w:type="dxa"/>
            <w:tcBorders>
              <w:top w:val="nil"/>
              <w:left w:val="nil"/>
              <w:bottom w:val="nil"/>
              <w:right w:val="nil"/>
            </w:tcBorders>
            <w:shd w:val="clear" w:color="auto" w:fill="auto"/>
            <w:noWrap/>
            <w:vAlign w:val="bottom"/>
          </w:tcPr>
          <w:p w14:paraId="2F103694"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1C0A963F"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5D32B77E"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7DB636FC"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5268560F"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07BA68AD"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154E658E"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7B9AAE9B"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78296F16"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689785B7" w14:textId="77777777" w:rsidR="00B33438" w:rsidRPr="00B33438" w:rsidRDefault="00B33438" w:rsidP="00B33438">
            <w:pPr>
              <w:jc w:val="right"/>
              <w:rPr>
                <w:rFonts w:ascii="Calibri" w:hAnsi="Calibri" w:cs="Calibri"/>
                <w:color w:val="000000"/>
                <w:sz w:val="18"/>
                <w:szCs w:val="18"/>
              </w:rPr>
            </w:pPr>
          </w:p>
        </w:tc>
      </w:tr>
      <w:tr w:rsidR="00B33438" w:rsidRPr="00B33438" w14:paraId="49311C87" w14:textId="77777777" w:rsidTr="000C4DE2">
        <w:trPr>
          <w:trHeight w:val="300"/>
        </w:trPr>
        <w:tc>
          <w:tcPr>
            <w:tcW w:w="531" w:type="dxa"/>
            <w:tcBorders>
              <w:top w:val="nil"/>
              <w:left w:val="nil"/>
              <w:bottom w:val="nil"/>
              <w:right w:val="nil"/>
            </w:tcBorders>
            <w:shd w:val="clear" w:color="auto" w:fill="auto"/>
            <w:noWrap/>
            <w:vAlign w:val="bottom"/>
          </w:tcPr>
          <w:p w14:paraId="3CCC373D"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567" w:type="dxa"/>
            <w:tcBorders>
              <w:top w:val="nil"/>
              <w:left w:val="nil"/>
              <w:bottom w:val="nil"/>
              <w:right w:val="nil"/>
            </w:tcBorders>
            <w:shd w:val="clear" w:color="auto" w:fill="auto"/>
            <w:noWrap/>
            <w:vAlign w:val="bottom"/>
          </w:tcPr>
          <w:p w14:paraId="016FFE06"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702" w:type="dxa"/>
            <w:tcBorders>
              <w:top w:val="nil"/>
              <w:left w:val="nil"/>
              <w:bottom w:val="nil"/>
              <w:right w:val="nil"/>
            </w:tcBorders>
            <w:shd w:val="clear" w:color="auto" w:fill="auto"/>
            <w:noWrap/>
            <w:vAlign w:val="bottom"/>
          </w:tcPr>
          <w:p w14:paraId="4070DE02"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4501C48D" w14:textId="77777777" w:rsidR="00B33438" w:rsidRPr="00B33438" w:rsidRDefault="00B33438" w:rsidP="00B33438">
            <w:pPr>
              <w:jc w:val="right"/>
              <w:rPr>
                <w:rFonts w:ascii="Calibri" w:hAnsi="Calibri" w:cs="Calibri"/>
                <w:color w:val="000000"/>
                <w:sz w:val="18"/>
                <w:szCs w:val="18"/>
              </w:rPr>
            </w:pPr>
          </w:p>
        </w:tc>
        <w:tc>
          <w:tcPr>
            <w:tcW w:w="1559" w:type="dxa"/>
            <w:tcBorders>
              <w:top w:val="nil"/>
              <w:left w:val="nil"/>
              <w:bottom w:val="nil"/>
              <w:right w:val="nil"/>
            </w:tcBorders>
            <w:vAlign w:val="bottom"/>
          </w:tcPr>
          <w:p w14:paraId="6FDE21A6" w14:textId="77777777" w:rsidR="00B33438" w:rsidRPr="00B33438" w:rsidRDefault="00B33438" w:rsidP="00B33438">
            <w:pPr>
              <w:jc w:val="right"/>
              <w:rPr>
                <w:rFonts w:ascii="Calibri" w:eastAsia="Times New Roman" w:hAnsi="Calibri" w:cs="Calibri"/>
                <w:color w:val="000000"/>
                <w:sz w:val="18"/>
                <w:szCs w:val="18"/>
                <w:lang w:val="en-GB" w:eastAsia="en-GB"/>
              </w:rPr>
            </w:pPr>
          </w:p>
        </w:tc>
        <w:tc>
          <w:tcPr>
            <w:tcW w:w="1134" w:type="dxa"/>
            <w:tcBorders>
              <w:top w:val="nil"/>
              <w:left w:val="nil"/>
              <w:bottom w:val="nil"/>
              <w:right w:val="nil"/>
            </w:tcBorders>
            <w:vAlign w:val="bottom"/>
          </w:tcPr>
          <w:p w14:paraId="37BDC1A2" w14:textId="77777777" w:rsidR="00B33438" w:rsidRPr="00B33438" w:rsidRDefault="00B33438" w:rsidP="00B33438">
            <w:pPr>
              <w:jc w:val="right"/>
              <w:rPr>
                <w:rFonts w:ascii="Calibri" w:hAnsi="Calibri" w:cs="Calibri"/>
                <w:color w:val="000000"/>
                <w:sz w:val="18"/>
                <w:szCs w:val="18"/>
              </w:rPr>
            </w:pPr>
          </w:p>
        </w:tc>
        <w:tc>
          <w:tcPr>
            <w:tcW w:w="1134" w:type="dxa"/>
            <w:tcBorders>
              <w:top w:val="nil"/>
              <w:left w:val="nil"/>
              <w:bottom w:val="nil"/>
              <w:right w:val="nil"/>
            </w:tcBorders>
            <w:shd w:val="clear" w:color="auto" w:fill="auto"/>
            <w:noWrap/>
            <w:vAlign w:val="bottom"/>
          </w:tcPr>
          <w:p w14:paraId="05BA4616" w14:textId="77777777" w:rsidR="00B33438" w:rsidRPr="00B33438" w:rsidRDefault="00B33438" w:rsidP="00B33438">
            <w:pPr>
              <w:jc w:val="right"/>
              <w:rPr>
                <w:rFonts w:ascii="Calibri" w:hAnsi="Calibri" w:cs="Calibri"/>
                <w:color w:val="000000"/>
                <w:sz w:val="18"/>
                <w:szCs w:val="18"/>
              </w:rPr>
            </w:pPr>
          </w:p>
        </w:tc>
        <w:tc>
          <w:tcPr>
            <w:tcW w:w="716" w:type="dxa"/>
            <w:tcBorders>
              <w:top w:val="nil"/>
              <w:left w:val="nil"/>
              <w:bottom w:val="nil"/>
              <w:right w:val="nil"/>
            </w:tcBorders>
            <w:vAlign w:val="bottom"/>
          </w:tcPr>
          <w:p w14:paraId="561F727D" w14:textId="77777777" w:rsidR="00B33438" w:rsidRPr="00B33438" w:rsidRDefault="00B33438" w:rsidP="00B33438">
            <w:pPr>
              <w:jc w:val="right"/>
              <w:rPr>
                <w:rFonts w:ascii="Calibri" w:hAnsi="Calibri" w:cs="Calibri"/>
                <w:color w:val="000000"/>
                <w:sz w:val="18"/>
                <w:szCs w:val="18"/>
              </w:rPr>
            </w:pPr>
          </w:p>
        </w:tc>
        <w:tc>
          <w:tcPr>
            <w:tcW w:w="992" w:type="dxa"/>
            <w:tcBorders>
              <w:top w:val="nil"/>
              <w:left w:val="nil"/>
              <w:bottom w:val="nil"/>
              <w:right w:val="nil"/>
            </w:tcBorders>
            <w:vAlign w:val="bottom"/>
          </w:tcPr>
          <w:p w14:paraId="0F77FD9B" w14:textId="77777777" w:rsidR="00B33438" w:rsidRPr="00B33438" w:rsidRDefault="00B33438" w:rsidP="00B33438">
            <w:pPr>
              <w:jc w:val="right"/>
              <w:rPr>
                <w:rFonts w:ascii="Calibri" w:hAnsi="Calibri" w:cs="Calibri"/>
                <w:color w:val="000000"/>
                <w:sz w:val="18"/>
                <w:szCs w:val="18"/>
              </w:rPr>
            </w:pPr>
          </w:p>
        </w:tc>
        <w:tc>
          <w:tcPr>
            <w:tcW w:w="936" w:type="dxa"/>
            <w:gridSpan w:val="2"/>
            <w:tcBorders>
              <w:top w:val="nil"/>
              <w:left w:val="nil"/>
              <w:bottom w:val="nil"/>
              <w:right w:val="nil"/>
            </w:tcBorders>
            <w:shd w:val="clear" w:color="auto" w:fill="auto"/>
            <w:noWrap/>
            <w:vAlign w:val="bottom"/>
          </w:tcPr>
          <w:p w14:paraId="0948CEC5" w14:textId="77777777" w:rsidR="00B33438" w:rsidRPr="00B33438" w:rsidRDefault="00B33438" w:rsidP="00B33438">
            <w:pPr>
              <w:jc w:val="right"/>
              <w:rPr>
                <w:rFonts w:ascii="Calibri" w:hAnsi="Calibri" w:cs="Calibri"/>
                <w:color w:val="000000"/>
                <w:sz w:val="18"/>
                <w:szCs w:val="18"/>
              </w:rPr>
            </w:pPr>
          </w:p>
        </w:tc>
      </w:tr>
    </w:tbl>
    <w:p w14:paraId="0015CBE9" w14:textId="67A31516" w:rsidR="000C4DE2" w:rsidRDefault="000C4DE2" w:rsidP="004F6B9B">
      <w:pPr>
        <w:autoSpaceDE w:val="0"/>
        <w:autoSpaceDN w:val="0"/>
        <w:adjustRightInd w:val="0"/>
        <w:rPr>
          <w:rFonts w:cstheme="minorHAnsi"/>
          <w:color w:val="000000" w:themeColor="text1"/>
          <w:lang w:val="en-US"/>
        </w:rPr>
      </w:pPr>
    </w:p>
    <w:p w14:paraId="6BE27C52" w14:textId="77777777" w:rsidR="00095A03" w:rsidRPr="00095A03" w:rsidRDefault="00692644" w:rsidP="00095A03">
      <w:pPr>
        <w:autoSpaceDE w:val="0"/>
        <w:autoSpaceDN w:val="0"/>
        <w:adjustRightInd w:val="0"/>
        <w:rPr>
          <w:rFonts w:ascii="STIXGeneral-Regular" w:eastAsiaTheme="minorHAnsi" w:hAnsi="STIXGeneral-Regular" w:cs="STIXGeneral-Regular"/>
          <w:sz w:val="20"/>
          <w:szCs w:val="20"/>
          <w:lang w:val="en-GB" w:eastAsia="en-US"/>
        </w:rPr>
      </w:pPr>
      <m:oMath>
        <m:r>
          <w:rPr>
            <w:rFonts w:ascii="Cambria Math" w:eastAsiaTheme="minorHAnsi" w:hAnsi="Cambria Math" w:cs="CMMI9"/>
            <w:sz w:val="20"/>
            <w:szCs w:val="20"/>
            <w:lang w:val="en-GB" w:eastAsia="en-US"/>
          </w:rPr>
          <m:t>p</m:t>
        </m:r>
      </m:oMath>
      <w:r w:rsidRPr="00095A03">
        <w:rPr>
          <w:rFonts w:ascii="CMMI9" w:eastAsiaTheme="minorHAnsi" w:hAnsi="CMMI9" w:cs="CMMI9"/>
          <w:sz w:val="20"/>
          <w:szCs w:val="20"/>
          <w:lang w:val="en-GB" w:eastAsia="en-US"/>
        </w:rPr>
        <w:t xml:space="preserve"> </w:t>
      </w:r>
      <w:r w:rsidRPr="00095A03">
        <w:rPr>
          <w:rFonts w:ascii="CMR9" w:eastAsiaTheme="minorHAnsi" w:hAnsi="CMR9" w:cs="CMR9"/>
          <w:sz w:val="20"/>
          <w:szCs w:val="20"/>
          <w:lang w:val="en-GB" w:eastAsia="en-US"/>
        </w:rPr>
        <w:t>is the power, and</w:t>
      </w:r>
      <m:oMath>
        <m:r>
          <w:rPr>
            <w:rFonts w:ascii="Cambria Math" w:eastAsiaTheme="minorHAnsi" w:hAnsi="Cambria Math" w:cs="CMR9"/>
            <w:sz w:val="20"/>
            <w:szCs w:val="20"/>
            <w:lang w:val="en-GB" w:eastAsia="en-US"/>
          </w:rPr>
          <m:t xml:space="preserve"> β</m:t>
        </m:r>
      </m:oMath>
      <w:r w:rsidRPr="00095A03">
        <w:rPr>
          <w:rFonts w:ascii="CMMI9" w:eastAsiaTheme="minorHAnsi" w:hAnsi="CMMI9" w:cs="CMMI9"/>
          <w:sz w:val="20"/>
          <w:szCs w:val="20"/>
          <w:lang w:val="en-GB" w:eastAsia="en-US"/>
        </w:rPr>
        <w:t xml:space="preserve"> </w:t>
      </w:r>
      <w:r w:rsidRPr="00095A03">
        <w:rPr>
          <w:rFonts w:ascii="CMR9" w:eastAsiaTheme="minorHAnsi" w:hAnsi="CMR9" w:cs="CMR9"/>
          <w:sz w:val="20"/>
          <w:szCs w:val="20"/>
          <w:lang w:val="en-GB" w:eastAsia="en-US"/>
        </w:rPr>
        <w:t>is the e</w:t>
      </w:r>
      <w:r w:rsidRPr="00095A03">
        <w:rPr>
          <w:rFonts w:ascii="CMR9" w:eastAsiaTheme="minorHAnsi" w:hAnsi="CMR9" w:cs="CMR9"/>
          <w:sz w:val="20"/>
          <w:szCs w:val="20"/>
          <w:lang w:val="en-GB" w:eastAsia="en-US"/>
        </w:rPr>
        <w:t>ffe</w:t>
      </w:r>
      <w:r w:rsidRPr="00095A03">
        <w:rPr>
          <w:rFonts w:ascii="CMR9" w:eastAsiaTheme="minorHAnsi" w:hAnsi="CMR9" w:cs="CMR9"/>
          <w:sz w:val="20"/>
          <w:szCs w:val="20"/>
          <w:lang w:val="en-GB" w:eastAsia="en-US"/>
        </w:rPr>
        <w:t xml:space="preserve">ct </w:t>
      </w:r>
      <w:proofErr w:type="gramStart"/>
      <w:r w:rsidRPr="00095A03">
        <w:rPr>
          <w:rFonts w:ascii="CMR9" w:eastAsiaTheme="minorHAnsi" w:hAnsi="CMR9" w:cs="CMR9"/>
          <w:sz w:val="20"/>
          <w:szCs w:val="20"/>
          <w:lang w:val="en-GB" w:eastAsia="en-US"/>
        </w:rPr>
        <w:t>parameter.</w:t>
      </w:r>
      <w:proofErr w:type="gramEnd"/>
      <w:r w:rsidRPr="00095A03">
        <w:rPr>
          <w:rFonts w:ascii="CMR9" w:eastAsiaTheme="minorHAnsi" w:hAnsi="CMR9" w:cs="CMR9"/>
          <w:sz w:val="20"/>
          <w:szCs w:val="20"/>
          <w:lang w:val="en-GB" w:eastAsia="en-US"/>
        </w:rPr>
        <w:t xml:space="preserve"> Coverage refers to the </w:t>
      </w:r>
      <w:r w:rsidRPr="00095A03">
        <w:rPr>
          <w:rFonts w:ascii="CMR9" w:eastAsiaTheme="minorHAnsi" w:hAnsi="CMR9" w:cs="CMR9"/>
          <w:sz w:val="20"/>
          <w:szCs w:val="20"/>
          <w:lang w:val="en-GB" w:eastAsia="en-US"/>
        </w:rPr>
        <w:t>proportion</w:t>
      </w:r>
      <w:r w:rsidRPr="00095A03">
        <w:rPr>
          <w:rFonts w:ascii="CMR9" w:eastAsiaTheme="minorHAnsi" w:hAnsi="CMR9" w:cs="CMR9"/>
          <w:sz w:val="20"/>
          <w:szCs w:val="20"/>
          <w:lang w:val="en-GB" w:eastAsia="en-US"/>
        </w:rPr>
        <w:t xml:space="preserve"> of replications</w:t>
      </w:r>
      <w:r w:rsidRPr="00095A03">
        <w:rPr>
          <w:rFonts w:ascii="CMR9" w:eastAsiaTheme="minorHAnsi" w:hAnsi="CMR9" w:cs="CMR9"/>
          <w:sz w:val="20"/>
          <w:szCs w:val="20"/>
          <w:lang w:val="en-GB" w:eastAsia="en-US"/>
        </w:rPr>
        <w:t xml:space="preserve"> </w:t>
      </w:r>
      <w:r w:rsidRPr="00095A03">
        <w:rPr>
          <w:rFonts w:ascii="CMR9" w:eastAsiaTheme="minorHAnsi" w:hAnsi="CMR9" w:cs="CMR9"/>
          <w:sz w:val="20"/>
          <w:szCs w:val="20"/>
          <w:lang w:val="en-GB" w:eastAsia="en-US"/>
        </w:rPr>
        <w:t>where the true</w:t>
      </w:r>
      <w:r w:rsidRPr="00095A03">
        <w:rPr>
          <w:rFonts w:ascii="CMR9" w:eastAsiaTheme="minorHAnsi" w:hAnsi="CMR9" w:cs="CMR9"/>
          <w:sz w:val="20"/>
          <w:szCs w:val="20"/>
          <w:lang w:val="en-GB" w:eastAsia="en-US"/>
        </w:rPr>
        <w:t xml:space="preserve"> </w:t>
      </w:r>
      <m:oMath>
        <m:r>
          <w:rPr>
            <w:rFonts w:ascii="Cambria Math" w:eastAsiaTheme="minorHAnsi" w:hAnsi="Cambria Math" w:cs="CMR9"/>
            <w:sz w:val="20"/>
            <w:szCs w:val="20"/>
            <w:lang w:val="en-GB" w:eastAsia="en-US"/>
          </w:rPr>
          <m:t>β</m:t>
        </m:r>
      </m:oMath>
      <w:r w:rsidRPr="00095A03">
        <w:rPr>
          <w:rFonts w:ascii="CMMI9" w:eastAsiaTheme="minorHAnsi" w:hAnsi="CMMI9" w:cs="CMMI9"/>
          <w:sz w:val="20"/>
          <w:szCs w:val="20"/>
          <w:lang w:val="en-GB" w:eastAsia="en-US"/>
        </w:rPr>
        <w:t xml:space="preserve"> </w:t>
      </w:r>
      <w:r w:rsidRPr="00095A03">
        <w:rPr>
          <w:rFonts w:ascii="CMR9" w:eastAsiaTheme="minorHAnsi" w:hAnsi="CMR9" w:cs="CMR9"/>
          <w:sz w:val="20"/>
          <w:szCs w:val="20"/>
          <w:lang w:val="en-GB" w:eastAsia="en-US"/>
        </w:rPr>
        <w:t>was contained within the corresponding 95%</w:t>
      </w:r>
      <w:r w:rsidRPr="00095A03">
        <w:rPr>
          <w:rFonts w:ascii="CMR9" w:eastAsiaTheme="minorHAnsi" w:hAnsi="CMR9" w:cs="CMR9"/>
          <w:sz w:val="20"/>
          <w:szCs w:val="20"/>
          <w:lang w:val="en-GB" w:eastAsia="en-US"/>
        </w:rPr>
        <w:t xml:space="preserve"> </w:t>
      </w:r>
      <w:r w:rsidRPr="00095A03">
        <w:rPr>
          <w:rFonts w:ascii="CMR9" w:eastAsiaTheme="minorHAnsi" w:hAnsi="CMR9" w:cs="CMR9"/>
          <w:sz w:val="20"/>
          <w:szCs w:val="20"/>
          <w:lang w:val="en-GB" w:eastAsia="en-US"/>
        </w:rPr>
        <w:t>CI</w:t>
      </w:r>
      <w:r w:rsidRPr="00095A03">
        <w:rPr>
          <w:rFonts w:ascii="CMR9" w:eastAsiaTheme="minorHAnsi" w:hAnsi="CMR9" w:cs="CMR9"/>
          <w:sz w:val="20"/>
          <w:szCs w:val="20"/>
          <w:lang w:val="en-GB" w:eastAsia="en-US"/>
        </w:rPr>
        <w:t xml:space="preserve"> – note that for FP with </w:t>
      </w:r>
      <m:oMath>
        <m:r>
          <w:rPr>
            <w:rFonts w:ascii="Cambria Math" w:eastAsiaTheme="minorHAnsi" w:hAnsi="Cambria Math" w:cs="CMMI9"/>
            <w:sz w:val="20"/>
            <w:szCs w:val="20"/>
            <w:lang w:val="en-GB" w:eastAsia="en-US"/>
          </w:rPr>
          <m:t>p</m:t>
        </m:r>
        <m:r>
          <w:rPr>
            <w:rFonts w:ascii="Cambria Math" w:eastAsiaTheme="minorHAnsi" w:hAnsi="Cambria Math" w:cs="CMMI9"/>
            <w:sz w:val="20"/>
            <w:szCs w:val="20"/>
            <w:lang w:val="en-GB" w:eastAsia="en-US"/>
          </w:rPr>
          <m:t>=3</m:t>
        </m:r>
      </m:oMath>
      <w:r w:rsidRPr="00095A03">
        <w:rPr>
          <w:rFonts w:ascii="CMR9" w:hAnsi="CMR9" w:cs="CMR9"/>
          <w:sz w:val="20"/>
          <w:szCs w:val="20"/>
          <w:lang w:val="en-GB" w:eastAsia="en-US"/>
        </w:rPr>
        <w:t xml:space="preserve"> the coverage is zero due to the excessively small confidence intervals, the actual point estimates </w:t>
      </w:r>
      <w:r w:rsidR="00095A03" w:rsidRPr="00095A03">
        <w:rPr>
          <w:rFonts w:ascii="CMR9" w:hAnsi="CMR9" w:cs="CMR9"/>
          <w:sz w:val="20"/>
          <w:szCs w:val="20"/>
          <w:lang w:val="en-GB" w:eastAsia="en-US"/>
        </w:rPr>
        <w:t>are close to the genuine value</w:t>
      </w:r>
      <w:r w:rsidRPr="00095A03">
        <w:rPr>
          <w:rFonts w:ascii="CMR9" w:eastAsiaTheme="minorHAnsi" w:hAnsi="CMR9" w:cs="CMR9"/>
          <w:sz w:val="20"/>
          <w:szCs w:val="20"/>
          <w:lang w:val="en-GB" w:eastAsia="en-US"/>
        </w:rPr>
        <w:t>.</w:t>
      </w:r>
      <w:r w:rsidRPr="00095A03">
        <w:rPr>
          <w:rFonts w:ascii="CMR9" w:eastAsiaTheme="minorHAnsi" w:hAnsi="CMR9" w:cs="CMR9"/>
          <w:sz w:val="20"/>
          <w:szCs w:val="20"/>
          <w:lang w:val="en-GB" w:eastAsia="en-US"/>
        </w:rPr>
        <w:t xml:space="preserve"> </w:t>
      </w:r>
      <w:r w:rsidRPr="00095A03">
        <w:rPr>
          <w:rFonts w:ascii="CMR9" w:eastAsiaTheme="minorHAnsi" w:hAnsi="CMR9" w:cs="CMR9"/>
          <w:sz w:val="20"/>
          <w:szCs w:val="20"/>
          <w:lang w:val="en-GB" w:eastAsia="en-US"/>
        </w:rPr>
        <w:t xml:space="preserve"> </w:t>
      </w:r>
      <w:r w:rsidR="00095A03" w:rsidRPr="00095A03">
        <w:rPr>
          <w:rFonts w:ascii="STIXGeneral-Regular" w:eastAsiaTheme="minorHAnsi" w:hAnsi="STIXGeneral-Regular" w:cs="STIXGeneral-Regular"/>
          <w:sz w:val="20"/>
          <w:szCs w:val="20"/>
          <w:lang w:val="en-GB" w:eastAsia="en-US"/>
        </w:rPr>
        <w:t xml:space="preserve">Correct refers to the proportion of replications where the best-fitting fractional polynomial was also the correct fractional polynomial. Set refers to the proportional where the twice the difference of log-likelihood of the model fit with correct fractional polynomial and </w:t>
      </w:r>
      <w:proofErr w:type="gramStart"/>
      <w:r w:rsidR="00095A03" w:rsidRPr="00095A03">
        <w:rPr>
          <w:rFonts w:ascii="STIXGeneral-Regular" w:eastAsiaTheme="minorHAnsi" w:hAnsi="STIXGeneral-Regular" w:cs="STIXGeneral-Regular"/>
          <w:sz w:val="20"/>
          <w:szCs w:val="20"/>
          <w:lang w:val="en-GB" w:eastAsia="en-US"/>
        </w:rPr>
        <w:t>the  best</w:t>
      </w:r>
      <w:proofErr w:type="gramEnd"/>
      <w:r w:rsidR="00095A03" w:rsidRPr="00095A03">
        <w:rPr>
          <w:rFonts w:ascii="STIXGeneral-Regular" w:eastAsiaTheme="minorHAnsi" w:hAnsi="STIXGeneral-Regular" w:cs="STIXGeneral-Regular"/>
          <w:sz w:val="20"/>
          <w:szCs w:val="20"/>
          <w:lang w:val="en-GB" w:eastAsia="en-US"/>
        </w:rPr>
        <w:t xml:space="preserve">-fitting fractional  was less than the 90th percentile of the relevant </w:t>
      </w:r>
      <w:r w:rsidR="00095A03" w:rsidRPr="00095A03">
        <w:rPr>
          <w:rFonts w:ascii="Cambria Math" w:eastAsia="STIXMath-Italic" w:hAnsi="Cambria Math" w:cs="Cambria Math"/>
          <w:i/>
          <w:iCs/>
          <w:sz w:val="20"/>
          <w:szCs w:val="20"/>
          <w:lang w:val="en-GB" w:eastAsia="en-US"/>
        </w:rPr>
        <w:t>𝜒</w:t>
      </w:r>
      <w:r w:rsidR="00095A03" w:rsidRPr="00095A03">
        <w:rPr>
          <w:rFonts w:ascii="STIXMath-Regular" w:eastAsia="STIXMath-Regular" w:hAnsi="STIXGeneral-Italic" w:cs="STIXMath-Regular"/>
          <w:sz w:val="20"/>
          <w:szCs w:val="20"/>
          <w:lang w:val="en-GB" w:eastAsia="en-US"/>
        </w:rPr>
        <w:t>2</w:t>
      </w:r>
      <w:r w:rsidR="00095A03" w:rsidRPr="00095A03">
        <w:rPr>
          <w:rFonts w:ascii="STIXGeneral-Regular" w:eastAsiaTheme="minorHAnsi" w:hAnsi="STIXGeneral-Regular" w:cs="STIXGeneral-Regular"/>
          <w:sz w:val="20"/>
          <w:szCs w:val="20"/>
          <w:lang w:val="en-GB" w:eastAsia="en-US"/>
        </w:rPr>
        <w:t>(1) distribution. SD, standard deviation; SE standard error; FP, fractional polynomial.</w:t>
      </w:r>
    </w:p>
    <w:p w14:paraId="5A13A9F8" w14:textId="6AC851CB" w:rsidR="00B76EFE" w:rsidRPr="00692644" w:rsidRDefault="00B76EFE" w:rsidP="00095A03">
      <w:pPr>
        <w:autoSpaceDE w:val="0"/>
        <w:autoSpaceDN w:val="0"/>
        <w:adjustRightInd w:val="0"/>
        <w:rPr>
          <w:rFonts w:cstheme="minorHAnsi"/>
          <w:color w:val="000000" w:themeColor="text1"/>
          <w:lang w:val="en-US"/>
        </w:rPr>
      </w:pPr>
    </w:p>
    <w:sectPr w:rsidR="00B76EFE" w:rsidRPr="006926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my M. Mason" w:date="2020-12-14T17:04:00Z" w:initials="AMM">
    <w:p w14:paraId="33D4B8AF"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Style w:val="CommentReference"/>
        </w:rPr>
        <w:annotationRef/>
      </w:r>
      <w:r>
        <w:t>Would be good to investigate tests, and changing number of strata as well</w:t>
      </w:r>
      <w:r>
        <w:br/>
        <w:t>Could the outcome and exposure be estimated in seperate sets?</w:t>
      </w:r>
      <w:r>
        <w:br/>
      </w:r>
      <w:r>
        <w:br/>
      </w:r>
      <w:r>
        <w:rPr>
          <w:rFonts w:ascii="STIXGeneral-Regular" w:eastAsiaTheme="minorHAnsi" w:hAnsi="STIXGeneral-Regular" w:cs="STIXGeneral-Regular"/>
          <w:sz w:val="20"/>
          <w:szCs w:val="20"/>
          <w:lang w:val="en-GB" w:eastAsia="en-US"/>
        </w:rPr>
        <w:t>The first is a heterogeneity</w:t>
      </w:r>
    </w:p>
    <w:p w14:paraId="02BDDFBA"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test using Cochran’s </w:t>
      </w:r>
      <w:r>
        <w:rPr>
          <w:rFonts w:ascii="STIXGeneral-Italic" w:eastAsiaTheme="minorHAnsi" w:hAnsi="STIXGeneral-Italic" w:cs="STIXGeneral-Italic"/>
          <w:i/>
          <w:iCs/>
          <w:sz w:val="20"/>
          <w:szCs w:val="20"/>
          <w:lang w:val="en-GB" w:eastAsia="en-US"/>
        </w:rPr>
        <w:t xml:space="preserve">Q </w:t>
      </w:r>
      <w:r>
        <w:rPr>
          <w:rFonts w:ascii="STIXGeneral-Regular" w:eastAsiaTheme="minorHAnsi" w:hAnsi="STIXGeneral-Regular" w:cs="STIXGeneral-Regular"/>
          <w:sz w:val="20"/>
          <w:szCs w:val="20"/>
          <w:lang w:val="en-GB" w:eastAsia="en-US"/>
        </w:rPr>
        <w:t>statistic to assess whether</w:t>
      </w:r>
    </w:p>
    <w:p w14:paraId="493CA75B" w14:textId="3B9B7E24"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the LACE estimates differ more than would be expected by </w:t>
      </w:r>
    </w:p>
    <w:p w14:paraId="36ED1E29"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chance. The second is a trend test where the LACE estimates</w:t>
      </w:r>
    </w:p>
    <w:p w14:paraId="41AADC0B"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are </w:t>
      </w:r>
      <w:proofErr w:type="spellStart"/>
      <w:r>
        <w:rPr>
          <w:rFonts w:ascii="STIXGeneral-Regular" w:eastAsiaTheme="minorHAnsi" w:hAnsi="STIXGeneral-Regular" w:cs="STIXGeneral-Regular"/>
          <w:sz w:val="20"/>
          <w:szCs w:val="20"/>
          <w:lang w:val="en-GB" w:eastAsia="en-US"/>
        </w:rPr>
        <w:t>metaregressed</w:t>
      </w:r>
      <w:proofErr w:type="spellEnd"/>
      <w:r>
        <w:rPr>
          <w:rFonts w:ascii="STIXGeneral-Regular" w:eastAsiaTheme="minorHAnsi" w:hAnsi="STIXGeneral-Regular" w:cs="STIXGeneral-Regular"/>
          <w:sz w:val="20"/>
          <w:szCs w:val="20"/>
          <w:lang w:val="en-GB" w:eastAsia="en-US"/>
        </w:rPr>
        <w:t xml:space="preserve"> against the mean value of the exposure in</w:t>
      </w:r>
    </w:p>
    <w:p w14:paraId="52C860F8"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each </w:t>
      </w:r>
      <w:proofErr w:type="gramStart"/>
      <w:r>
        <w:rPr>
          <w:rFonts w:ascii="STIXGeneral-Regular" w:eastAsiaTheme="minorHAnsi" w:hAnsi="STIXGeneral-Regular" w:cs="STIXGeneral-Regular"/>
          <w:sz w:val="20"/>
          <w:szCs w:val="20"/>
          <w:lang w:val="en-GB" w:eastAsia="en-US"/>
        </w:rPr>
        <w:t>strata</w:t>
      </w:r>
      <w:proofErr w:type="gramEnd"/>
      <w:r>
        <w:rPr>
          <w:rFonts w:ascii="STIXGeneral-Regular" w:eastAsiaTheme="minorHAnsi" w:hAnsi="STIXGeneral-Regular" w:cs="STIXGeneral-Regular"/>
          <w:sz w:val="20"/>
          <w:szCs w:val="20"/>
          <w:lang w:val="en-GB" w:eastAsia="en-US"/>
        </w:rPr>
        <w:t xml:space="preserve">; this is equivalent to fitting a quadratic </w:t>
      </w:r>
      <w:proofErr w:type="spellStart"/>
      <w:r>
        <w:rPr>
          <w:rFonts w:ascii="STIXGeneral-Regular" w:eastAsiaTheme="minorHAnsi" w:hAnsi="STIXGeneral-Regular" w:cs="STIXGeneral-Regular"/>
          <w:sz w:val="20"/>
          <w:szCs w:val="20"/>
          <w:lang w:val="en-GB" w:eastAsia="en-US"/>
        </w:rPr>
        <w:t>exposureoutcome</w:t>
      </w:r>
      <w:proofErr w:type="spellEnd"/>
    </w:p>
    <w:p w14:paraId="6C3CF52A"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model.</w:t>
      </w:r>
    </w:p>
    <w:p w14:paraId="79963BBF"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 xml:space="preserve">A more flexible version of this method is to test the </w:t>
      </w:r>
      <w:proofErr w:type="spellStart"/>
      <w:r>
        <w:rPr>
          <w:rFonts w:ascii="STIXGeneral-Regular" w:eastAsiaTheme="minorHAnsi" w:hAnsi="STIXGeneral-Regular" w:cs="STIXGeneral-Regular"/>
          <w:sz w:val="20"/>
          <w:szCs w:val="20"/>
          <w:lang w:val="en-GB" w:eastAsia="en-US"/>
        </w:rPr>
        <w:t>bestfitting</w:t>
      </w:r>
      <w:proofErr w:type="spellEnd"/>
    </w:p>
    <w:p w14:paraId="137F1962"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fractional polynomial of degree 1 against the linear</w:t>
      </w:r>
    </w:p>
    <w:p w14:paraId="0DFD75FC"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model. This can be achieved by comparing twice the difference</w:t>
      </w:r>
    </w:p>
    <w:p w14:paraId="4FA3EC8F" w14:textId="77777777" w:rsidR="00B33438" w:rsidRDefault="00B33438" w:rsidP="00E956EA">
      <w:pPr>
        <w:autoSpaceDE w:val="0"/>
        <w:autoSpaceDN w:val="0"/>
        <w:adjustRightInd w:val="0"/>
        <w:rPr>
          <w:rFonts w:ascii="STIXGeneral-Regular" w:eastAsiaTheme="minorHAnsi" w:hAnsi="STIXGeneral-Regular" w:cs="STIXGeneral-Regular"/>
          <w:sz w:val="20"/>
          <w:szCs w:val="20"/>
          <w:lang w:val="en-GB" w:eastAsia="en-US"/>
        </w:rPr>
      </w:pPr>
      <w:r>
        <w:rPr>
          <w:rFonts w:ascii="STIXGeneral-Regular" w:eastAsiaTheme="minorHAnsi" w:hAnsi="STIXGeneral-Regular" w:cs="STIXGeneral-Regular"/>
          <w:sz w:val="20"/>
          <w:szCs w:val="20"/>
          <w:lang w:val="en-GB" w:eastAsia="en-US"/>
        </w:rPr>
        <w:t>in the log-likelihood between the linear model and</w:t>
      </w:r>
    </w:p>
    <w:p w14:paraId="5EB703A3" w14:textId="77777777" w:rsidR="00B33438" w:rsidRDefault="00B33438" w:rsidP="00E956EA">
      <w:pPr>
        <w:autoSpaceDE w:val="0"/>
        <w:autoSpaceDN w:val="0"/>
        <w:adjustRightInd w:val="0"/>
        <w:rPr>
          <w:rFonts w:ascii="STIXMath-Regular" w:eastAsia="STIXMath-Regular" w:hAnsi="STIXGeneral-Regular" w:cs="STIXMath-Regular"/>
          <w:sz w:val="15"/>
          <w:szCs w:val="15"/>
          <w:lang w:val="en-GB" w:eastAsia="en-US"/>
        </w:rPr>
      </w:pPr>
      <w:r>
        <w:rPr>
          <w:rFonts w:ascii="STIXGeneral-Regular" w:eastAsiaTheme="minorHAnsi" w:hAnsi="STIXGeneral-Regular" w:cs="STIXGeneral-Regular"/>
          <w:sz w:val="20"/>
          <w:szCs w:val="20"/>
          <w:lang w:val="en-GB" w:eastAsia="en-US"/>
        </w:rPr>
        <w:t xml:space="preserve">the best-fitting fractional polynomial of degree 1 with a </w:t>
      </w:r>
      <w:r>
        <w:rPr>
          <w:rFonts w:ascii="Cambria Math" w:eastAsia="STIXMath-Italic" w:hAnsi="Cambria Math" w:cs="Cambria Math"/>
          <w:i/>
          <w:iCs/>
          <w:sz w:val="20"/>
          <w:szCs w:val="20"/>
          <w:lang w:val="en-GB" w:eastAsia="en-US"/>
        </w:rPr>
        <w:t>𝜒</w:t>
      </w:r>
      <w:r>
        <w:rPr>
          <w:rFonts w:ascii="STIXMath-Regular" w:eastAsia="STIXMath-Regular" w:hAnsi="STIXGeneral-Regular" w:cs="STIXMath-Regular"/>
          <w:sz w:val="15"/>
          <w:szCs w:val="15"/>
          <w:lang w:val="en-GB" w:eastAsia="en-US"/>
        </w:rPr>
        <w:t>2</w:t>
      </w:r>
    </w:p>
    <w:p w14:paraId="2E136E51" w14:textId="77777777" w:rsidR="00B33438" w:rsidRDefault="00B33438" w:rsidP="00E956EA">
      <w:pPr>
        <w:autoSpaceDE w:val="0"/>
        <w:autoSpaceDN w:val="0"/>
        <w:adjustRightInd w:val="0"/>
        <w:rPr>
          <w:rFonts w:ascii="STIXMath-Regular" w:eastAsia="STIXMath-Regular" w:hAnsi="STIXGeneral-Regular" w:cs="STIXMath-Regular"/>
          <w:sz w:val="15"/>
          <w:szCs w:val="15"/>
          <w:lang w:val="en-GB" w:eastAsia="en-US"/>
        </w:rPr>
      </w:pPr>
      <w:r>
        <w:rPr>
          <w:rFonts w:ascii="STIXMath-Regular" w:eastAsia="STIXMath-Regular" w:hAnsi="STIXGeneral-Regular" w:cs="STIXMath-Regular"/>
          <w:sz w:val="15"/>
          <w:szCs w:val="15"/>
          <w:lang w:val="en-GB" w:eastAsia="en-US"/>
        </w:rPr>
        <w:t>1</w:t>
      </w:r>
    </w:p>
    <w:p w14:paraId="7F274E21" w14:textId="3A7BD4B2" w:rsidR="00B33438" w:rsidRDefault="00B33438" w:rsidP="00E956EA">
      <w:pPr>
        <w:pStyle w:val="CommentText"/>
      </w:pPr>
      <w:r>
        <w:rPr>
          <w:rFonts w:ascii="STIXGeneral-Regular" w:eastAsiaTheme="minorHAnsi" w:hAnsi="STIXGeneral-Regular" w:cs="STIXGeneral-Regular"/>
          <w:lang w:val="en-GB" w:eastAsia="en-US"/>
        </w:rPr>
        <w:t>distribution.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74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74E21" w16cid:durableId="23821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TIXGeneral-Regular">
    <w:altName w:val="Calibri"/>
    <w:panose1 w:val="00000000000000000000"/>
    <w:charset w:val="00"/>
    <w:family w:val="auto"/>
    <w:notTrueType/>
    <w:pitch w:val="default"/>
    <w:sig w:usb0="00000003" w:usb1="00000000" w:usb2="00000000" w:usb3="00000000" w:csb0="00000001" w:csb1="00000000"/>
  </w:font>
  <w:font w:name="STIXGeneral-Italic">
    <w:altName w:val="Cambria"/>
    <w:panose1 w:val="00000000000000000000"/>
    <w:charset w:val="00"/>
    <w:family w:val="roman"/>
    <w:notTrueType/>
    <w:pitch w:val="default"/>
    <w:sig w:usb0="00000003" w:usb1="00000000" w:usb2="00000000" w:usb3="00000000" w:csb0="00000001" w:csb1="00000000"/>
  </w:font>
  <w:font w:name="STIXMath-Regular">
    <w:altName w:val="Microsoft YaHei"/>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TIXMath-Italic">
    <w:altName w:val="Yu Gothic"/>
    <w:panose1 w:val="00000000000000000000"/>
    <w:charset w:val="80"/>
    <w:family w:val="auto"/>
    <w:notTrueType/>
    <w:pitch w:val="default"/>
    <w:sig w:usb0="00000001" w:usb1="08070000" w:usb2="00000010" w:usb3="00000000" w:csb0="00020000" w:csb1="00000000"/>
  </w:font>
  <w:font w:name="STIX-Bold">
    <w:altName w:val="Calibri"/>
    <w:panose1 w:val="00000000000000000000"/>
    <w:charset w:val="00"/>
    <w:family w:val="swiss"/>
    <w:notTrueType/>
    <w:pitch w:val="default"/>
    <w:sig w:usb0="00000003" w:usb1="00000000" w:usb2="00000000" w:usb3="00000000" w:csb0="00000001" w:csb1="00000000"/>
  </w:font>
  <w:font w:name="STIXGeneral-Bold">
    <w:altName w:val="Cambria"/>
    <w:panose1 w:val="00000000000000000000"/>
    <w:charset w:val="00"/>
    <w:family w:val="roman"/>
    <w:notTrueType/>
    <w:pitch w:val="default"/>
    <w:sig w:usb0="00000003" w:usb1="00000000" w:usb2="00000000" w:usb3="00000000" w:csb0="00000001" w:csb1="00000000"/>
  </w:font>
  <w:font w:name="STIXMathExtensions-Regular">
    <w:altName w:val="Calibri"/>
    <w:panose1 w:val="00000000000000000000"/>
    <w:charset w:val="A1"/>
    <w:family w:val="auto"/>
    <w:notTrueType/>
    <w:pitch w:val="default"/>
    <w:sig w:usb0="00000081" w:usb1="00000000" w:usb2="00000000" w:usb3="00000000" w:csb0="00000008" w:csb1="00000000"/>
  </w:font>
  <w:font w:name="STIXMathCalligraphy-Regular">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CMMI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0D5C"/>
    <w:multiLevelType w:val="hybridMultilevel"/>
    <w:tmpl w:val="49186E44"/>
    <w:lvl w:ilvl="0" w:tplc="675EE9A0">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y M. Mason">
    <w15:presenceInfo w15:providerId="AD" w15:userId="S::am2609@cam.ac.uk::3a30fcdb-5c50-4e3a-974c-7fee8ef89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AD"/>
    <w:rsid w:val="00095A03"/>
    <w:rsid w:val="000A0120"/>
    <w:rsid w:val="000C4DE2"/>
    <w:rsid w:val="001115D5"/>
    <w:rsid w:val="001D19A5"/>
    <w:rsid w:val="00260BBB"/>
    <w:rsid w:val="00314C88"/>
    <w:rsid w:val="004848D9"/>
    <w:rsid w:val="00486CFD"/>
    <w:rsid w:val="004F6B9B"/>
    <w:rsid w:val="00516F8C"/>
    <w:rsid w:val="00692644"/>
    <w:rsid w:val="006F28AD"/>
    <w:rsid w:val="00701552"/>
    <w:rsid w:val="007130BF"/>
    <w:rsid w:val="007629F7"/>
    <w:rsid w:val="00842947"/>
    <w:rsid w:val="008D351C"/>
    <w:rsid w:val="00990BBA"/>
    <w:rsid w:val="00A443EA"/>
    <w:rsid w:val="00B1020D"/>
    <w:rsid w:val="00B33438"/>
    <w:rsid w:val="00B76EFE"/>
    <w:rsid w:val="00BE1F2A"/>
    <w:rsid w:val="00BF54E5"/>
    <w:rsid w:val="00DD4B64"/>
    <w:rsid w:val="00E6397E"/>
    <w:rsid w:val="00E956EA"/>
    <w:rsid w:val="00F31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704D"/>
  <w15:chartTrackingRefBased/>
  <w15:docId w15:val="{C54C362C-EB01-47DC-ADBE-C52184E9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9F7"/>
    <w:pPr>
      <w:spacing w:after="0" w:line="240" w:lineRule="auto"/>
    </w:pPr>
    <w:rPr>
      <w:rFonts w:eastAsiaTheme="minorEastAsia"/>
      <w:sz w:val="24"/>
      <w:szCs w:val="24"/>
      <w:lang w:val="sv-S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9F7"/>
    <w:pPr>
      <w:spacing w:before="100" w:beforeAutospacing="1" w:after="100" w:afterAutospacing="1"/>
    </w:pPr>
    <w:rPr>
      <w:rFonts w:ascii="Times New Roman" w:eastAsiaTheme="minorHAnsi" w:hAnsi="Times New Roman" w:cs="Times New Roman"/>
      <w:lang w:eastAsia="sv-SE"/>
    </w:rPr>
  </w:style>
  <w:style w:type="character" w:styleId="Hyperlink">
    <w:name w:val="Hyperlink"/>
    <w:basedOn w:val="DefaultParagraphFont"/>
    <w:uiPriority w:val="99"/>
    <w:unhideWhenUsed/>
    <w:rsid w:val="007629F7"/>
    <w:rPr>
      <w:color w:val="0000FF"/>
      <w:u w:val="single"/>
    </w:rPr>
  </w:style>
  <w:style w:type="character" w:styleId="UnresolvedMention">
    <w:name w:val="Unresolved Mention"/>
    <w:basedOn w:val="DefaultParagraphFont"/>
    <w:uiPriority w:val="99"/>
    <w:semiHidden/>
    <w:unhideWhenUsed/>
    <w:rsid w:val="007629F7"/>
    <w:rPr>
      <w:color w:val="605E5C"/>
      <w:shd w:val="clear" w:color="auto" w:fill="E1DFDD"/>
    </w:rPr>
  </w:style>
  <w:style w:type="paragraph" w:styleId="Caption">
    <w:name w:val="caption"/>
    <w:basedOn w:val="Normal"/>
    <w:next w:val="Normal"/>
    <w:uiPriority w:val="35"/>
    <w:unhideWhenUsed/>
    <w:qFormat/>
    <w:rsid w:val="00260BB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F54E5"/>
    <w:rPr>
      <w:sz w:val="16"/>
      <w:szCs w:val="16"/>
    </w:rPr>
  </w:style>
  <w:style w:type="paragraph" w:styleId="CommentText">
    <w:name w:val="annotation text"/>
    <w:basedOn w:val="Normal"/>
    <w:link w:val="CommentTextChar"/>
    <w:uiPriority w:val="99"/>
    <w:semiHidden/>
    <w:unhideWhenUsed/>
    <w:rsid w:val="00BF54E5"/>
    <w:rPr>
      <w:sz w:val="20"/>
      <w:szCs w:val="20"/>
    </w:rPr>
  </w:style>
  <w:style w:type="character" w:customStyle="1" w:styleId="CommentTextChar">
    <w:name w:val="Comment Text Char"/>
    <w:basedOn w:val="DefaultParagraphFont"/>
    <w:link w:val="CommentText"/>
    <w:uiPriority w:val="99"/>
    <w:semiHidden/>
    <w:rsid w:val="00BF54E5"/>
    <w:rPr>
      <w:rFonts w:eastAsiaTheme="minorEastAsia"/>
      <w:sz w:val="20"/>
      <w:szCs w:val="20"/>
      <w:lang w:val="sv-SE" w:eastAsia="zh-CN"/>
    </w:rPr>
  </w:style>
  <w:style w:type="paragraph" w:styleId="CommentSubject">
    <w:name w:val="annotation subject"/>
    <w:basedOn w:val="CommentText"/>
    <w:next w:val="CommentText"/>
    <w:link w:val="CommentSubjectChar"/>
    <w:uiPriority w:val="99"/>
    <w:semiHidden/>
    <w:unhideWhenUsed/>
    <w:rsid w:val="00BF54E5"/>
    <w:rPr>
      <w:b/>
      <w:bCs/>
    </w:rPr>
  </w:style>
  <w:style w:type="character" w:customStyle="1" w:styleId="CommentSubjectChar">
    <w:name w:val="Comment Subject Char"/>
    <w:basedOn w:val="CommentTextChar"/>
    <w:link w:val="CommentSubject"/>
    <w:uiPriority w:val="99"/>
    <w:semiHidden/>
    <w:rsid w:val="00BF54E5"/>
    <w:rPr>
      <w:rFonts w:eastAsiaTheme="minorEastAsia"/>
      <w:b/>
      <w:bCs/>
      <w:sz w:val="20"/>
      <w:szCs w:val="20"/>
      <w:lang w:val="sv-SE" w:eastAsia="zh-CN"/>
    </w:rPr>
  </w:style>
  <w:style w:type="paragraph" w:styleId="BalloonText">
    <w:name w:val="Balloon Text"/>
    <w:basedOn w:val="Normal"/>
    <w:link w:val="BalloonTextChar"/>
    <w:uiPriority w:val="99"/>
    <w:semiHidden/>
    <w:unhideWhenUsed/>
    <w:rsid w:val="00BF54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4E5"/>
    <w:rPr>
      <w:rFonts w:ascii="Segoe UI" w:eastAsiaTheme="minorEastAsia" w:hAnsi="Segoe UI" w:cs="Segoe UI"/>
      <w:sz w:val="18"/>
      <w:szCs w:val="18"/>
      <w:lang w:val="sv-SE" w:eastAsia="zh-CN"/>
    </w:rPr>
  </w:style>
  <w:style w:type="character" w:styleId="PlaceholderText">
    <w:name w:val="Placeholder Text"/>
    <w:basedOn w:val="DefaultParagraphFont"/>
    <w:uiPriority w:val="99"/>
    <w:semiHidden/>
    <w:rsid w:val="00DD4B64"/>
    <w:rPr>
      <w:color w:val="808080"/>
    </w:rPr>
  </w:style>
  <w:style w:type="table" w:styleId="TableGrid">
    <w:name w:val="Table Grid"/>
    <w:basedOn w:val="TableNormal"/>
    <w:uiPriority w:val="39"/>
    <w:rsid w:val="0071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6651">
      <w:bodyDiv w:val="1"/>
      <w:marLeft w:val="0"/>
      <w:marRight w:val="0"/>
      <w:marTop w:val="0"/>
      <w:marBottom w:val="0"/>
      <w:divBdr>
        <w:top w:val="none" w:sz="0" w:space="0" w:color="auto"/>
        <w:left w:val="none" w:sz="0" w:space="0" w:color="auto"/>
        <w:bottom w:val="none" w:sz="0" w:space="0" w:color="auto"/>
        <w:right w:val="none" w:sz="0" w:space="0" w:color="auto"/>
      </w:divBdr>
    </w:div>
    <w:div w:id="816992001">
      <w:bodyDiv w:val="1"/>
      <w:marLeft w:val="0"/>
      <w:marRight w:val="0"/>
      <w:marTop w:val="0"/>
      <w:marBottom w:val="0"/>
      <w:divBdr>
        <w:top w:val="none" w:sz="0" w:space="0" w:color="auto"/>
        <w:left w:val="none" w:sz="0" w:space="0" w:color="auto"/>
        <w:bottom w:val="none" w:sz="0" w:space="0" w:color="auto"/>
        <w:right w:val="none" w:sz="0" w:space="0" w:color="auto"/>
      </w:divBdr>
    </w:div>
    <w:div w:id="938639234">
      <w:bodyDiv w:val="1"/>
      <w:marLeft w:val="0"/>
      <w:marRight w:val="0"/>
      <w:marTop w:val="0"/>
      <w:marBottom w:val="0"/>
      <w:divBdr>
        <w:top w:val="none" w:sz="0" w:space="0" w:color="auto"/>
        <w:left w:val="none" w:sz="0" w:space="0" w:color="auto"/>
        <w:bottom w:val="none" w:sz="0" w:space="0" w:color="auto"/>
        <w:right w:val="none" w:sz="0" w:space="0" w:color="auto"/>
      </w:divBdr>
    </w:div>
    <w:div w:id="1353410348">
      <w:bodyDiv w:val="1"/>
      <w:marLeft w:val="0"/>
      <w:marRight w:val="0"/>
      <w:marTop w:val="0"/>
      <w:marBottom w:val="0"/>
      <w:divBdr>
        <w:top w:val="none" w:sz="0" w:space="0" w:color="auto"/>
        <w:left w:val="none" w:sz="0" w:space="0" w:color="auto"/>
        <w:bottom w:val="none" w:sz="0" w:space="0" w:color="auto"/>
        <w:right w:val="none" w:sz="0" w:space="0" w:color="auto"/>
      </w:divBdr>
    </w:div>
    <w:div w:id="1642228989">
      <w:bodyDiv w:val="1"/>
      <w:marLeft w:val="0"/>
      <w:marRight w:val="0"/>
      <w:marTop w:val="0"/>
      <w:marBottom w:val="0"/>
      <w:divBdr>
        <w:top w:val="none" w:sz="0" w:space="0" w:color="auto"/>
        <w:left w:val="none" w:sz="0" w:space="0" w:color="auto"/>
        <w:bottom w:val="none" w:sz="0" w:space="0" w:color="auto"/>
        <w:right w:val="none" w:sz="0" w:space="0" w:color="auto"/>
      </w:divBdr>
    </w:div>
    <w:div w:id="1814061644">
      <w:bodyDiv w:val="1"/>
      <w:marLeft w:val="0"/>
      <w:marRight w:val="0"/>
      <w:marTop w:val="0"/>
      <w:marBottom w:val="0"/>
      <w:divBdr>
        <w:top w:val="none" w:sz="0" w:space="0" w:color="auto"/>
        <w:left w:val="none" w:sz="0" w:space="0" w:color="auto"/>
        <w:bottom w:val="none" w:sz="0" w:space="0" w:color="auto"/>
        <w:right w:val="none" w:sz="0" w:space="0" w:color="auto"/>
      </w:divBdr>
    </w:div>
    <w:div w:id="19221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m2609@medschl.cam.ac.uk"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44-782529964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Sta17</b:Tag>
    <b:SourceType>JournalArticle</b:SourceType>
    <b:Guid>{21717EAE-38BE-4E81-A745-CF069758268D}</b:Guid>
    <b:Title>Semiparametric methods for estimation of a nonlinear exposure-outcome relationship using instrumental variables with application to Mendelian randomization</b:Title>
    <b:JournalName>Wiley Genetic Epidemiology</b:JournalName>
    <b:Year>2017</b:Year>
    <b:Author>
      <b:Author>
        <b:NameList>
          <b:Person>
            <b:Last>Staley</b:Last>
            <b:Middle>R</b:Middle>
            <b:First>James</b:First>
          </b:Person>
          <b:Person>
            <b:Last>Burgess</b:Last>
            <b:First>Stephen</b:First>
          </b:Person>
        </b:NameList>
      </b:Author>
    </b:Author>
    <b:RefOrder>2</b:RefOrder>
  </b:Source>
  <b:Source>
    <b:Tag>Sun19</b:Tag>
    <b:SourceType>JournalArticle</b:SourceType>
    <b:Guid>{B76FBD1F-75D7-41E6-9D9E-51F5D8E2E6F6}</b:Guid>
    <b:Title>Body mass index and all cause mortality in HUNT and UK Biobank studies: linear and non-linear mendelian randomisation analyses</b:Title>
    <b:JournalName>BMJ</b:JournalName>
    <b:Year>2019</b:Year>
    <b:Pages>364 :l1042</b:Pages>
    <b:Author>
      <b:Author>
        <b:NameList>
          <b:Person>
            <b:Last>Sun</b:Last>
            <b:First>Yi-Qian</b:First>
          </b:Person>
          <b:Person>
            <b:Last>Burgess</b:Last>
            <b:First>Stephen,</b:First>
          </b:Person>
          <b:Person>
            <b:Last> Staley</b:Last>
            <b:Middle>R</b:Middle>
            <b:First>James</b:First>
          </b:Person>
          <b:Person>
            <b:Last>Wood </b:Last>
            <b:Middle>M</b:Middle>
            <b:First>Angela </b:First>
          </b:Person>
          <b:Person>
            <b:Last>Bell </b:Last>
            <b:First>Steven</b:First>
          </b:Person>
          <b:Person>
            <b:Last>Kaptoge </b:Last>
            <b:Middle>K</b:Middle>
            <b:First>Stephen </b:First>
          </b:Person>
        </b:NameList>
      </b:Author>
    </b:Author>
    <b:DOI>https://doi.org/10.1136/bmj.l1042</b:DOI>
    <b:RefOrder>1</b:RefOrder>
  </b:Source>
  <b:Source>
    <b:Tag>She20</b:Tag>
    <b:SourceType>JournalArticle</b:SourceType>
    <b:Guid>{B8671F3B-7DBC-4676-AC05-11685827C452}</b:Guid>
    <b:Title>Epidemiology, genetic epidemiology and Mendelian randomisation: more need than ever to attend to detail</b:Title>
    <b:JournalName>Human Genetics</b:JournalName>
    <b:Year>2020</b:Year>
    <b:Pages>121–136</b:Pages>
    <b:Author>
      <b:Author>
        <b:NameList>
          <b:Person>
            <b:Last>Sheehan</b:Last>
            <b:Middle>A</b:Middle>
            <b:First>Nuala</b:First>
          </b:Person>
          <b:Person>
            <b:Last>Didelez</b:Last>
            <b:First>Vanessa</b:First>
          </b:Person>
        </b:NameList>
      </b:Author>
    </b:Author>
    <b:Volume>139</b:Volume>
    <b:DOI>https://doi.org/10.1007/s00439-019-02027-3</b:DOI>
    <b:RefOrder>3</b:RefOrder>
  </b:Source>
</b:Sources>
</file>

<file path=customXml/itemProps1.xml><?xml version="1.0" encoding="utf-8"?>
<ds:datastoreItem xmlns:ds="http://schemas.openxmlformats.org/officeDocument/2006/customXml" ds:itemID="{A1C66A61-84D9-46B2-B4CE-A16A2D28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3838</TotalTime>
  <Pages>1</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 Mason</dc:creator>
  <cp:keywords/>
  <dc:description/>
  <cp:lastModifiedBy>Amy M. Mason</cp:lastModifiedBy>
  <cp:revision>6</cp:revision>
  <dcterms:created xsi:type="dcterms:W3CDTF">2020-12-14T11:15:00Z</dcterms:created>
  <dcterms:modified xsi:type="dcterms:W3CDTF">2020-12-18T19:23:00Z</dcterms:modified>
</cp:coreProperties>
</file>