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Aerial AI Solutions</w:t>
      </w:r>
    </w:p>
    <w:p>
      <w:pPr>
        <w:jc w:val="right"/>
      </w:pPr>
      <w:r>
        <w:t>November 8, 2025</w:t>
      </w:r>
    </w:p>
    <w:p>
      <w:r>
        <w:rPr>
          <w:b/>
        </w:rPr>
        <w:t>Supplement Request and Scope Rebuttal – Claim H0001064902</w:t>
      </w:r>
    </w:p>
    <w:p>
      <w:r>
        <w:br/>
        <w:t>To: ALFA Insurance – Claims Department</w:t>
        <w:br/>
        <w:t>Attn: Adam Jones</w:t>
        <w:br/>
        <w:br/>
        <w:t>Re: Supplement Request and Scope Rebuttal</w:t>
        <w:br/>
        <w:t>Insured: Danny L. Davis</w:t>
        <w:br/>
        <w:t>Property: 2204 Rockingham Ln SW, Decatur, AL 35603</w:t>
        <w:br/>
        <w:t>Claim Number: H0001064902</w:t>
        <w:br/>
        <w:t>Policy Number: H0928998-AMI-HO3</w:t>
        <w:br/>
        <w:t>Date of Loss: April 10, 2025</w:t>
        <w:br/>
        <w:br/>
        <w:t>Dear ALFA Insurance Claims Department,</w:t>
        <w:br/>
        <w:br/>
        <w:t>Upon review of the carrier-issued Xactimate estimate for the above-referenced property, the current scope of repair and replacement omits essential materials and labor necessary to return the roof system to pre-loss condition in accordance with current building codes, OSHA safety requirements, and manufacturer installation standards.</w:t>
        <w:br/>
        <w:br/>
        <w:t>Based on field conditions and industry best practices, Aerial AI Solutions requests that the following supplements be applied to the approved estimate:</w:t>
        <w:br/>
        <w:br/>
        <w:t>1. Add Ice &amp; Water Shield (RFG IWS) in valleys and around penetrations per IRC R905.2.8.3.</w:t>
        <w:br/>
        <w:t>2. Add Step Flashing and Counter Flashing at all roof-to-wall intersections to ensure watertight transitions.</w:t>
        <w:br/>
        <w:t>3. Replace “cut ridge from 3-tab shingles” with pre-manufactured ridge vent and matching ridge cap (RFG HIPCAP / RFG RIDGEVENT).</w:t>
        <w:br/>
        <w:t>4. Add Drip Edge and Starter Course validation along eaves and rakes per IRC R905.2.8.5.</w:t>
        <w:br/>
        <w:t>5. Include Steep/Two-Story and Safety Setup (JLC FALPROT) labor adjustments for roof slopes exceeding 7/12.</w:t>
        <w:br/>
        <w:t>6. Adjust waste factor from 8% to 12–15% based on roof complexity (hip/valley configuration).</w:t>
        <w:br/>
        <w:t>7. Adjust shingle pricing to architectural grade to reflect actual materials installed on-site.</w:t>
        <w:br/>
        <w:t>8. Include additional line item for site protection and project management (RFG LAB / RFG ADM).</w:t>
        <w:br/>
        <w:br/>
        <w:t>These requested items are required for compliance with state building codes, manufacturer specifications, and fair claims settlement practices under Alabama Department of Insurance Rule 482-1-125-.07. Excluding them results in incomplete restoration and insufficient indemnification of the insured.</w:t>
        <w:br/>
        <w:br/>
        <w:t>Please review and issue an updated scope reflecting these supplements. Supporting documentation, EagleView data, photographs, and manufacturer installation guides are available upon request.</w:t>
        <w:br/>
        <w:br/>
        <w:t>Thank you for your prompt review and anticipated cooperation.</w:t>
        <w:br/>
        <w:br/>
        <w:t>Sincerely,</w:t>
        <w:br/>
        <w:br/>
        <w:t>Amy Ragan</w:t>
        <w:br/>
        <w:t>Flight Engineer | Aerial AI Solutions</w:t>
        <w:br/>
        <w:t>UAH Invention to Innovation Center (I2C)</w:t>
        <w:br/>
        <w:t>850 Ben Graves Dr NW</w:t>
        <w:br/>
        <w:t>Huntsville, AL 35816</w:t>
        <w:br/>
        <w:t>Email: amy.ragan@aerialai.solutions</w:t>
        <w:br/>
        <w:t>Phone: (256) 460-9162</w:t>
        <w:br/>
        <w:br/>
        <w:t>Code References:</w:t>
        <w:br/>
        <w:t>• IRC R905.2.8.3 – Underlayment at Eaves and Valleys</w:t>
        <w:br/>
        <w:t>• IRC R905.2.8.5 – Drip Edge Requirement</w:t>
        <w:br/>
        <w:t>• Alabama DOI Rule 482-1-125-.07 – Fair Claims Practices; Insurers must restore property with like kind and quality materials.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