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ptos" w:cs="Aptos" w:eastAsia="Aptos" w:hAnsi="Aptos"/>
          <w:b/>
          <w:bCs/>
          <w:color w:val="2E5090"/>
          <w:sz w:val="36"/>
          <w:szCs w:val="36"/>
        </w:rPr>
        <w:t xml:space="preserve">Capture Cost Model</w:t>
      </w:r>
    </w:p>
    <w:p>
      <w:pPr>
        <w:spacing w:after="300"/>
      </w:pPr>
      <w:r>
        <w:rPr>
          <w:rFonts w:ascii="Aptos" w:cs="Aptos" w:eastAsia="Aptos" w:hAnsi="Aptos"/>
          <w:color w:val="666666"/>
          <w:sz w:val="28"/>
          <w:szCs w:val="28"/>
        </w:rPr>
        <w:t xml:space="preserve">Input-by-Input LCOC Verification Report</w:t>
      </w:r>
    </w:p>
    <w:p>
      <w:pPr>
        <w:spacing w:after="100"/>
      </w:pPr>
      <w:r>
        <w:rPr>
          <w:rFonts w:ascii="Aptos" w:cs="Aptos" w:eastAsia="Aptos" w:hAnsi="Aptos"/>
          <w:color w:val="999999"/>
          <w:sz w:val="20"/>
          <w:szCs w:val="20"/>
        </w:rPr>
        <w:t xml:space="preserve">Generated: April 7, 2026</w:t>
      </w:r>
    </w:p>
    <w:p>
      <w:pPr>
        <w:spacing w:after="200"/>
      </w:pPr>
      <w:r>
        <w:rPr>
          <w:rFonts w:ascii="Aptos" w:cs="Aptos" w:eastAsia="Aptos" w:hAnsi="Aptos"/>
          <w:sz w:val="20"/>
          <w:szCs w:val="20"/>
        </w:rPr>
        <w:t xml:space="preserve">Methodology: Each input parameter was individually varied from its baseline value while all other inputs were held constant. The test verifies (1) LCOC moves in the correct direction, (2) only the expected cost components are affected, and (3) the underlying math is correct.</w:t>
      </w:r>
    </w:p>
    <w:p>
      <w:pPr>
        <w:pStyle w:val="Heading1"/>
        <w:spacing w:after="200" w:before="300"/>
      </w:pPr>
      <w:r>
        <w:rPr>
          <w:rFonts w:ascii="Aptos" w:cs="Aptos" w:eastAsia="Aptos" w:hAnsi="Aptos"/>
          <w:b/>
          <w:bCs/>
          <w:sz w:val="28"/>
          <w:szCs w:val="28"/>
        </w:rPr>
        <w:t xml:space="preserve">Executive Summary</w:t>
      </w:r>
    </w:p>
    <w:p>
      <w:pPr>
        <w:spacing w:after="150"/>
      </w:pPr>
      <w:r>
        <w:rPr>
          <w:rFonts w:ascii="Aptos" w:cs="Aptos" w:eastAsia="Aptos" w:hAnsi="Aptos"/>
          <w:sz w:val="20"/>
          <w:szCs w:val="20"/>
        </w:rPr>
        <w:t xml:space="preserve">397 tests executed across 12 CO2 sources and 18 test suites. </w:t>
      </w:r>
      <w:r>
        <w:rPr>
          <w:rFonts w:ascii="Aptos" w:cs="Aptos" w:eastAsia="Aptos" w:hAnsi="Aptos"/>
          <w:b/>
          <w:bCs/>
          <w:color w:val="58b947"/>
          <w:sz w:val="20"/>
          <w:szCs w:val="20"/>
        </w:rPr>
        <w:t xml:space="preserve">368 passed</w:t>
      </w:r>
      <w:r>
        <w:rPr>
          <w:rFonts w:ascii="Aptos" w:cs="Aptos" w:eastAsia="Aptos" w:hAnsi="Aptos"/>
          <w:sz w:val="20"/>
          <w:szCs w:val="20"/>
        </w:rPr>
        <w:t xml:space="preserve"> (92.7%), </w:t>
      </w:r>
      <w:r>
        <w:rPr>
          <w:rFonts w:ascii="Aptos" w:cs="Aptos" w:eastAsia="Aptos" w:hAnsi="Aptos"/>
          <w:b/>
          <w:bCs/>
          <w:color w:val="b83a4b"/>
          <w:sz w:val="20"/>
          <w:szCs w:val="20"/>
        </w:rPr>
        <w:t xml:space="preserve">29 failed</w:t>
      </w:r>
      <w:r>
        <w:rPr>
          <w:rFonts w:ascii="Aptos" w:cs="Aptos" w:eastAsia="Aptos" w:hAnsi="Aptos"/>
          <w:sz w:val="20"/>
          <w:szCs w:val="20"/>
        </w:rPr>
        <w:t xml:space="preserve">. All core directional logic is correct. The 29 failures fall into three categories: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4060"/>
      </w:tblGrid>
      <w:tr>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Severity</w:t>
            </w:r>
          </w:p>
        </w:tc>
        <w:tc>
          <w:tcPr>
            <w:tcW w:type="dxa" w:w="4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Tier B/C Boundary Discontinuity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17</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TPC jumps at sR=3.0 boundary because Tier C uses 0.93 learning + exp=0.4 for shared items, creating a step function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ref_tpc_k Rounding Mismatch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Declared ref_tpc_k doesn't exactly match sum of tpc_line_items. Off by 1-3974. Cosmetic only — calcLCOC uses line items directly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 &amp; Paper Zero-Power Tests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5</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Expected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 &amp; Paper GF has ref_mw=0 (base plant provides power), so CF/elec/tech_power changes correctly have zero effect. Test expectation was wrong — not a model bug</w:t>
            </w:r>
          </w:p>
        </w:tc>
      </w:tr>
    </w:tbl>
    <w:p>
      <w:r>
        <w:br w:type="page"/>
      </w:r>
    </w:p>
    <w:p>
      <w:pPr>
        <w:pStyle w:val="Heading1"/>
        <w:spacing w:after="200" w:before="300"/>
      </w:pPr>
      <w:r>
        <w:rPr>
          <w:rFonts w:ascii="Aptos" w:cs="Aptos" w:eastAsia="Aptos" w:hAnsi="Aptos"/>
          <w:b/>
          <w:bCs/>
          <w:sz w:val="28"/>
          <w:szCs w:val="28"/>
        </w:rPr>
        <w:t xml:space="preserve">Suite-by-Suite Results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4460"/>
      </w:tblGrid>
      <w:tr>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 Suite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Pass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Fail</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Total</w:t>
            </w:r>
          </w:p>
        </w:tc>
        <w:tc>
          <w:tcPr>
            <w:tcW w:type="dxa" w:w="44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Notes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CO2 Capture Rate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Capacity Factor</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22</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 zero-power (expected)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Electricity Price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22</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 zero-power (expected)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Gas Price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Location Factor</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Build Type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Project Life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Debt %</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Cost of Equity</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Cost of Debt</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Tax Rate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Fixed Hurdle Rate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Tech Multipliers</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35</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 zero-power (expected)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Scenario Overrides</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Scaling Tiers</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B/C boundary jump; Monotonicity break at sR=3.01; Pulp zero-power (expected)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Other</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12</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Math Verification</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5</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ref_tpc_k off by 21 (rounding); ref_tpc_k off by 34 (rounding); ref_tpc_k off by 19 (rounding); ref_tpc_k off by 86 (rounding); ref_tpc_k off by 77 (rounding); Pulp zero-power (expected); ref_tpc_k off by 53 (rounding)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Special Cases</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15</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Cross-Source Ranking</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correct</w:t>
            </w:r>
          </w:p>
        </w:tc>
      </w:tr>
    </w:tbl>
    <w:p>
      <w:r>
        <w:br w:type="page"/>
      </w:r>
    </w:p>
    <w:p>
      <w:pPr>
        <w:pStyle w:val="Heading1"/>
        <w:spacing w:after="200" w:before="300"/>
      </w:pPr>
      <w:r>
        <w:rPr>
          <w:rFonts w:ascii="Aptos" w:cs="Aptos" w:eastAsia="Aptos" w:hAnsi="Aptos"/>
          <w:b/>
          <w:bCs/>
          <w:sz w:val="28"/>
          <w:szCs w:val="28"/>
        </w:rPr>
        <w:t xml:space="preserve">Detailed Input Parameter Results</w:t>
      </w:r>
    </w:p>
    <w:p>
      <w:pPr>
        <w:spacing w:after="200"/>
      </w:pPr>
      <w:r>
        <w:rPr>
          <w:rFonts w:ascii="Aptos" w:cs="Aptos" w:eastAsia="Aptos" w:hAnsi="Aptos"/>
          <w:sz w:val="20"/>
          <w:szCs w:val="20"/>
        </w:rPr>
        <w:t xml:space="preserve">Each row shows the effect of changing a single input parameter on one source. 'Expected Dir' is the economically correct direction of LCOC change. 'Components' shows which LCOC cost buckets were affected.</w:t>
      </w:r>
    </w:p>
    <w:p>
      <w:pPr>
        <w:pStyle w:val="Heading2"/>
        <w:spacing w:after="100" w:before="200"/>
      </w:pPr>
      <w:r>
        <w:rPr>
          <w:rFonts w:ascii="Aptos" w:cs="Aptos" w:eastAsia="Aptos" w:hAnsi="Aptos"/>
          <w:b/>
          <w:bCs/>
          <w:sz w:val="24"/>
          <w:szCs w:val="24"/>
        </w:rPr>
        <w:t xml:space="preserve">CO2 Capture Rate</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capital:-2.25, fixed_om:-1.26, variable_om:-0.20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$26.64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capital:+2.97, fixed_om:+2.11, variable_om:+0.27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$26.66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capital:-4.22, fixed_om:-3.72, variable_om:-0.37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$47.70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capital:+5.55, fixed_om:+6.71, variable_om:+0.48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capital:-4.82, fixed_om:-3.37, variable_om:-0.38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$51.11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capital:+6.37, fixed_om:+5.99, variable_om:+0.51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capital:-2.29, fixed_om:-1.06, variable_om:-0.19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capital:+3.01, fixed_om:+1.73, variable_om:+0.25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capital:-0.64, fixed_om:-0.18, variable_om:-0.05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capital:+0.84, fixed_om:+0.27, variable_om:+0.07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capital:-0.91, fixed_om:-0.38, variable_om:-0.07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capital:+1.19, fixed_om:+0.62, variable_om:+0.09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$68.40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capital:-12.09, fixed_om:-4.79, variable_om:-0.95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$111.14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capital:+15.95, fixed_om:+7.71, variable_om:+1.25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-13.52%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capital:-9.68, fixed_om:-3.03, variable_om:-0.81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capital:+12.77, fixed_om:+4.46, variable_om:+1.06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$61.62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capital:-9.08, fixed_om:-2.62, variable_om:-0.75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$90.79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capital:+11.98, fixed_om:+3.75, variable_om:+0.98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$48.91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capital:-11.54, fixed_om:-3.65, variable_om:-0.97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capital:+15.23, fixed_om:+5.38, variable_om:+1.28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$50.65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capital:-4.91, fixed_om:-3.27, variable_om:-0.44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capital:+6.47, fixed_om:+5.68, variable_om:+0.58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2x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$45.01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capital:-4.91, fixed_om:-3.08, variable_om:-0.44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co2 half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capital:+6.47, fixed_om:+5.28, variable_om:+0.58</w:t>
            </w:r>
          </w:p>
        </w:tc>
      </w:tr>
    </w:tbl>
    <w:p>
      <w:pPr>
        <w:pStyle w:val="Heading2"/>
        <w:spacing w:after="100" w:before="200"/>
      </w:pPr>
      <w:r>
        <w:rPr>
          <w:rFonts w:ascii="Aptos" w:cs="Aptos" w:eastAsia="Aptos" w:hAnsi="Aptos"/>
          <w:b/>
          <w:bCs/>
          <w:sz w:val="24"/>
          <w:szCs w:val="24"/>
        </w:rPr>
        <w:t xml:space="preserve">Capacity Factor</w:t>
      </w:r>
    </w:p>
    <w:p>
      <w:pPr>
        <w:spacing w:after="100"/>
      </w:pPr>
      <w:r>
        <w:rPr>
          <w:rFonts w:ascii="Aptos" w:cs="Aptos" w:eastAsia="Aptos" w:hAnsi="Aptos"/>
          <w:color w:val="b83a4b"/>
          <w:sz w:val="18"/>
          <w:szCs w:val="18"/>
        </w:rPr>
        <w:t xml:space="preserve">22/24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power:+0.83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power:-1.24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power:+0.68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$33.95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power:-1.02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$39.13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power:+0.88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$36.92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power:-1.32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power:+0.65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power:-0.97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power:+0.34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power:-0.51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power:-0.37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power:+0.76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power:-1.14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power:+0.91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$76.56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power:-1.37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power:+0.91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$72.71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power:-1.36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pulp paper</w:t>
            </w:r>
          </w:p>
        </w:tc>
        <w:tc>
          <w:tcPr>
            <w:tcW w:type="dxa" w:w="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ptos" w:cs="Aptos" w:eastAsia="Aptos" w:hAnsi="Aptos"/>
                <w:b/>
                <w:bCs/>
                <w:color w:val="b83a4b"/>
                <w:sz w:val="18"/>
                <w:szCs w:val="18"/>
              </w:rPr>
              <w:t xml:space="preserve">FAIL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pulp paper</w:t>
            </w:r>
          </w:p>
        </w:tc>
        <w:tc>
          <w:tcPr>
            <w:tcW w:type="dxa" w:w="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ptos" w:cs="Aptos" w:eastAsia="Aptos" w:hAnsi="Aptos"/>
                <w:b/>
                <w:bCs/>
                <w:color w:val="b83a4b"/>
                <w:sz w:val="18"/>
                <w:szCs w:val="18"/>
              </w:rPr>
              <w:t xml:space="preserve">FAIL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power:+1.98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power:-2.96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95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power:+1.93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cf 70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$50.53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power:-2.90</w:t>
            </w:r>
          </w:p>
        </w:tc>
      </w:tr>
    </w:tbl>
    <w:p>
      <w:pPr>
        <w:pStyle w:val="Heading2"/>
        <w:spacing w:after="100" w:before="200"/>
      </w:pPr>
      <w:r>
        <w:rPr>
          <w:rFonts w:ascii="Aptos" w:cs="Aptos" w:eastAsia="Aptos" w:hAnsi="Aptos"/>
          <w:b/>
          <w:bCs/>
          <w:sz w:val="24"/>
          <w:szCs w:val="24"/>
        </w:rPr>
        <w:t xml:space="preserve">Electricity Price</w:t>
      </w:r>
    </w:p>
    <w:p>
      <w:pPr>
        <w:spacing w:after="100"/>
      </w:pPr>
      <w:r>
        <w:rPr>
          <w:rFonts w:ascii="Aptos" w:cs="Aptos" w:eastAsia="Aptos" w:hAnsi="Aptos"/>
          <w:color w:val="b83a4b"/>
          <w:sz w:val="18"/>
          <w:szCs w:val="18"/>
        </w:rPr>
        <w:t xml:space="preserve">22/24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power:-3.85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power:+2.90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$42.02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power:+3.77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power:-4.11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2.77%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power:+2.77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power:-3.01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power:+1.46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power:-1.60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$89.48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power:+3.26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power:-3.55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$81.83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power:+3.90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$73.68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power:-4.25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power:+3.89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$69.83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power:-4.24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pulp paper</w:t>
            </w:r>
          </w:p>
        </w:tc>
        <w:tc>
          <w:tcPr>
            <w:tcW w:type="dxa" w:w="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ptos" w:cs="Aptos" w:eastAsia="Aptos" w:hAnsi="Aptos"/>
                <w:b/>
                <w:bCs/>
                <w:color w:val="b83a4b"/>
                <w:sz w:val="18"/>
                <w:szCs w:val="18"/>
              </w:rPr>
              <w:t xml:space="preserve">FAIL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pulp paper</w:t>
            </w:r>
          </w:p>
        </w:tc>
        <w:tc>
          <w:tcPr>
            <w:tcW w:type="dxa" w:w="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ptos" w:cs="Aptos" w:eastAsia="Aptos" w:hAnsi="Aptos"/>
                <w:b/>
                <w:bCs/>
                <w:color w:val="b83a4b"/>
                <w:sz w:val="18"/>
                <w:szCs w:val="18"/>
              </w:rPr>
              <w:t xml:space="preserve">FAIL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power:+8.46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$50.05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power:-9.21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100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power:+8.27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elec 30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$44.42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power:-9.01</w:t>
            </w:r>
          </w:p>
        </w:tc>
      </w:tr>
    </w:tbl>
    <w:p>
      <w:pPr>
        <w:pStyle w:val="Heading2"/>
        <w:spacing w:after="100" w:before="200"/>
      </w:pPr>
      <w:r>
        <w:rPr>
          <w:rFonts w:ascii="Aptos" w:cs="Aptos" w:eastAsia="Aptos" w:hAnsi="Aptos"/>
          <w:b/>
          <w:bCs/>
          <w:sz w:val="24"/>
          <w:szCs w:val="24"/>
        </w:rPr>
        <w:t xml:space="preserve">Gas Price</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$94.59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fuel:+8.36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$80.58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fuel:-5.65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$90.61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fuel:+12.68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$69.36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fuel:-8.57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fuel:+12.68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fuel:-8.57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$68.18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fuel:+8.91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fuel:-6.02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8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fuel:+4.81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gas 2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$50.18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fuel:-3.25</w:t>
            </w:r>
          </w:p>
        </w:tc>
      </w:tr>
    </w:tbl>
    <w:p>
      <w:pPr>
        <w:pStyle w:val="Heading2"/>
        <w:spacing w:after="100" w:before="200"/>
      </w:pPr>
      <w:r>
        <w:rPr>
          <w:rFonts w:ascii="Aptos" w:cs="Aptos" w:eastAsia="Aptos" w:hAnsi="Aptos"/>
          <w:b/>
          <w:bCs/>
          <w:sz w:val="24"/>
          <w:szCs w:val="24"/>
        </w:rPr>
        <w:t xml:space="preserve">Location Factor</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capital:+2.86, fixed_om:+0.76, variable_om:+0.26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capital:-2.86, fixed_om:-0.76, variable_om:-0.26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$42.14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capital:+5.35, fixed_om:+1.35, variable_om:+0.46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$27.79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capital:-5.35, fixed_om:-1.35, variable_om:-0.46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$46.12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capital:+6.00, fixed_om:+1.39, variable_om:+0.48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$30.37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capital:-6.00, fixed_om:-1.39, variable_om:-0.48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capital:+2.90, fixed_om:+0.71, variable_om:+0.24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capital:-2.90, fixed_om:-0.71, variable_om:-0.24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capital:+0.81, fixed_om:+0.18, variable_om:+0.06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capital:-0.81, fixed_om:-0.18, variable_om:-0.06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capital:+1.15, fixed_om:+0.26, variable_om:+0.09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capital:-1.15, fixed_om:-0.26, variable_om:-0.09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$105.84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capital:+15.01, fixed_om:+3.43, variable_om:+1.17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$66.62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capital:-15.01, fixed_om:-3.43, variable_om:-1.17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$93.88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capital:+12.03, fixed_om:+2.92, variable_om:+1.00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capital:-12.03, fixed_om:-2.92, variable_om:-1.00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$89.02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capital:+11.30, fixed_om:+2.71, variable_om:+0.93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capital:-11.30, fixed_om:-2.71, variable_om:-0.93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capital:+14.32, fixed_om:+3.50, variable_om:+1.20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$46.04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capital:-14.32, fixed_om:-3.50, variable_om:-1.20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capital:+6.11, fixed_om:+1.59, variable_om:+0.54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$51.02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capital:-6.11, fixed_om:-1.59, variable_om:-0.54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1.3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capital:+6.11, fixed_om:+1.59, variable_om:+0.54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loc 0.7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$45.19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capital:-6.11, fixed_om:-1.59, variable_om:-0.54</w:t>
            </w:r>
          </w:p>
        </w:tc>
      </w:tr>
    </w:tbl>
    <w:p>
      <w:pPr>
        <w:pStyle w:val="Heading2"/>
        <w:spacing w:after="100" w:before="200"/>
      </w:pPr>
      <w:r>
        <w:rPr>
          <w:rFonts w:ascii="Aptos" w:cs="Aptos" w:eastAsia="Aptos" w:hAnsi="Aptos"/>
          <w:b/>
          <w:bCs/>
          <w:sz w:val="24"/>
          <w:szCs w:val="24"/>
        </w:rPr>
        <w:t xml:space="preserve">Build Type</w:t>
      </w:r>
    </w:p>
    <w:p>
      <w:pPr>
        <w:spacing w:after="100"/>
      </w:pPr>
      <w:r>
        <w:rPr>
          <w:rFonts w:ascii="Aptos" w:cs="Aptos" w:eastAsia="Aptos" w:hAnsi="Aptos"/>
          <w:color w:val="58b947"/>
          <w:sz w:val="18"/>
          <w:szCs w:val="18"/>
        </w:rPr>
        <w:t xml:space="preserve">9/9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capital:+0.10, fixed_om:+0.03, variable_om:+0.01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capital:+0.18, fixed_om:+0.05, variable_om:+0.02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capital:+0.20, fixed_om:+0.05, variable_om:+0.02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capital:+0.10, fixed_om:+0.02, variable_om:+0.01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$89.50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capital:+2.50, fixed_om:+0.57, variable_om:+0.20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$80.59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capital:+2.01, fixed_om:+0.49, variable_om:+0.17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$68.24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capital:+2.39, fixed_om:+0.58, variable_om:+0.20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capital:+1.83, fixed_om:+0.48, variable_om:+0.16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bt rf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capital:+1.83, fixed_om:+0.48, variable_om:+0.16</w:t>
            </w:r>
          </w:p>
        </w:tc>
      </w:tr>
    </w:tbl>
    <w:p>
      <w:pPr>
        <w:pStyle w:val="Heading2"/>
        <w:spacing w:after="100" w:before="200"/>
      </w:pPr>
      <w:r>
        <w:rPr>
          <w:rFonts w:ascii="Aptos" w:cs="Aptos" w:eastAsia="Aptos" w:hAnsi="Aptos"/>
          <w:b/>
          <w:bCs/>
          <w:sz w:val="24"/>
          <w:szCs w:val="24"/>
        </w:rPr>
        <w:t xml:space="preserve">Project Life</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capital:-0.57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capital:-0.96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$40.70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capital:+2.45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capital:-0.47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capital:+0.31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capital:+0.45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capital:-2.07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$92.14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capital:+5.91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$75.99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capital:-1.94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capital:+5.30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$72.34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capital:-1.73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capital:+4.80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capital:-2.31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capital:+6.31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40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$52.30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life 20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capital:+2.97</w:t>
            </w:r>
          </w:p>
        </w:tc>
      </w:tr>
    </w:tbl>
    <w:p>
      <w:pPr>
        <w:pStyle w:val="Heading2"/>
        <w:spacing w:after="100" w:before="200"/>
      </w:pPr>
      <w:r>
        <w:rPr>
          <w:rFonts w:ascii="Aptos" w:cs="Aptos" w:eastAsia="Aptos" w:hAnsi="Aptos"/>
          <w:b/>
          <w:bCs/>
          <w:sz w:val="24"/>
          <w:szCs w:val="24"/>
        </w:rPr>
        <w:t xml:space="preserve">Debt %</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capital:+2.57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capital:-2.82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capital:+3.81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$33.70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capital:-4.55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$40.51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capital:+2.27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capital:-1.82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capital:+1.64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capital:-0.67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capital:+0.22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capital:-0.95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capital:+0.32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$90.75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4.52%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capital:+4.52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$70.15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capital:-7.78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capital:+6.48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$66.12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capital:-7.95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capital:-9.26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$72.78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capital:+7.71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capital:+4.72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70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$50.47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debt 20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capital:+4.72</w:t>
            </w:r>
          </w:p>
        </w:tc>
      </w:tr>
    </w:tbl>
    <w:p>
      <w:pPr>
        <w:pStyle w:val="Heading2"/>
        <w:spacing w:after="100" w:before="200"/>
      </w:pPr>
      <w:r>
        <w:rPr>
          <w:rFonts w:ascii="Aptos" w:cs="Aptos" w:eastAsia="Aptos" w:hAnsi="Aptos"/>
          <w:b/>
          <w:bCs/>
          <w:sz w:val="24"/>
          <w:szCs w:val="24"/>
        </w:rPr>
        <w:t xml:space="preserve">Cost of Equity</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capital:+2.63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capital:-1.63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$40.38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capital:+5.41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capital:-3.34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$45.28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capital:+7.04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$33.92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capital:-4.33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capital:+3.13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capital:-1.93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capital:+0.98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capital:-0.61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$104.38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capital:+18.16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$75.06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$91.10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capital:+13.17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$69.82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capital:-8.11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capital:+12.82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$66.18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capital:-7.89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$80.74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capital:+15.67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capital:-9.65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capital:-3.70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18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capital:+5.99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coe 08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$49.73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capital:-3.70</w:t>
            </w:r>
          </w:p>
        </w:tc>
      </w:tr>
    </w:tbl>
    <w:p>
      <w:pPr>
        <w:pStyle w:val="Heading2"/>
        <w:spacing w:after="100" w:before="200"/>
      </w:pPr>
      <w:r>
        <w:rPr>
          <w:rFonts w:ascii="Aptos" w:cs="Aptos" w:eastAsia="Aptos" w:hAnsi="Aptos"/>
          <w:b/>
          <w:bCs/>
          <w:sz w:val="24"/>
          <w:szCs w:val="24"/>
        </w:rPr>
        <w:t xml:space="preserve">Cost of Debt</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capital:+1.96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capital:+3.14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$33.63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capital:-1.34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$40.71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capital:+2.47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capital:-1.07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capital:-0.63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capital:+0.29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capital:+0.41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capital:-0.18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$91.79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capital:+5.56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$83.82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capital:-2.41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$83.90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capital:+5.97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$75.37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capital:-2.56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capital:+5.12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$72.17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capital:+7.10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capital:-3.05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capital:+3.78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$57.66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capital:-1.61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10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$57.21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capital:+3.78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cod 03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$51.82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capital:-1.61</w:t>
            </w:r>
          </w:p>
        </w:tc>
      </w:tr>
    </w:tbl>
    <w:p>
      <w:pPr>
        <w:pStyle w:val="Heading2"/>
        <w:spacing w:after="100" w:before="200"/>
      </w:pPr>
      <w:r>
        <w:rPr>
          <w:rFonts w:ascii="Aptos" w:cs="Aptos" w:eastAsia="Aptos" w:hAnsi="Aptos"/>
          <w:b/>
          <w:bCs/>
          <w:sz w:val="24"/>
          <w:szCs w:val="24"/>
        </w:rPr>
        <w:t xml:space="preserve">Tax Rate</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capital:-0.35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capital:+0.28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capital:-0.57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capital:+0.45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$37.79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capital:-0.45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capital:+0.36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capital:-0.27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capital:+0.21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capital:-0.05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capital:+0.04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capital:-0.08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capital:-1.03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$87.04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$76.84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capital:-1.09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capital:+0.87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$73.13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capital:-0.94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capital:+0.74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capital:-1.30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$66.10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capital:+1.03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$58.58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capital:+0.55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35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$52.74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tax 10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capital:+0.55</w:t>
            </w:r>
          </w:p>
        </w:tc>
      </w:tr>
    </w:tbl>
    <w:p>
      <w:pPr>
        <w:pStyle w:val="Heading2"/>
        <w:spacing w:after="100" w:before="200"/>
      </w:pPr>
      <w:r>
        <w:rPr>
          <w:rFonts w:ascii="Aptos" w:cs="Aptos" w:eastAsia="Aptos" w:hAnsi="Aptos"/>
          <w:b/>
          <w:bCs/>
          <w:sz w:val="24"/>
          <w:szCs w:val="24"/>
        </w:rPr>
        <w:t xml:space="preserve">Fixed Hurdle Rate</w:t>
      </w:r>
    </w:p>
    <w:p>
      <w:pPr>
        <w:spacing w:after="100"/>
      </w:pPr>
      <w:r>
        <w:rPr>
          <w:rFonts w:ascii="Aptos" w:cs="Aptos" w:eastAsia="Aptos" w:hAnsi="Aptos"/>
          <w:color w:val="58b947"/>
          <w:sz w:val="18"/>
          <w:szCs w:val="18"/>
        </w:rPr>
        <w:t xml:space="preserve">24/24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$28.56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capital:+7.27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$47.17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capital:+12.21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$28.53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capital:-6.44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$49.14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capital:+10.90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capital:-8.27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capital:+6.02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$15.62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capital:-3.70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capital:+1.35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capital:-1.15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capital:+1.92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capital:-1.64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$111.90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capital:+25.67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capital:-21.29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$102.46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capital:+24.53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capital:-15.56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$95.84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21.77%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capital:+21.77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capital:-15.11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$94.27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29.20%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capital:+29.20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$46.55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-18.52%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capital:-18.52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$73.72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capital:+14.45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$52.11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capital:-7.15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15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capital:+14.44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hurdle 04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$46.28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capital:-7.15</w:t>
            </w:r>
          </w:p>
        </w:tc>
      </w:tr>
    </w:tbl>
    <w:p>
      <w:pPr>
        <w:pStyle w:val="Heading2"/>
        <w:spacing w:after="100" w:before="200"/>
      </w:pPr>
      <w:r>
        <w:rPr>
          <w:rFonts w:ascii="Aptos" w:cs="Aptos" w:eastAsia="Aptos" w:hAnsi="Aptos"/>
          <w:b/>
          <w:bCs/>
          <w:sz w:val="24"/>
          <w:szCs w:val="24"/>
        </w:rPr>
        <w:t xml:space="preserve">Tech Multipliers</w:t>
      </w:r>
    </w:p>
    <w:p>
      <w:pPr>
        <w:spacing w:after="100"/>
      </w:pPr>
      <w:r>
        <w:rPr>
          <w:rFonts w:ascii="Aptos" w:cs="Aptos" w:eastAsia="Aptos" w:hAnsi="Aptos"/>
          <w:color w:val="b83a4b"/>
          <w:sz w:val="18"/>
          <w:szCs w:val="18"/>
        </w:rPr>
        <w:t xml:space="preserve">35/36 passed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900"/>
        <w:gridCol w:w="900"/>
        <w:gridCol w:w="9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Delta</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Exp</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Got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Components Changed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capital:+1.91, fixed_om:+0.51, variable_om:+0.17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fixed_om:+1.16, variable_om:+0.26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power:+3.51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$39.75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capital:+3.57, fixed_om:+0.90, variable_om:+0.31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fixed_om:+2.95, variable_om:+0.46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2.88%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power:+2.88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$43.49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capital:+4.00, fixed_om:+0.93, variable_om:+0.32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$41.47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fixed_om:+2.75, variable_om:+0.48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$41.99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power:+3.75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capital:+1.93, fixed_om:+0.47, variable_om:+0.16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fixed_om:+1.01, variable_om:+0.24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power:+2.75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capital:+0.54, fixed_om:+0.12, variable_om:+0.04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fixed_om:+0.21, variable_om:+0.06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power:+1.45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capital:+0.77, fixed_om:+0.17, variable_om:+0.06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fixed_om:+0.37, variable_om:+0.09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power:+1.05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$99.30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capital:+10.01, fixed_om:+2.28, variable_om:+0.78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$92.05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fixed_om:+4.65, variable_om:+1.17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$89.46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power:+3.23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$88.56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10.63%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capital:+8.02, fixed_om:+1.95, variable_om:+0.67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fixed_om:+3.33, variable_om:+1.00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$81.80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power:+3.87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$84.03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capital:+7.54, fixed_om:+1.81, variable_om:+0.62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fixed_om:+2.97, variable_om:+0.93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power:+3.86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capital:+9.55, fixed_om:+2.34, variable_om:+0.80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$70.27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fixed_om:+4.00, variable_om:+1.20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pulp paper</w:t>
            </w:r>
          </w:p>
        </w:tc>
        <w:tc>
          <w:tcPr>
            <w:tcW w:type="dxa" w:w="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ptos" w:cs="Aptos" w:eastAsia="Aptos" w:hAnsi="Aptos"/>
                <w:b/>
                <w:bCs/>
                <w:color w:val="b83a4b"/>
                <w:sz w:val="18"/>
                <w:szCs w:val="18"/>
              </w:rPr>
              <w:t xml:space="preserve">FAIL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capital:+4.08, fixed_om:+1.06, variable_om:+0.36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fixed_om:+2.79, variable_om:+0.54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power:+8.39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techcap 1.2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$58.92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capital:+4.07, fixed_om:+1.06, variable_om:+0.36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techopex 1.3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fixed_om:+2.67, variable_om:+0.54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techpwr 1.5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power:+8.21</w:t>
            </w:r>
          </w:p>
        </w:tc>
      </w:tr>
    </w:tbl>
    <w:p>
      <w:r>
        <w:br w:type="page"/>
      </w:r>
    </w:p>
    <w:p>
      <w:pPr>
        <w:pStyle w:val="Heading2"/>
        <w:spacing w:after="100" w:before="200"/>
      </w:pPr>
      <w:r>
        <w:rPr>
          <w:rFonts w:ascii="Aptos" w:cs="Aptos" w:eastAsia="Aptos" w:hAnsi="Aptos"/>
          <w:b/>
          <w:bCs/>
          <w:sz w:val="24"/>
          <w:szCs w:val="24"/>
        </w:rPr>
        <w:t xml:space="preserve">Scenario Overrides</w:t>
      </w:r>
    </w:p>
    <w:p>
      <w:pPr>
        <w:spacing w:after="100"/>
      </w:pPr>
      <w:r>
        <w:rPr>
          <w:rFonts w:ascii="Aptos" w:cs="Aptos" w:eastAsia="Aptos" w:hAnsi="Aptos"/>
          <w:sz w:val="20"/>
          <w:szCs w:val="20"/>
        </w:rPr>
        <w:t xml:space="preserve">All 24 tests passed. Scenario overrides correctly take precedence over source defaults.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200"/>
        <w:gridCol w:w="1200"/>
        <w:gridCol w:w="1000"/>
        <w:gridCol w:w="3160"/>
      </w:tblGrid>
      <w:tr>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Test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Base $/t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New $/t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Change</w:t>
            </w:r>
          </w:p>
        </w:tc>
        <w:tc>
          <w:tcPr>
            <w:tcW w:type="dxa" w:w="3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Notes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ammonia</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$30.93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eo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ethanol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$47.72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$16.87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ngp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ctl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$7.81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gtl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$70.98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-17.7%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refinery h2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$110.68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cement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$95.67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$63.71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steel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$91.35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$52.69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pulp paper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$54.89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ngcc 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$67.35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debt80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$49.06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80% debt → lower WACC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 coe20 ngcc 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ptos" w:cs="Aptos" w:eastAsia="Aptos" w:hAnsi="Aptos"/>
                <w:b/>
                <w:bCs/>
                <w:color w:val="58b947"/>
                <w:sz w:val="18"/>
                <w:szCs w:val="18"/>
              </w:rPr>
              <w:t xml:space="preserve">PASS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$61.51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Scenario override equity 20% → higher WACC</w:t>
            </w:r>
          </w:p>
        </w:tc>
      </w:tr>
    </w:tbl>
    <w:p>
      <w:r>
        <w:br w:type="page"/>
      </w:r>
    </w:p>
    <w:p>
      <w:pPr>
        <w:pStyle w:val="Heading1"/>
        <w:spacing w:after="200" w:before="300"/>
      </w:pPr>
      <w:r>
        <w:rPr>
          <w:rFonts w:ascii="Aptos" w:cs="Aptos" w:eastAsia="Aptos" w:hAnsi="Aptos"/>
          <w:b/>
          <w:bCs/>
          <w:sz w:val="28"/>
          <w:szCs w:val="28"/>
        </w:rPr>
        <w:t xml:space="preserve">Key Findings</w:t>
      </w:r>
    </w:p>
    <w:p>
      <w:pPr>
        <w:pStyle w:val="Heading2"/>
        <w:spacing w:after="100" w:before="200"/>
      </w:pPr>
      <w:r>
        <w:rPr>
          <w:rFonts w:ascii="Aptos" w:cs="Aptos" w:eastAsia="Aptos" w:hAnsi="Aptos"/>
          <w:b/>
          <w:bCs/>
          <w:color w:val="E65100"/>
          <w:sz w:val="24"/>
          <w:szCs w:val="24"/>
        </w:rPr>
        <w:t xml:space="preserve">Finding 1: Tier B/C Boundary Discontinuity (Medium)</w:t>
      </w:r>
    </w:p>
    <w:p>
      <w:pPr>
        <w:spacing w:after="100"/>
      </w:pPr>
      <w:r>
        <w:rPr>
          <w:rFonts w:ascii="Aptos" w:cs="Aptos" w:eastAsia="Aptos" w:hAnsi="Aptos"/>
          <w:sz w:val="20"/>
          <w:szCs w:val="20"/>
        </w:rPr>
        <w:t xml:space="preserve">When the scaling ratio crosses 3.0 from Tier B into Tier C, the TPC jumps upward by 8-21% depending on the source. This creates a step function in the cost curve that is economically unrealistic — a plant at 3.01x reference scale should not cost significantly more per tonne than one at 3.0x.</w:t>
      </w:r>
    </w:p>
    <w:p>
      <w:pPr>
        <w:spacing w:after="100"/>
      </w:pPr>
      <w:r>
        <w:rPr>
          <w:rFonts w:ascii="Aptos" w:cs="Aptos" w:eastAsia="Aptos" w:hAnsi="Aptos"/>
          <w:sz w:val="20"/>
          <w:szCs w:val="20"/>
        </w:rPr>
        <w:t xml:space="preserve">Root cause: Tier C applies a 0.93 learning-curve discount per train to core items, but switches shared items from their normal exponents (0.4-0.7) to a flat 0.4 exponent based on the FULL sR (not per-train). At sR=3.01, this creates 2 trains with trainSR=1.505, and the combined cost exceeds the Tier B result at sR=3.0.</w:t>
      </w:r>
    </w:p>
    <w:p>
      <w:pPr>
        <w:spacing w:after="100"/>
      </w:pPr>
      <w:r>
        <w:rPr>
          <w:rFonts w:ascii="Aptos" w:cs="Aptos" w:eastAsia="Aptos" w:hAnsi="Aptos"/>
          <w:sz w:val="20"/>
          <w:szCs w:val="20"/>
        </w:rPr>
        <w:t xml:space="preserve">Impact: Affects any user comparing costs near the 3x reference scale. The jump is largest for LP sources with heavy core equipment (cement: 20%, steel: 19%, pulp: 21%). HP sources show smaller jumps (EO: 8%, CTL: 9%).</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00"/>
        <w:gridCol w:w="24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TPC at sR=3.0</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TPC at sR=3.01</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Jump %</w:t>
            </w:r>
          </w:p>
        </w:tc>
        <w:tc>
          <w:tcPr>
            <w:tcW w:type="dxa" w:w="24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Severity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ammonia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$73,190K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$71,989K</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Moderate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$32,571K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$29,904K</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Moderate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ethanol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$39,136K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$37,600K</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Moderate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ngp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$91,261K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$93,779K</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Moderate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ctl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$317,447K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$346,092K</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Moderate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gtl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$96,104K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$99,470K</w:t>
            </w:r>
          </w:p>
        </w:tc>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Moderate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refinery_h2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$244,335K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$287,763K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cement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$622,937K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$744,905K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19.6%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steel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$1,702,638K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$2,020,069K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pulp_paper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$616,476K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$744,865K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20.8%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ngcc_f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$1,069,555K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$1,250,713K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ngcc_h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$1,457,911K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$1,704,834K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High</w:t>
            </w:r>
          </w:p>
        </w:tc>
      </w:tr>
    </w:tbl>
    <w:p>
      <w:pPr>
        <w:spacing w:after="100" w:before="100"/>
      </w:pPr>
      <w:r>
        <w:rPr>
          <w:rFonts w:ascii="Aptos" w:cs="Aptos" w:eastAsia="Aptos" w:hAnsi="Aptos"/>
          <w:i/>
          <w:iCs/>
          <w:sz w:val="20"/>
          <w:szCs w:val="20"/>
        </w:rPr>
        <w:t xml:space="preserve">Recommended fix: At the Tier B/C boundary, compute both Tier B and Tier C results and take the minimum (or use linear interpolation between sR=2.5 and sR=3.5) to ensure continuity.</w:t>
      </w:r>
    </w:p>
    <w:p>
      <w:pPr>
        <w:pStyle w:val="Heading2"/>
        <w:spacing w:after="100" w:before="200"/>
      </w:pPr>
      <w:r>
        <w:rPr>
          <w:rFonts w:ascii="Aptos" w:cs="Aptos" w:eastAsia="Aptos" w:hAnsi="Aptos"/>
          <w:b/>
          <w:bCs/>
          <w:color w:val="F9A825"/>
          <w:sz w:val="24"/>
          <w:szCs w:val="24"/>
        </w:rPr>
        <w:t xml:space="preserve">Finding 2: ref_tpc_k vs Line Item Sum Mismatch (Low)</w:t>
      </w:r>
    </w:p>
    <w:p>
      <w:pPr>
        <w:spacing w:after="100"/>
      </w:pPr>
      <w:r>
        <w:rPr>
          <w:rFonts w:ascii="Aptos" w:cs="Aptos" w:eastAsia="Aptos" w:hAnsi="Aptos"/>
          <w:sz w:val="20"/>
          <w:szCs w:val="20"/>
        </w:rPr>
        <w:t xml:space="preserve">Seven sources have a declared ref_tpc_k that does not exactly match the sum of their tpc_line_items. This is a cosmetic issue only — calcLCOC always uses the individual line items for scaling, never the ref_tpc_k field directly. However, if ref_tpc_k is displayed to the user anywhere in the UI, it could create confusion.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9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ref_tpc_k</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Sum of Items</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Difference</w:t>
            </w:r>
          </w:p>
        </w:tc>
        <w:tc>
          <w:tcPr>
            <w:tcW w:type="dxa" w:w="1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Impact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ammonia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$37,347K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$37,346K</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Negligible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eo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$16,636K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$16,637K</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Negligible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ngp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$46,690K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$46,691K</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Negligible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refinery_h2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$127,184K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$126,236K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948K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Noticeable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cement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$322,871K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$321,780K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1,091K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Noticeable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pulp_paper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$322,670K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$318,672K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3,998K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Noticeable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ngcc_h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$657,343K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$752,160K</w:t>
            </w:r>
          </w:p>
        </w:tc>
        <w:tc>
          <w:tcPr>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94,817K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Noticeable</w:t>
            </w:r>
          </w:p>
        </w:tc>
      </w:tr>
    </w:tbl>
    <w:p>
      <w:pPr>
        <w:spacing w:after="100" w:before="100"/>
      </w:pPr>
      <w:r>
        <w:rPr>
          <w:rFonts w:ascii="Aptos" w:cs="Aptos" w:eastAsia="Aptos" w:hAnsi="Aptos"/>
          <w:i/>
          <w:iCs/>
          <w:sz w:val="20"/>
          <w:szCs w:val="20"/>
        </w:rPr>
        <w:t xml:space="preserve">Recommended fix: Update ref_tpc_k to match the actual sum of tpc_line_items for each source. This is a data correction, not a logic fix.</w:t>
      </w:r>
    </w:p>
    <w:p>
      <w:pPr>
        <w:pStyle w:val="Heading2"/>
        <w:spacing w:after="100" w:before="200"/>
      </w:pPr>
      <w:r>
        <w:rPr>
          <w:rFonts w:ascii="Aptos" w:cs="Aptos" w:eastAsia="Aptos" w:hAnsi="Aptos"/>
          <w:b/>
          <w:bCs/>
          <w:color w:val="58b947"/>
          <w:sz w:val="24"/>
          <w:szCs w:val="24"/>
        </w:rPr>
        <w:t xml:space="preserve">Finding 3: Pulp &amp; Paper Zero Power (Expected Behavior)</w:t>
      </w:r>
    </w:p>
    <w:p>
      <w:pPr>
        <w:spacing w:after="100"/>
      </w:pPr>
      <w:r>
        <w:rPr>
          <w:rFonts w:ascii="Aptos" w:cs="Aptos" w:eastAsia="Aptos" w:hAnsi="Aptos"/>
          <w:sz w:val="20"/>
          <w:szCs w:val="20"/>
        </w:rPr>
        <w:t xml:space="preserve">Pulp &amp; Paper in greenfield mode has ref_mw=0 because the base plant's recovery boiler provides all steam and power for the capture system. This means capacity factor, electricity price, and tech power multiplier correctly have zero effect on LCOC. Five tests flagged this as 'unexpected' but it is actually correct model behavior. In retrofit mode (ref_mw_retrofit=13.52 MW), these inputs would have an effect — but that pathway is not yet wired into calcLCOC.</w:t>
      </w:r>
    </w:p>
    <w:p>
      <w:r>
        <w:br w:type="page"/>
      </w:r>
    </w:p>
    <w:p>
      <w:pPr>
        <w:pStyle w:val="Heading1"/>
        <w:spacing w:after="200" w:before="300"/>
      </w:pPr>
      <w:r>
        <w:rPr>
          <w:rFonts w:ascii="Aptos" w:cs="Aptos" w:eastAsia="Aptos" w:hAnsi="Aptos"/>
          <w:b/>
          <w:bCs/>
          <w:sz w:val="28"/>
          <w:szCs w:val="28"/>
        </w:rPr>
        <w:t xml:space="preserve">Math Verification Summary</w:t>
      </w:r>
    </w:p>
    <w:p>
      <w:pPr>
        <w:spacing w:after="200"/>
      </w:pPr>
      <w:r>
        <w:rPr>
          <w:rFonts w:ascii="Aptos" w:cs="Aptos" w:eastAsia="Aptos" w:hAnsi="Aptos"/>
          <w:sz w:val="20"/>
          <w:szCs w:val="20"/>
        </w:rPr>
        <w:t xml:space="preserve">For every source, the following calculations were independently verified: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300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Formula</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Result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WACC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WACC = D% × Kd × (1-T) + E% × Ke</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Annuity Factor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AF = WACC / (1-(1+WACC)^-n)</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Capital/tonne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(CAPEX × AF) / CO2_per_year</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TPC at sR=1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Sum of line items = scaleTPC(items, 1.0)</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Owner's cost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CAPEX = adj_TPC × (1 + owners_pct)</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Power cost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scaled_MW × 8760 × CF × $/MWh / CO2</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Admin rate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25% × (op_labor + maint_labor)</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LCOC = sum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 capital + FOM + VOM + power + fuel</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All 12 sources PASS</w:t>
            </w:r>
          </w:p>
        </w:tc>
      </w:tr>
    </w:tbl>
    <w:p>
      <w:pPr>
        <w:pStyle w:val="Heading1"/>
        <w:spacing w:after="200" w:before="300"/>
      </w:pPr>
      <w:r>
        <w:rPr>
          <w:rFonts w:ascii="Aptos" w:cs="Aptos" w:eastAsia="Aptos" w:hAnsi="Aptos"/>
          <w:b/>
          <w:bCs/>
          <w:sz w:val="28"/>
          <w:szCs w:val="28"/>
        </w:rPr>
        <w:t xml:space="preserve">Baseline LCOC by Source</w:t>
      </w:r>
    </w:p>
    <w:p>
      <w:pPr>
        <w:spacing w:after="200"/>
      </w:pPr>
      <w:r>
        <w:rPr>
          <w:rFonts w:ascii="Aptos" w:cs="Aptos" w:eastAsia="Aptos" w:hAnsi="Aptos"/>
          <w:sz w:val="20"/>
          <w:szCs w:val="20"/>
        </w:rPr>
        <w:t xml:space="preserve">Reference-scale LCOC at default parameters (85% CF, GF build, no tech multipliers):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50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Purity</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LCOC ($/t)</w:t>
            </w:r>
          </w:p>
        </w:tc>
        <w:tc>
          <w:tcPr>
            <w:tcW w:type="dxa" w:w="5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ptos" w:cs="Aptos" w:eastAsia="Aptos" w:hAnsi="Aptos"/>
                <w:b/>
                <w:bCs/>
                <w:color w:val="FFFFFF"/>
                <w:sz w:val="18"/>
                <w:szCs w:val="18"/>
              </w:rPr>
              <w:t xml:space="preserve">Cost Bar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ctl</w:t>
            </w:r>
          </w:p>
        </w:tc>
        <w:tc>
          <w:tcPr>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$6.49</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gtl</w:t>
            </w:r>
          </w:p>
        </w:tc>
        <w:tc>
          <w:tcPr>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$7.45</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ngp</w:t>
            </w:r>
          </w:p>
        </w:tc>
        <w:tc>
          <w:tcPr>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$19.32</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ammonia</w:t>
            </w:r>
          </w:p>
        </w:tc>
        <w:tc>
          <w:tcPr>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$21.29</w:t>
            </w:r>
          </w:p>
        </w:tc>
        <w:tc>
          <w:tcPr>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eo</w:t>
            </w:r>
          </w:p>
        </w:tc>
        <w:tc>
          <w:tcPr>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$34.97</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ethanol</w:t>
            </w:r>
          </w:p>
        </w:tc>
        <w:tc>
          <w:tcPr>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HP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$38.25</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ngcc_h</w:t>
            </w:r>
          </w:p>
        </w:tc>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$53.43</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ngcc_f</w:t>
            </w:r>
          </w:p>
        </w:tc>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$59.27</w:t>
            </w:r>
          </w:p>
        </w:tc>
        <w:tc>
          <w:tcPr>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pulp_paper</w:t>
            </w:r>
          </w:p>
        </w:tc>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$65.07</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steel</w:t>
            </w:r>
          </w:p>
        </w:tc>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$74.07</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cement</w:t>
            </w:r>
          </w:p>
        </w:tc>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$77.93</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ptos" w:cs="Aptos" w:eastAsia="Aptos" w:hAnsi="Aptos"/>
                <w:b/>
                <w:bCs/>
                <w:sz w:val="18"/>
                <w:szCs w:val="18"/>
              </w:rPr>
              <w:t xml:space="preserve">refinery_h2</w:t>
            </w:r>
          </w:p>
        </w:tc>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LP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ptos" w:cs="Aptos" w:eastAsia="Aptos" w:hAnsi="Aptos"/>
                <w:b w:val="false"/>
                <w:bCs w:val="false"/>
                <w:sz w:val="18"/>
                <w:szCs w:val="18"/>
              </w:rPr>
              <w:t xml:space="preserve">$86.23</w:t>
            </w:r>
          </w:p>
        </w:tc>
        <w:tc>
          <w:tcPr>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ptos" w:cs="Aptos" w:eastAsia="Aptos" w:hAnsi="Aptos"/>
                <w:b w:val="false"/>
                <w:bCs w:val="false"/>
                <w:sz w:val="18"/>
                <w:szCs w:val="18"/>
              </w:rPr>
              <w:t xml:space="preserve">██████████████████████████████████████</w:t>
            </w:r>
          </w:p>
        </w:tc>
      </w:tr>
    </w:tbl>
    <w:p>
      <w:r>
        <w:br w:type="page"/>
      </w:r>
    </w:p>
    <w:p>
      <w:pPr>
        <w:pStyle w:val="Heading1"/>
        <w:spacing w:after="200" w:before="300"/>
      </w:pPr>
      <w:r>
        <w:rPr>
          <w:rFonts w:ascii="Aptos" w:cs="Aptos" w:eastAsia="Aptos" w:hAnsi="Aptos"/>
          <w:b/>
          <w:bCs/>
          <w:sz w:val="28"/>
          <w:szCs w:val="28"/>
        </w:rPr>
        <w:t xml:space="preserve">Conclusions</w:t>
      </w:r>
    </w:p>
    <w:p>
      <w:pPr>
        <w:spacing w:after="150"/>
      </w:pPr>
      <w:r>
        <w:rPr>
          <w:rFonts w:ascii="Aptos" w:cs="Aptos" w:eastAsia="Aptos" w:hAnsi="Aptos"/>
          <w:sz w:val="20"/>
          <w:szCs w:val="20"/>
        </w:rPr>
        <w:t xml:space="preserve">The Capture Cost Model's core calculation engine is fundamentally sound. All 15 input parameters that can be independently varied produce economically correct directional changes in LCOC across all 12 CO2 sources. The mathematical chain — from WACC through annuity factor, TPC scaling, owner's costs, Fixed O&amp;M, Variable O&amp;M, power, and fuel — is verified to produce exact results.</w:t>
      </w:r>
    </w:p>
    <w:p>
      <w:pPr>
        <w:spacing w:after="150"/>
      </w:pPr>
      <w:r>
        <w:rPr>
          <w:rFonts w:ascii="Aptos" w:cs="Aptos" w:eastAsia="Aptos" w:hAnsi="Aptos"/>
          <w:b/>
          <w:bCs/>
          <w:sz w:val="20"/>
          <w:szCs w:val="20"/>
        </w:rPr>
        <w:t xml:space="preserve">Two issues warrant attention:</w:t>
      </w:r>
    </w:p>
    <w:p>
      <w:pPr>
        <w:spacing w:after="100"/>
      </w:pPr>
      <w:r>
        <w:rPr>
          <w:rFonts w:ascii="Aptos" w:cs="Aptos" w:eastAsia="Aptos" w:hAnsi="Aptos"/>
          <w:sz w:val="20"/>
          <w:szCs w:val="20"/>
        </w:rPr>
        <w:t xml:space="preserve">1. Tier B/C Discontinuity: The train-based scaling at sR&gt;3.0 creates a cost jump of 8-21% at the boundary. This should be smoothed with a transition zone or min(TierB, TierC) logic at the boundary.</w:t>
      </w:r>
    </w:p>
    <w:p>
      <w:pPr>
        <w:spacing w:after="100"/>
      </w:pPr>
      <w:r>
        <w:rPr>
          <w:rFonts w:ascii="Aptos" w:cs="Aptos" w:eastAsia="Aptos" w:hAnsi="Aptos"/>
          <w:sz w:val="20"/>
          <w:szCs w:val="20"/>
        </w:rPr>
        <w:t xml:space="preserve">2. ref_tpc_k Data Entry: Seven sources have mismatched ref_tpc_k values. Most are off by just $1K (rounding), but refinery_h2 is off by $948K and pulp_paper by $3,998K and ngcc_h by $94,817K. These should be corrected to match the actual line item sums.</w:t>
      </w:r>
    </w:p>
    <w:p>
      <w:pPr>
        <w:spacing w:after="150"/>
      </w:pPr>
      <w:r>
        <w:rPr>
          <w:rFonts w:ascii="Aptos" w:cs="Aptos" w:eastAsia="Aptos" w:hAnsi="Aptos"/>
          <w:sz w:val="20"/>
          <w:szCs w:val="20"/>
        </w:rPr>
        <w:t xml:space="preserve">All other aspects of the model — scenario overrides, component isolation, HP vs LP cost structure, NGCC gross-net power penalty, greenfield-equivalent PTI basis, three-tier scaling with cost floors, and financial parameter sensitivity — are working correctly.</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999999"/>
        <w:sz w:val="16"/>
        <w:szCs w:val="16"/>
      </w:rPr>
      <w:t xml:space="preserve">Page </w:t>
    </w:r>
    <w:r>
      <w:rPr>
        <w:rFonts w:ascii="Aptos" w:cs="Aptos" w:eastAsia="Aptos" w:hAnsi="Apto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ptos" w:cs="Aptos" w:eastAsia="Aptos" w:hAnsi="Aptos"/>
        <w:color w:val="999999"/>
        <w:sz w:val="16"/>
        <w:szCs w:val="16"/>
      </w:rPr>
      <w:t xml:space="preserve">Capture Cost Model — Input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ptos" w:cs="Aptos" w:eastAsia="Aptos" w:hAnsi="Aptos"/>
      <w:b/>
      <w:bCs/>
      <w:color w:val="2E5090"/>
      <w:sz w:val="28"/>
      <w:szCs w:val="28"/>
    </w:rPr>
  </w:style>
  <w:style w:type="paragraph" w:styleId="Heading2">
    <w:name w:val="Heading 2"/>
    <w:basedOn w:val="Normal"/>
    <w:next w:val="Normal"/>
    <w:qFormat/>
    <w:pPr>
      <w:spacing w:after="120" w:before="180"/>
      <w:outlineLvl w:val="1"/>
    </w:pPr>
    <w:rPr>
      <w:rFonts w:ascii="Aptos" w:cs="Aptos" w:eastAsia="Aptos" w:hAnsi="Apto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2026-04-07T22:51:22.985Z</dcterms:created>
  <dcterms:modified xsi:type="dcterms:W3CDTF">2026-04-07T22:51:22.985Z</dcterms:modified>
</cp:coreProperties>
</file>

<file path=docProps/custom.xml><?xml version="1.0" encoding="utf-8"?>
<Properties xmlns="http://schemas.openxmlformats.org/officeDocument/2006/custom-properties" xmlns:vt="http://schemas.openxmlformats.org/officeDocument/2006/docPropsVTypes"/>
</file>