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58b947"/>
          <w:sz w:val="44"/>
          <w:szCs w:val="44"/>
        </w:rPr>
        <w:t xml:space="preserve">Capture Cost Model</w:t>
      </w:r>
    </w:p>
    <w:p>
      <w:pPr>
        <w:spacing w:after="200"/>
        <w:jc w:val="center"/>
      </w:pPr>
      <w:r>
        <w:rPr>
          <w:rFonts w:ascii="Arial" w:cs="Arial" w:eastAsia="Arial" w:hAnsi="Arial"/>
          <w:color w:val="666666"/>
          <w:sz w:val="28"/>
          <w:szCs w:val="28"/>
        </w:rPr>
        <w:t xml:space="preserve">Comprehensive QA Review &amp; Findings Report</w:t>
      </w:r>
    </w:p>
    <w:p>
      <w:pPr>
        <w:spacing w:after="400"/>
        <w:jc w:val="center"/>
      </w:pPr>
      <w:r>
        <w:rPr>
          <w:rFonts w:ascii="Arial" w:cs="Arial" w:eastAsia="Arial" w:hAnsi="Arial"/>
          <w:color w:val="999999"/>
          <w:sz w:val="22"/>
          <w:szCs w:val="22"/>
        </w:rPr>
        <w:t xml:space="preserve">April 7, 2026 — v1.0 Review</w:t>
      </w:r>
    </w:p>
    <w:p>
      <w:pPr>
        <w:pStyle w:val="Heading1"/>
      </w:pPr>
      <w:r>
        <w:t xml:space="preserve">Executive Summary</w:t>
      </w:r>
    </w:p>
    <w:p>
      <w:pPr>
        <w:spacing w:after="120"/>
      </w:pPr>
      <w:r>
        <w:t xml:space="preserve">A comprehensive review of the Capture Cost Model was conducted covering all 7 tabs (Summary, Model, Inputs, Cash Flow, Charts, Sensitivity, Batch, Assumptions), 11 CO2 capture sources, and cross-validation against 6 NETL reference targets. The core cost engine and NGCC sources are well-calibrated, but the recently added industrial sources show significant LCOC deviations that require data review.</w:t>
      </w:r>
    </w:p>
    <w:p>
      <w:pPr>
        <w:spacing w:after="200"/>
      </w:pPr>
      <w:r>
        <w:rPr>
          <w:b/>
          <w:bCs/>
        </w:rPr>
        <w:t xml:space="preserve">Bottom line: </w:t>
      </w:r>
      <w:r>
        <w:t xml:space="preserve">2 bugs, 3 warnings, 4 UI issues, and 4 of 6 validation targets failing (all industrial sources). NGCC F-frame matches to within 0.1%.</w:t>
      </w:r>
    </w:p>
    <w:p>
      <w:pPr>
        <w:pStyle w:val="Heading1"/>
      </w:pPr>
      <w:r>
        <w:t xml:space="preserve">LCOC Cross-Validation Results</w:t>
      </w:r>
    </w:p>
    <w:p>
      <w:pPr>
        <w:spacing w:after="120"/>
      </w:pPr>
      <w:r>
        <w:t xml:space="preserve">Each source tested at reference scale (sR = 1.0) with default NETL financial parameters, 85% CF, and the NETL Default scenario. Tolerance threshold: ±5% of plan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2760"/>
      </w:tblGrid>
      <w:tr>
        <w:tc>
          <w:tcPr>
            <w:tcW w:type="dxa" w:w="2200"/>
            <w:tcBorders>
              <w:top w:val="single" w:color="CCCCCC" w:sz="1"/>
              <w:left w:val="single" w:color="CCCCCC" w:sz="1"/>
              <w:bottom w:val="single" w:color="CCCCCC" w:sz="1"/>
              <w:right w:val="single" w:color="CCCCCC" w:sz="1"/>
            </w:tcBorders>
            <w:shd w:fill="58b947" w:val="clear"/>
            <w:tcMar>
              <w:top w:type="dxa" w:w="80"/>
              <w:left w:type="dxa" w:w="120"/>
              <w:bottom w:type="dxa" w:w="80"/>
              <w:right w:type="dxa" w:w="120"/>
            </w:tcMar>
          </w:tcPr>
          <w:p>
            <w:r>
              <w:rPr>
                <w:rFonts w:ascii="Arial" w:cs="Arial" w:eastAsia="Arial" w:hAnsi="Arial"/>
                <w:b/>
                <w:bCs/>
                <w:color w:val="FFFFFF"/>
                <w:sz w:val="20"/>
                <w:szCs w:val="20"/>
              </w:rPr>
              <w:t xml:space="preserve">Source / Case</w:t>
            </w:r>
          </w:p>
        </w:tc>
        <w:tc>
          <w:tcPr>
            <w:tcW w:type="dxa" w:w="1100"/>
            <w:tcBorders>
              <w:top w:val="single" w:color="CCCCCC" w:sz="1"/>
              <w:left w:val="single" w:color="CCCCCC" w:sz="1"/>
              <w:bottom w:val="single" w:color="CCCCCC" w:sz="1"/>
              <w:right w:val="single" w:color="CCCCCC" w:sz="1"/>
            </w:tcBorders>
            <w:shd w:fill="58b94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100"/>
            <w:tcBorders>
              <w:top w:val="single" w:color="CCCCCC" w:sz="1"/>
              <w:left w:val="single" w:color="CCCCCC" w:sz="1"/>
              <w:bottom w:val="single" w:color="CCCCCC" w:sz="1"/>
              <w:right w:val="single" w:color="CCCCCC" w:sz="1"/>
            </w:tcBorders>
            <w:shd w:fill="58b947"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100"/>
            <w:tcBorders>
              <w:top w:val="single" w:color="CCCCCC" w:sz="1"/>
              <w:left w:val="single" w:color="CCCCCC" w:sz="1"/>
              <w:bottom w:val="single" w:color="CCCCCC" w:sz="1"/>
              <w:right w:val="single" w:color="CCCCCC" w:sz="1"/>
            </w:tcBorders>
            <w:shd w:fill="58b947" w:val="clear"/>
            <w:tcMar>
              <w:top w:type="dxa" w:w="80"/>
              <w:left w:type="dxa" w:w="120"/>
              <w:bottom w:type="dxa" w:w="80"/>
              <w:right w:type="dxa" w:w="120"/>
            </w:tcMar>
          </w:tcPr>
          <w:p>
            <w:r>
              <w:rPr>
                <w:rFonts w:ascii="Arial" w:cs="Arial" w:eastAsia="Arial" w:hAnsi="Arial"/>
                <w:b/>
                <w:bCs/>
                <w:color w:val="FFFFFF"/>
                <w:sz w:val="20"/>
                <w:szCs w:val="20"/>
              </w:rPr>
              <w:t xml:space="preserve">Diff %</w:t>
            </w:r>
          </w:p>
        </w:tc>
        <w:tc>
          <w:tcPr>
            <w:tcW w:type="dxa" w:w="1100"/>
            <w:tcBorders>
              <w:top w:val="single" w:color="CCCCCC" w:sz="1"/>
              <w:left w:val="single" w:color="CCCCCC" w:sz="1"/>
              <w:bottom w:val="single" w:color="CCCCCC" w:sz="1"/>
              <w:right w:val="single" w:color="CCCCCC" w:sz="1"/>
            </w:tcBorders>
            <w:shd w:fill="58b94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58b94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NGCC F-frame RF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$61.74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8b947"/>
                <w:sz w:val="20"/>
                <w:szCs w:val="20"/>
              </w:rPr>
              <w:t xml:space="preserve">PASS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standard match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NGCC H-frame RF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8b947"/>
                <w:sz w:val="20"/>
                <w:szCs w:val="20"/>
              </w:rPr>
              <w:t xml:space="preserve">PASS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5% tolerance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Ammonia GF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$21.29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3a4b"/>
                <w:sz w:val="20"/>
                <w:szCs w:val="20"/>
              </w:rPr>
              <w:t xml:space="preserve">FAIL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cost high; missing consumables credit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EO GF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$34.97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3a4b"/>
                <w:sz w:val="20"/>
                <w:szCs w:val="20"/>
              </w:rPr>
              <w:t xml:space="preserve">FAIL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ref scale (103K tpy); O&amp;M dominates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Cement GF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$77.93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3a4b"/>
                <w:sz w:val="20"/>
                <w:szCs w:val="20"/>
              </w:rPr>
              <w:t xml:space="preserve">FAIL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$40/t vs expected ~$25; needs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Refinery H2 GF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3a4b"/>
                <w:sz w:val="20"/>
                <w:szCs w:val="20"/>
              </w:rPr>
              <w:t xml:space="preserve">FAIL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$50/t vs expected ~$28; ref_tpc_k suspect</w:t>
            </w:r>
          </w:p>
        </w:tc>
      </w:tr>
    </w:tbl>
    <w:p>
      <w:pPr>
        <w:spacing w:after="200" w:before="120"/>
      </w:pPr>
      <w:r>
        <w:rPr>
          <w:b/>
          <w:bCs/>
          <w:i/>
          <w:iCs/>
        </w:rPr>
        <w:t xml:space="preserve">Analysis: </w:t>
      </w:r>
      <w:r>
        <w:rPr>
          <w:i/>
          <w:iCs/>
        </w:rPr>
        <w:t xml:space="preserve">The NGCC sources pass because they were the original calibration targets. The industrial sources were added later via PDF data scraping and likely have incorrect ref_tpc_k values, different NETL exhibit interpretations, or are missing consumable cost offsets. The refinery_h2 and cement capital costs ($50/t and $40/t respectively) are roughly double the expected values, suggesting the ref_tpc_k may include base plant costs rather than capture-only equipment.</w:t>
      </w:r>
    </w:p>
    <w:p>
      <w:pPr>
        <w:pStyle w:val="Heading1"/>
      </w:pPr>
      <w:r>
        <w:t xml:space="preserve">Bugs &amp; Issues</w:t>
      </w:r>
    </w:p>
    <w:p>
      <w:pPr>
        <w:spacing w:after="120"/>
      </w:pPr>
      <w:r>
        <w:t xml:space="preserve">All issues found during testing, ranked by severity. Colors: </w:t>
      </w:r>
      <w:r>
        <w:rPr>
          <w:b/>
          <w:bCs/>
          <w:color w:val="b83a4b"/>
        </w:rPr>
        <w:t xml:space="preserve">BUG</w:t>
      </w:r>
      <w:r>
        <w:t xml:space="preserve"> = functional error, </w:t>
      </w:r>
      <w:r>
        <w:rPr>
          <w:b/>
          <w:bCs/>
          <w:color w:val="f68d2e"/>
        </w:rPr>
        <w:t xml:space="preserve">WARNING</w:t>
      </w:r>
      <w:r>
        <w:t xml:space="preserve"> = data concern, </w:t>
      </w:r>
      <w:r>
        <w:rPr>
          <w:b/>
          <w:bCs/>
          <w:color w:val="93348f"/>
        </w:rPr>
        <w:t xml:space="preserve">UI</w:t>
      </w:r>
      <w:r>
        <w:t xml:space="preserve"> = display issue, </w:t>
      </w:r>
      <w:r>
        <w:rPr>
          <w:b/>
          <w:bCs/>
          <w:color w:val="58a7af"/>
        </w:rPr>
        <w:t xml:space="preserve">PHASE 2</w:t>
      </w:r>
      <w:r>
        <w:t xml:space="preserve"> = known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560"/>
        <w:gridCol w:w="1500"/>
        <w:gridCol w:w="1500"/>
      </w:tblGrid>
      <w:tr>
        <w:tc>
          <w:tcPr>
            <w:tcW w:type="dxa" w:w="600"/>
            <w:tcBorders>
              <w:top w:val="single" w:color="CCCCCC" w:sz="1"/>
              <w:left w:val="single" w:color="CCCCCC" w:sz="1"/>
              <w:bottom w:val="single" w:color="CCCCCC" w:sz="1"/>
              <w:right w:val="single" w:color="CCCCCC" w:sz="1"/>
            </w:tcBorders>
            <w:shd w:fill="58b94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58b94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58b94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58b94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500"/>
            <w:tcBorders>
              <w:top w:val="single" w:color="CCCCCC" w:sz="1"/>
              <w:left w:val="single" w:color="CCCCCC" w:sz="1"/>
              <w:bottom w:val="single" w:color="CCCCCC" w:sz="1"/>
              <w:right w:val="single" w:color="CCCCCC" w:sz="1"/>
            </w:tcBorders>
            <w:shd w:fill="58b947"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3a4b"/>
                <w:sz w:val="20"/>
                <w:szCs w:val="20"/>
              </w:rPr>
              <w:t xml:space="preserve">BUG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Pulp &amp; Paper ref_mw_retrofit (13.52 MW) is defined but never used in calcLCOC. The power calculation falls through to ref_mw = 0 for retrofit builds, giving $0 power cost.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689-693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Underestimates RF power cost by ~$5-8/t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3a4b"/>
                <w:sz w:val="20"/>
                <w:szCs w:val="20"/>
              </w:rPr>
              <w:t xml:space="preserve">BUG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validateFacility() does not enforce gf_only (CTL, GTL) or rf_only (Steel) build type restrictions. Users can submit invalid combinations that produce incorrect LCOC.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1221-1241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 bad results in batch mode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68d2e"/>
                <w:sz w:val="20"/>
                <w:szCs w:val="20"/>
              </w:rPr>
              <w:t xml:space="preserve">WARNING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TPC line items sum does not match ref_tpc_k for some sources: refinery_h2 (0.75% off), cement (0.34% off), pulp_paper (1.24% off). Rounding or missing line items.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NETL_DEFAULTS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 TPC discrepancy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68d2e"/>
                <w:sz w:val="20"/>
                <w:szCs w:val="20"/>
              </w:rPr>
              <w:t xml:space="preserve">WARNING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 fallback to $0 fuel when ref_fuel_mmbtu_yr is missing for fuel-applicable sources. No warning shown to 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706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Could mask data errors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3348f"/>
                <w:sz w:val="20"/>
                <w:szCs w:val="20"/>
              </w:rPr>
              <w:t xml:space="preserve">UI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CAPEX pie chart uses generic category labels (e.g., 'Flue Gas Cleanup') for ALL sources, including HP sources like ammonia that have no flue gas equipment. Labels should be source-aware.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 Tab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Misleading chart labels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3348f"/>
                <w:sz w:val="20"/>
                <w:szCs w:val="20"/>
              </w:rPr>
              <w:t xml:space="preserve">UI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Assumptions tab Section 2 (Capital Costs) only shows 4 sources. Missing cement, refinery_h2, steel, pulp_paper, ethanol, NGP, CTL, GTL. Section 7 (Emission Factors) only shows 3 sources.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Assumptions Tab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Incomplete reference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3348f"/>
                <w:sz w:val="20"/>
                <w:szCs w:val="20"/>
              </w:rPr>
              <w:t xml:space="preserve">UI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Assumptions tab Section 4 shows 'Operators/shift (LP)' = 3.3, but LP sources (refinery_h2, cement, pulp_paper) use 2.3. The 3.3 value is NGCC-specific.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Assumptions Tab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Incorrect reference value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8a7af"/>
                <w:sz w:val="20"/>
                <w:szCs w:val="20"/>
              </w:rPr>
              <w:t xml:space="preserve">PHASE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O&amp;M consumables still $0 for all sources (Phase 2 TODO). Affects VOM accuracy by $1-5/t per source depending on amine/solvent usage.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682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Underestimates VOM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68d2e"/>
                <w:sz w:val="20"/>
                <w:szCs w:val="20"/>
              </w:rPr>
              <w:t xml:space="preserve">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Industrial source LCOC values (ammonia, EO, cement, refinery_h2) deviate 12-50% from plan validation targets. Root causes likely include: incorrect ref_tpc_k scraping, different NETL exhibit interpretation (GF-only vs. combined), and missing consumable offsets.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NETL_DEFAULTS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accuracy for non-NGCC</w:t>
            </w:r>
          </w:p>
        </w:tc>
      </w:tr>
    </w:tbl>
    <w:p>
      <w:pPr>
        <w:pStyle w:val="Heading1"/>
      </w:pPr>
      <w:r>
        <w:t xml:space="preserve">Tab-by-Tab Test Results</w:t>
      </w:r>
    </w:p>
    <w:p>
      <w:pPr>
        <w:pStyle w:val="Heading2"/>
      </w:pPr>
      <w:r>
        <w:t xml:space="preserve">Summary Tab — PASS</w:t>
      </w:r>
    </w:p>
    <w:p>
      <w:pPr>
        <w:spacing w:after="100"/>
      </w:pPr>
      <w:r>
        <w:t xml:space="preserve">All 11 sources cycled successfully. LCOC, CAPEX, OPEX, and IRR values display correctly. Status bar updates dynamically. Scenario badge shows correctly. The green top bar, BETA badge, and Enverus branding are all present.</w:t>
      </w:r>
    </w:p>
    <w:p>
      <w:pPr>
        <w:pStyle w:val="Heading2"/>
      </w:pPr>
      <w:r>
        <w:t xml:space="preserve">Model Tab — PASS (with notes)</w:t>
      </w:r>
    </w:p>
    <w:p>
      <w:pPr>
        <w:spacing w:after="100"/>
      </w:pPr>
      <w:r>
        <w:t xml:space="preserve">TPC line items display correctly with scaling factors. CAPEX and OPEX breakdowns render properly. The “View in Sensitivity Tab” button works. Minor note: TPC line item sums don’t exactly match ref_tpc_k for 3 sources (see Issue #3).</w:t>
      </w:r>
    </w:p>
    <w:p>
      <w:pPr>
        <w:pStyle w:val="Heading2"/>
      </w:pPr>
      <w:r>
        <w:t xml:space="preserve">Inputs Tab — PASS</w:t>
      </w:r>
    </w:p>
    <w:p>
      <w:pPr>
        <w:spacing w:after="100"/>
      </w:pPr>
      <w:r>
        <w:t xml:space="preserve">Scenario management (create, edit, delete) works. Editable TPC line items update LCOC in real time. Financial parameter inputs (WACC, debt/equity split, project life) all function correctly. Bidirectional production parameter calculation (Plant Capacity ↔ CO2 Produced ↔ CO2 Captured) works as designed after the earlier fix.</w:t>
      </w:r>
    </w:p>
    <w:p>
      <w:pPr>
        <w:pStyle w:val="Heading2"/>
      </w:pPr>
      <w:r>
        <w:t xml:space="preserve">Cash Flow Tab — PASS</w:t>
      </w:r>
    </w:p>
    <w:p>
      <w:pPr>
        <w:spacing w:after="100"/>
      </w:pPr>
      <w:r>
        <w:t xml:space="preserve">45Q credits apply correctly ($85/t for 12 years). MACRS 5-year depreciation schedule verified. Annual cash flow table populates all 30 years. NPV and IRR calculations display. Construction period handling appears correct.</w:t>
      </w:r>
    </w:p>
    <w:p>
      <w:pPr>
        <w:pStyle w:val="Heading2"/>
      </w:pPr>
      <w:r>
        <w:t xml:space="preserve">Charts Tab — PASS (with notes)</w:t>
      </w:r>
    </w:p>
    <w:p>
      <w:pPr>
        <w:spacing w:after="100"/>
      </w:pPr>
      <w:r>
        <w:t xml:space="preserve">LCOC waterfall bar chart renders correctly with Enverus color palette. CAPEX pie chart works but has misleading category labels for HP sources (see Issue #5). OPEX donut chart displays properly. Sensitivity tornado embedded in Charts tab functions.</w:t>
      </w:r>
    </w:p>
    <w:p>
      <w:pPr>
        <w:pStyle w:val="Heading2"/>
      </w:pPr>
      <w:r>
        <w:t xml:space="preserve">Sensitivity Tab — PASS</w:t>
      </w:r>
    </w:p>
    <w:p>
      <w:pPr>
        <w:spacing w:after="100"/>
      </w:pPr>
      <w:r>
        <w:t xml:space="preserve">Tornado chart renders all parameters correctly. Sweep direction verified: smaller plants = higher LCOC (correct). LCOC breakdown chart updates interactively on hover. Filter checkboxes (Financial, Operational, Energy, Cost) and Top-N slider work. Parameter table toggles correctly. Override baseline inputs function.</w:t>
      </w:r>
    </w:p>
    <w:p>
      <w:pPr>
        <w:pStyle w:val="Heading2"/>
      </w:pPr>
      <w:r>
        <w:t xml:space="preserve">Batch Tab — PASS (with notes)</w:t>
      </w:r>
    </w:p>
    <w:p>
      <w:pPr>
        <w:spacing w:after="100"/>
      </w:pPr>
      <w:r>
        <w:t xml:space="preserve">Manual facility entry works. Run Batch executes correctly and shows results table + bar chart. NGCC F-frame RF batch result ($61.74) matches single-source calculation exactly. CSV template download works. Export CSV works. Note: gf_only/rf_only validation missing (see Issue #2).</w:t>
      </w:r>
    </w:p>
    <w:p>
      <w:pPr>
        <w:pStyle w:val="Heading2"/>
      </w:pPr>
      <w:r>
        <w:t xml:space="preserve">Assumptions Tab — PASS (with notes)</w:t>
      </w:r>
    </w:p>
    <w:p>
      <w:pPr>
        <w:spacing w:after="100"/>
      </w:pPr>
      <w:r>
        <w:t xml:space="preserve">12 well-structured sections with proper NETL citations. Search filter works. Export PDF (window.print) works. Issues: Capital Costs table only shows 4 of 11 sources (Issue #6). Operators/shift value for LP sources is wrong (Issue #7). Energy prices section is comprehensive with state-level EIA rates, Henry Hub forward strip, and basis differentials.</w:t>
      </w:r>
    </w:p>
    <w:p>
      <w:pPr>
        <w:pStyle w:val="Heading1"/>
      </w:pPr>
      <w:r>
        <w:t xml:space="preserve">Recommended Next Steps</w:t>
      </w:r>
    </w:p>
    <w:p>
      <w:pPr>
        <w:pStyle w:val="ListParagraph"/>
        <w:numPr>
          <w:ilvl w:val="0"/>
          <w:numId w:val="2"/>
        </w:numPr>
        <w:spacing w:after="60"/>
      </w:pPr>
      <w:r>
        <w:rPr>
          <w:b/>
          <w:bCs/>
        </w:rPr>
        <w:t xml:space="preserve">Priority 1 — Fix ref_tpc_k for industrial sources. </w:t>
      </w:r>
      <w:r>
        <w:t xml:space="preserve">Cross-reference refinery_h2, cement, steel, and pulp_paper TPC values against NETL Exhibits 7-3 and 6-x to ensure capture-only equipment costs (not total plant). This is the #1 accuracy issue.</w:t>
      </w:r>
    </w:p>
    <w:p>
      <w:pPr>
        <w:pStyle w:val="ListParagraph"/>
        <w:numPr>
          <w:ilvl w:val="0"/>
          <w:numId w:val="2"/>
        </w:numPr>
        <w:spacing w:after="60"/>
      </w:pPr>
      <w:r>
        <w:rPr>
          <w:b/>
          <w:bCs/>
        </w:rPr>
        <w:t xml:space="preserve">Priority 2 — Fix pulp_paper retrofit power bug. </w:t>
      </w:r>
      <w:r>
        <w:t xml:space="preserve">Add logic to calcLCOC (line ~691) to use ref_mw_retrofit when build_type = RF and the field exists.</w:t>
      </w:r>
    </w:p>
    <w:p>
      <w:pPr>
        <w:pStyle w:val="ListParagraph"/>
        <w:numPr>
          <w:ilvl w:val="0"/>
          <w:numId w:val="2"/>
        </w:numPr>
        <w:spacing w:after="60"/>
      </w:pPr>
      <w:r>
        <w:rPr>
          <w:b/>
          <w:bCs/>
        </w:rPr>
        <w:t xml:space="preserve">Priority 3 — Add gf_only/rf_only validation to batch mode. </w:t>
      </w:r>
      <w:r>
        <w:t xml:space="preserve">Update validateFacility() to check NETL_DEFAULTS[source].gf_only and .rf_only against the submitted build_type.</w:t>
      </w:r>
    </w:p>
    <w:p>
      <w:pPr>
        <w:pStyle w:val="ListParagraph"/>
        <w:numPr>
          <w:ilvl w:val="0"/>
          <w:numId w:val="2"/>
        </w:numPr>
        <w:spacing w:after="60"/>
      </w:pPr>
      <w:r>
        <w:rPr>
          <w:b/>
          <w:bCs/>
        </w:rPr>
        <w:t xml:space="preserve">Priority 4 — Update Assumptions tab. </w:t>
      </w:r>
      <w:r>
        <w:t xml:space="preserve">Add all 11 sources to Capital Costs table (Section 2), expand Emission Factors (Section 7), and fix the LP operators/shift value from 3.3 to 2.3.</w:t>
      </w:r>
    </w:p>
    <w:p>
      <w:pPr>
        <w:pStyle w:val="ListParagraph"/>
        <w:numPr>
          <w:ilvl w:val="0"/>
          <w:numId w:val="2"/>
        </w:numPr>
        <w:spacing w:after="60"/>
      </w:pPr>
      <w:r>
        <w:rPr>
          <w:b/>
          <w:bCs/>
        </w:rPr>
        <w:t xml:space="preserve">Priority 5 — Source-aware chart labels. </w:t>
      </w:r>
      <w:r>
        <w:t xml:space="preserve">Map CAPEX pie chart categories to source-specific equipment names (e.g., “CO2 Compression” for HP sources instead of “Flue Gas Cleanup”).</w:t>
      </w:r>
    </w:p>
    <w:p>
      <w:pPr>
        <w:pStyle w:val="ListParagraph"/>
        <w:numPr>
          <w:ilvl w:val="0"/>
          <w:numId w:val="2"/>
        </w:numPr>
        <w:spacing w:after="200"/>
      </w:pPr>
      <w:r>
        <w:rPr>
          <w:b/>
          <w:bCs/>
        </w:rPr>
        <w:t xml:space="preserve">Phase 2 — Add consumables to Variable O&amp;M. </w:t>
      </w:r>
      <w:r>
        <w:t xml:space="preserve">Per-source consumable rates (amine makeup, caustic, water treatment chemicals) will add $1-5/t to VOM and improve accuracy.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8b947" w:sz="6" w:space="1"/>
      </w:pBdr>
      <w:tabs>
        <w:tab w:val="right" w:pos="9360"/>
      </w:tabs>
    </w:pPr>
    <w:r>
      <w:rPr>
        <w:rFonts w:ascii="Arial" w:cs="Arial" w:eastAsia="Arial" w:hAnsi="Arial"/>
        <w:color w:val="999999"/>
        <w:sz w:val="18"/>
        <w:szCs w:val="18"/>
      </w:rPr>
      <w:t xml:space="preserve">Capture Cost Model — QA Review</w:t>
    </w:r>
    <w:r>
      <w:rPr>
        <w:rFonts w:ascii="Arial" w:cs="Arial" w:eastAsia="Arial" w:hAnsi="Arial"/>
        <w:color w:val="999999"/>
        <w:sz w:val="18"/>
        <w:szCs w:val="18"/>
      </w:rPr>
      <w:t xml:space="preserve">	April 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2026-04-07T21:57:17.688Z</dcterms:created>
  <dcterms:modified xsi:type="dcterms:W3CDTF">2026-04-07T21:57:17.688Z</dcterms:modified>
</cp:coreProperties>
</file>

<file path=docProps/custom.xml><?xml version="1.0" encoding="utf-8"?>
<Properties xmlns="http://schemas.openxmlformats.org/officeDocument/2006/custom-properties" xmlns:vt="http://schemas.openxmlformats.org/officeDocument/2006/docPropsVTypes"/>
</file>