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8b947"/>
          <w:sz w:val="44"/>
          <w:szCs w:val="44"/>
        </w:rPr>
        <w:t xml:space="preserve">Capture Cost Model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Comprehensive Stress Test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7, 2026  |  112 automated tests  |  7 test categories</w:t>
      </w:r>
    </w:p>
    <w:p>
      <w:pPr>
        <w:pStyle w:val="Heading1"/>
      </w:pPr>
      <w: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input parameter was systematically varied across its valid range to verify that LCOC responds in the logically expected direction. The model was stress-tested with edge cases, boundary conditions, all 12 source types, scenario overrides, and build type toggling.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Results: </w:t>
      </w:r>
      <w:r>
        <w:rPr>
          <w:rFonts w:ascii="Arial" w:cs="Arial" w:eastAsia="Arial" w:hAnsi="Arial"/>
          <w:sz w:val="22"/>
          <w:szCs w:val="22"/>
        </w:rPr>
        <w:t xml:space="preserve">98 PASS, 1 CRASH, 5 BROKEN sensitivity parameters. </w:t>
      </w:r>
      <w:r>
        <w:rPr>
          <w:rFonts w:ascii="Arial" w:cs="Arial" w:eastAsia="Arial" w:hAnsi="Arial"/>
          <w:sz w:val="22"/>
          <w:szCs w:val="22"/>
        </w:rPr>
        <w:t xml:space="preserve">The core cost engine is mathematically sound. The critical finding is that 5 of 15 sensitivity parameters (owners_cost_pct, maint_labor_pct, maint_material_pct, pti_pct, tpc_scale) are passed as inputs but never read by calcLCOC — making their tornado chart bars fake zeros.</w:t>
      </w:r>
    </w:p>
    <w:p>
      <w:pPr>
        <w:pStyle w:val="Heading1"/>
      </w:pPr>
      <w:r>
        <w:t xml:space="preserve">Critical Bugs Found</w:t>
      </w:r>
    </w:p>
    <w:p>
      <w:pPr>
        <w:pStyle w:val="Heading2"/>
      </w:pPr>
      <w:r>
        <w:t xml:space="preserve">BUG 1: Five Sensitivity Parameters Are Dead Code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83a4b"/>
          <w:sz w:val="22"/>
          <w:szCs w:val="22"/>
        </w:rPr>
        <w:t xml:space="preserve">Severity: HIGH. </w:t>
      </w:r>
      <w:r>
        <w:rPr>
          <w:rFonts w:ascii="Arial" w:cs="Arial" w:eastAsia="Arial" w:hAnsi="Arial"/>
          <w:sz w:val="22"/>
          <w:szCs w:val="22"/>
        </w:rPr>
        <w:t xml:space="preserve">The sensitivity sweep passes owners_cost_pct, maint_labor_pct, maint_material_pct, pti_pct, and tpc_scale_override as inputs to calcLCOC. But calcLCOC never reads these from the inputs object — it reads them from getParam() or GLOBAL_DEFAULTS instead. Result: the tornado chart shows zero-swing bars (which get filtered out), and these parameters appear to have no effect. In reality, they should be the 6th–10th most impactful parameters.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calcLCOC line 623 reads owners_cost_pct from getParam(src, key, scenario), not from inputs. Lines 659, 680, 673 read maint rates from GLOBAL_DEFAULTS. The sensitivity sweep’s buildSweepInputs() sets these on the inputs object, but calcLCOC ignores them.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inputs.owners_cost_pct ?? before getParam() on line 623. Add inputs.maint_labor_pct ?? before GLOBAL_DEFAULTS on lines 659, 680, 673. Add inputs.tpc_scale_override multiplier to scaled_tpc_k calculation.</w:t>
      </w:r>
    </w:p>
    <w:p>
      <w:pPr>
        <w:pStyle w:val="Heading2"/>
      </w:pPr>
      <w:r>
        <w:t xml:space="preserve">BUG 2: Invalid Source Crashes Without Error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68d2e"/>
          <w:sz w:val="22"/>
          <w:szCs w:val="22"/>
        </w:rPr>
        <w:t xml:space="preserve">Severity: MEDIUM. </w:t>
      </w:r>
      <w:r>
        <w:rPr>
          <w:rFonts w:ascii="Arial" w:cs="Arial" w:eastAsia="Arial" w:hAnsi="Arial"/>
          <w:sz w:val="22"/>
          <w:szCs w:val="22"/>
        </w:rPr>
        <w:t xml:space="preserve">Passing an invalid source (e.g., ‘xxx’) to calcLCOC causes an unhandled TypeError: ‘Cannot read properties of undefined (reading reduce)’. There is no validation of the source key before accessing NETL_DEFAULTS[source]. This could crash batch mode if a CSV has a typo.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source validation at the top of calcLCOC: if (!NETL_DEFAULTS[inputs.source]) return { lcoc: 0, ..., errors: [‘Invalid source’] }</w:t>
      </w:r>
    </w:p>
    <w:p>
      <w:pPr>
        <w:pStyle w:val="Heading2"/>
      </w:pPr>
      <w:r>
        <w:t xml:space="preserve">BUG 3: CF Has Near-Zero Sensitivity Swing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8a7af"/>
          <w:sz w:val="22"/>
          <w:szCs w:val="22"/>
        </w:rPr>
        <w:t xml:space="preserve">Severity: LOW (design issue). </w:t>
      </w:r>
      <w:r>
        <w:rPr>
          <w:rFonts w:ascii="Arial" w:cs="Arial" w:eastAsia="Arial" w:hAnsi="Arial"/>
          <w:sz w:val="22"/>
          <w:szCs w:val="22"/>
        </w:rPr>
        <w:t xml:space="preserve">The capacity factor sensitivity swing is only $0.04 (effectively zero) for NGCC because the LCOC curve is U-shaped — capital savings from higher CF are offset by higher power costs. The sweep adjusts co2_capture_tpy correctly, but the net effect is near-zero at the NGCC operating point. For HP sources where power is a smaller fraction, CF sensitivity would be larger. This is economically correct but counterintuitive and may confuse users.</w:t>
      </w:r>
    </w:p>
    <w:p>
      <w:r>
        <w:br w:type="page"/>
      </w:r>
    </w:p>
    <w:p>
      <w:pPr>
        <w:pStyle w:val="Heading1"/>
      </w:pPr>
      <w:r>
        <w:t xml:space="preserve">Sensitivity Parameter Verification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of the 15 sensitivity parameters was swept across its defined range. The table below shows the total LCOC swing (|highLCOC − lowLCOC|) and whether the sweep actually affects calcLCOC.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300"/>
        <w:gridCol w:w="13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owners_cost_pct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Owner’s Cost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a4b"/>
                <w:sz w:val="18"/>
                <w:szCs w:val="18"/>
              </w:rPr>
              <w:t xml:space="preserve">BROKEN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getParam() only — inputs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maint_labor_pct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Labor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a4b"/>
                <w:sz w:val="18"/>
                <w:szCs w:val="18"/>
              </w:rPr>
              <w:t xml:space="preserve">BROKEN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GLOBAL_DEFAULTS only — inputs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maint_material_pct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Material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a4b"/>
                <w:sz w:val="18"/>
                <w:szCs w:val="18"/>
              </w:rPr>
              <w:t xml:space="preserve">BROKEN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GLOBAL_DEFAULTS only — inputs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pti_pct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PT&amp;I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a4b"/>
                <w:sz w:val="18"/>
                <w:szCs w:val="18"/>
              </w:rPr>
              <w:t xml:space="preserve">BROKEN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GLOBAL_DEFAULTS only — inputs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tpc_scale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TPC (Capital Cost)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a4b"/>
                <w:sz w:val="18"/>
                <w:szCs w:val="18"/>
              </w:rPr>
              <w:t xml:space="preserve">BROKEN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tpc_scale_override never 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cost_of_equity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of Equity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$8.34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plant_capacity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Capacity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$22.72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Electricity 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$8.71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 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project_life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Life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cost_of_debt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of Debt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$0.54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capacity_factor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Factor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Near-zero swing — see CF analysis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b83a4b"/>
          <w:sz w:val="22"/>
          <w:szCs w:val="22"/>
        </w:rPr>
        <w:t xml:space="preserve">5 of 15 parameters (33%) produce zero swing. </w:t>
      </w:r>
      <w:r>
        <w:rPr>
          <w:rFonts w:ascii="Arial" w:cs="Arial" w:eastAsia="Arial" w:hAnsi="Arial"/>
          <w:sz w:val="22"/>
          <w:szCs w:val="22"/>
        </w:rPr>
        <w:t xml:space="preserve">These bars are silently filtered from the tornado chart (threshold ≥0.01), so users never see them — but they should be among the most impactful parameters.</w:t>
      </w:r>
    </w:p>
    <w:p>
      <w:pPr>
        <w:pStyle w:val="Heading1"/>
      </w:pPr>
      <w:r>
        <w:t xml:space="preserve">Directional Response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tests use NGCC F-frame RF as the baseline ($61.74/t). Each parameter is moved in one direction and the LCOC response verified against economic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600"/>
        <w:gridCol w:w="6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 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of Equity 12% → 16%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$66.04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equity cost → higher WACC → higher capital/t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of Equity 12% → 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$57.70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equity cost → lower WACC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 % 50% → 70%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$58.51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cheap debt → lower WACC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 % 50% → 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$66.89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 debt → higher WACC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of Debt 5.15% → 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$64.13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debt cost → higher WACC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of Debt 5.15% → 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$59.99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debt cost → lower WACC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Life 30 → 15yr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$68.71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Shorter life → higher annuity 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Life 30 → 40yr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$60.51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Longer life → lower annuity factor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Rate 21% → 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$60.99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tax → bigger debt shield → lower WACC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Rate 21% → 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$62.34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tax → smaller debt shield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1x → 2x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$52.53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Larger plant → economies of scale (0.6 exp)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1x → 0.5x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$75.25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Smaller plant → diseconomies of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1x → 0.1x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$162.52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 plant → Tier A with cost floors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 1x → 5x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$44.51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Huge plant → Tier C train-based scaling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 $66.5 → $120/MWh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$82.82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electricity → more power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 $66.5 → $30/MWh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$47.62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electricity → less power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$4.42 → $8/MMBtu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$72.47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gas → more fuel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 $4.42 → $2/MMBtu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$55.77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gas → less fuel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1.0 → 1.3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$70.73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expensive region → higher TPC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1.0 → 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$55.75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Cheaper region → lower TPC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 → RF (RDF=1.09)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$59.27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Retrofit adds 9% capital premium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58b947"/>
          <w:sz w:val="22"/>
          <w:szCs w:val="22"/>
        </w:rPr>
        <w:t xml:space="preserve">21 of 21 directional tests PASS. </w:t>
      </w:r>
      <w:r>
        <w:rPr>
          <w:rFonts w:ascii="Arial" w:cs="Arial" w:eastAsia="Arial" w:hAnsi="Arial"/>
          <w:sz w:val="22"/>
          <w:szCs w:val="22"/>
        </w:rPr>
        <w:t xml:space="preserve">Every working parameter moves LCOC in the economically correct direction.</w:t>
      </w:r>
    </w:p>
    <w:p>
      <w:r>
        <w:br w:type="page"/>
      </w:r>
    </w:p>
    <w:p>
      <w:pPr>
        <w:pStyle w:val="Heading1"/>
      </w:pPr>
      <w:r>
        <w:t xml:space="preserve">Capacity Factor Deep Dive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NGCC F-frame RF tested across CF 50–100% with CO2 properly adjusted (co2 = ref × CF/0.85). The LCOC curve is U-shaped with a minimum near CF=80%.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100"/>
        <w:gridCol w:w="1100"/>
        <w:gridCol w:w="1100"/>
        <w:gridCol w:w="1100"/>
        <w:gridCol w:w="1100"/>
        <w:gridCol w:w="1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CO2 t/yr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LCOC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1,717,647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$64.67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$27.43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 dominates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2,061,176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$62.92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$25.51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$12.29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2,404,706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$62.04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$23.99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$13.83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2,748,235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$22.75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MINIMUM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2,920,000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$22.21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$16.79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3,091,765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$61.83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$21.71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$17.78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3,263,529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$62.00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$21.25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$18.76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3,435,294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$62.23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$20.82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$8.80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dominates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the U-shape: </w:t>
      </w:r>
      <w:r>
        <w:rPr>
          <w:rFonts w:ascii="Arial" w:cs="Arial" w:eastAsia="Arial" w:hAnsi="Arial"/>
          <w:sz w:val="22"/>
          <w:szCs w:val="22"/>
        </w:rPr>
        <w:t xml:space="preserve">At low CF, fixed costs (capital, FOM) dominate and LCOC is high. As CF rises, these fixed costs are spread over more tonnes, lowering LCOC. But power cost/t scales linearly with CF (more operating hours = more electricity per tonne). For NGCC where power is 27% of LCOC, the power effect eventually dominates, and LCOC rises again above ~80% CF.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Implication: </w:t>
      </w:r>
      <w:r>
        <w:rPr>
          <w:rFonts w:ascii="Arial" w:cs="Arial" w:eastAsia="Arial" w:hAnsi="Arial"/>
          <w:sz w:val="22"/>
          <w:szCs w:val="22"/>
        </w:rPr>
        <w:t xml:space="preserve">The optimal CF for minimum LCOC is source-dependent. For capital-heavy sources (industrial), higher CF always helps. For power-heavy sources (NGCC), the optimum is near 75–85%. This is economically correct but the flat sensitivity near 85% makes the tornado bar misleading.</w:t>
      </w:r>
    </w:p>
    <w:p>
      <w:pPr>
        <w:pStyle w:val="Heading1"/>
      </w:pPr>
      <w:r>
        <w:t xml:space="preserve">Edge Case &amp; Boundary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Extreme and invalid inputs tested to verify the model fails gracefully or produces reasonable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8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CO2 captured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0 with error 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CO2 (-100K)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0 with error 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 CO2 (1 t/yr)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$2.47M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 but finite; sR=2.4×10⁻⁶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 CO2 (100M t/yr)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$42.89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C with warning ‘sR 34.2 outside validated range’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project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0 with error 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project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0 with error 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100yr project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$20.27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Annuity factor approaches perpetuity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debt financing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$54.06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WACC=4.07% (after-tax debt cost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 debt (all equity)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$70.47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WACC=12.00% (full equity cost)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 $500/MWh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$171.18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Power=$126.22/t dominates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 $0/MWh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$44.95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Power=$0.00/t correctly zeroed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of equity 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$50.71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WACC=2.03% (debt cost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source ‘xxx’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3a4b"/>
                <w:sz w:val="18"/>
                <w:szCs w:val="18"/>
              </w:rPr>
              <w:t xml:space="preserve">FAIL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Unhandled TypeError — no graceful 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build_type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$21.29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Defaults to GF (RDF=1.0)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A/B boundary (0.3x)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$32.18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sR=0.300, assigned Tier B (correct ≥ boundary)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B/C boundary (3.0x)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sR=3.000, Tier B (≤ boundary)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 into Tier C (3.01x)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b947"/>
                <w:sz w:val="18"/>
                <w:szCs w:val="18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C; $0.17 discontinuity at boundary</w:t>
            </w:r>
          </w:p>
        </w:tc>
      </w:tr>
    </w:tbl>
    <w:p>
      <w:pPr>
        <w:spacing w:after="200" w:before="100"/>
      </w:pPr>
      <w:r>
        <w:rPr>
          <w:rFonts w:ascii="Arial" w:cs="Arial" w:eastAsia="Arial" w:hAnsi="Arial"/>
          <w:b/>
          <w:bCs/>
          <w:color w:val="58b947"/>
          <w:sz w:val="22"/>
          <w:szCs w:val="22"/>
        </w:rPr>
        <w:t xml:space="preserve">16 of 17 edge cases PASS. </w:t>
      </w:r>
      <w:r>
        <w:rPr>
          <w:rFonts w:ascii="Arial" w:cs="Arial" w:eastAsia="Arial" w:hAnsi="Arial"/>
          <w:sz w:val="22"/>
          <w:szCs w:val="22"/>
        </w:rPr>
        <w:t xml:space="preserve">Only the invalid source test crashes (BUG 2). Tier boundary at sR=3.0 has a $0.17 discontinuity from the 0.93 learning factor in Tier C — acceptable for a methodological transition.</w:t>
      </w:r>
    </w:p>
    <w:p>
      <w:r>
        <w:br w:type="page"/>
      </w:r>
    </w:p>
    <w:p>
      <w:pPr>
        <w:pStyle w:val="Heading1"/>
      </w:pPr>
      <w:r>
        <w:t xml:space="preserve">Cross-Source Consistency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12 sources at reference scale (sR=1.0, GF build). Verifying relative cost rankings and component distributions are sensible.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900"/>
        <w:gridCol w:w="900"/>
        <w:gridCol w:w="900"/>
        <w:gridCol w:w="900"/>
        <w:gridCol w:w="900"/>
        <w:gridCol w:w="900"/>
        <w:gridCol w:w="900"/>
        <w:gridCol w:w="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b9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Ammonia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$21.29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$34.97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$17.85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Ethanol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$38.25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$7.49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$19.32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$5.49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$6.49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Refinery H2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$86.23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$6.46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$10.32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$77.93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$71.70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$35.88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$15.66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Pulp &amp; Paper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$65.07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$47.73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$13.33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NGCC 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$59.27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$20.38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$9.29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$16.79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NGCC 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$53.43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$20.37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$16.41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$5.94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HP sources ($6–$38/t) are consistently cheaper than LP sources ($53–$86/t) — correct, as HP only needs compression.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CTL ($6.49) and GTL ($7.45) are the cheapest — correct, as they have massive CO2 streams (7.4M and 1.6M t/yr) with simple compression.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HP sources have $0 fuel — correct, no NG boiler needed for compression-only.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Pulp &amp; Paper has $0 power — correct for GF (recovery boiler provides steam/power), but confirms BUG from prior QA review: RF should use ref_mw_retrofit=13.52 MW.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NGCC H ($53.43) cheaper than NGCC F ($59.27) at reference scale — correct, H-frame is a larger, more efficient unit.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Refinery H2 ($86.23) has the highest LCOC, driven by $50/t capital cost — flagged in prior QA review as likely incorrect ref_tpc_k data.</w:t>
      </w:r>
    </w:p>
    <w:p>
      <w:pPr>
        <w:pStyle w:val="Heading1"/>
      </w:pPr>
      <w:r>
        <w:t xml:space="preserve">Scenario Override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7 scenario override tests PASS. Verified: scenario overrides beat direct inputs (correct precedence), overrides for one source don’t leak to others, empty/null scenarios default to NETL values without crashing.</w:t>
      </w:r>
    </w:p>
    <w:p>
      <w:pPr>
        <w:pStyle w:val="Heading1"/>
      </w:pPr>
      <w:r>
        <w:t xml:space="preserve">Build Type (GF vs RF)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12 sources tested with both GF and RF. RF always costs ≥ GF (RDF ≥ 1.0). NGCC sources have the largest RF premium (+$2.47/t for F-frame, RDF=1.09). HP sources have minimal RF premium (+$0.13–$0.26, RDF=1.01). CTL/GTL have RDF=1.00 (gf_only — no domestic plants for retrofit). calcLCOC does not enforce gf_only/rf_only restrictions; enforcement is UI-side only, creating a batch mode gap.</w:t>
      </w:r>
    </w:p>
    <w:p>
      <w:r>
        <w:br w:type="page"/>
      </w:r>
    </w:p>
    <w:p>
      <w:pPr>
        <w:pStyle w:val="Heading1"/>
      </w:pPr>
      <w:r>
        <w:t xml:space="preserve">Summary of All Findings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b83a4b"/>
          <w:sz w:val="22"/>
          <w:szCs w:val="22"/>
        </w:rPr>
        <w:t xml:space="preserve">CRITICAL — 5 dead sensitivity parameters: </w:t>
      </w:r>
      <w:r>
        <w:rPr>
          <w:rFonts w:ascii="Arial" w:cs="Arial" w:eastAsia="Arial" w:hAnsi="Arial"/>
          <w:sz w:val="22"/>
          <w:szCs w:val="22"/>
        </w:rPr>
        <w:t xml:space="preserve">owners_cost_pct, maint_labor_pct, maint_material_pct, pti_pct, and tpc_scale_override are passed to calcLCOC but never read. Their tornado bars are silently filtered as zero-swing.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f68d2e"/>
          <w:sz w:val="22"/>
          <w:szCs w:val="22"/>
        </w:rPr>
        <w:t xml:space="preserve">MEDIUM — Invalid source crashes calcLCOC: </w:t>
      </w:r>
      <w:r>
        <w:rPr>
          <w:rFonts w:ascii="Arial" w:cs="Arial" w:eastAsia="Arial" w:hAnsi="Arial"/>
          <w:sz w:val="22"/>
          <w:szCs w:val="22"/>
        </w:rPr>
        <w:t xml:space="preserve">No validation of the source key before accessing NETL_DEFAULTS. Crashes batch mode on typos.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58a7af"/>
          <w:sz w:val="22"/>
          <w:szCs w:val="22"/>
        </w:rPr>
        <w:t xml:space="preserve">LOW — CF sensitivity near-zero for NGCC: </w:t>
      </w:r>
      <w:r>
        <w:rPr>
          <w:rFonts w:ascii="Arial" w:cs="Arial" w:eastAsia="Arial" w:hAnsi="Arial"/>
          <w:sz w:val="22"/>
          <w:szCs w:val="22"/>
        </w:rPr>
        <w:t xml:space="preserve">The U-shaped LCOC/CF curve has its minimum near the reference 85% CF, so the tornado bar shows effectively no swing. Economically correct but surprising.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58b947"/>
          <w:sz w:val="22"/>
          <w:szCs w:val="22"/>
        </w:rPr>
        <w:t xml:space="preserve">PASS — Core engine directional responses: </w:t>
      </w:r>
      <w:r>
        <w:rPr>
          <w:rFonts w:ascii="Arial" w:cs="Arial" w:eastAsia="Arial" w:hAnsi="Arial"/>
          <w:sz w:val="22"/>
          <w:szCs w:val="22"/>
        </w:rPr>
        <w:t xml:space="preserve">All 21 parameter direction tests pass. Every working parameter moves LCOC the right 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58b947"/>
          <w:sz w:val="22"/>
          <w:szCs w:val="22"/>
        </w:rPr>
        <w:t xml:space="preserve">PASS — Edge cases handled: </w:t>
      </w:r>
      <w:r>
        <w:rPr>
          <w:rFonts w:ascii="Arial" w:cs="Arial" w:eastAsia="Arial" w:hAnsi="Arial"/>
          <w:sz w:val="22"/>
          <w:szCs w:val="22"/>
        </w:rPr>
        <w:t xml:space="preserve">16 of 17 edge cases pass. Zero/negative inputs properly rejected. Extreme scales produce finite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58b947"/>
          <w:sz w:val="22"/>
          <w:szCs w:val="22"/>
        </w:rPr>
        <w:t xml:space="preserve">PASS — Scenario overrides: </w:t>
      </w:r>
      <w:r>
        <w:rPr>
          <w:rFonts w:ascii="Arial" w:cs="Arial" w:eastAsia="Arial" w:hAnsi="Arial"/>
          <w:sz w:val="22"/>
          <w:szCs w:val="22"/>
        </w:rPr>
        <w:t xml:space="preserve">7/7 pass. Correct precedence (scenario &gt; inputs &gt; NETL &gt; global). No cross-source leakage.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color w:val="58b947"/>
          <w:sz w:val="22"/>
          <w:szCs w:val="22"/>
        </w:rPr>
        <w:t xml:space="preserve">PASS — Cross-source consistency: </w:t>
      </w:r>
      <w:r>
        <w:rPr>
          <w:rFonts w:ascii="Arial" w:cs="Arial" w:eastAsia="Arial" w:hAnsi="Arial"/>
          <w:sz w:val="22"/>
          <w:szCs w:val="22"/>
        </w:rPr>
        <w:t xml:space="preserve">All 36 consistency checks pass. HP &lt; LP cost ordering correct. Fuel flags correct. sR=1.0 at reference for all sources.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b947" w:sz="6" w:space="1"/>
      </w:pBdr>
      <w:tabs>
        <w:tab w:val="right" w:pos="10080"/>
      </w:tabs>
    </w:pPr>
    <w:r>
      <w:rPr>
        <w:rFonts w:ascii="Arial" w:cs="Arial" w:eastAsia="Arial" w:hAnsi="Arial"/>
        <w:color w:val="999999"/>
        <w:sz w:val="18"/>
        <w:szCs w:val="18"/>
      </w:rPr>
      <w:t xml:space="preserve">Capture Cost Model — Stress Test Report</w:t>
    </w:r>
    <w:r>
      <w:rPr>
        <w:rFonts w:ascii="Arial" w:cs="Arial" w:eastAsia="Arial" w:hAnsi="Arial"/>
        <w:color w:val="999999"/>
        <w:sz w:val="18"/>
        <w:szCs w:val="18"/>
      </w:rPr>
      <w:t xml:space="preserve">	April 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2026-04-07T22:22:22.029Z</dcterms:created>
  <dcterms:modified xsi:type="dcterms:W3CDTF">2026-04-07T22:22:22.029Z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