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rFonts w:ascii="Arial" w:cs="Arial" w:eastAsia="Arial" w:hAnsi="Arial"/>
          <w:b/>
          <w:bCs/>
          <w:color w:val="1B6B4A"/>
          <w:sz w:val="52"/>
          <w:szCs w:val="52"/>
        </w:rPr>
        <w:t xml:space="preserve">CARBON CAPTURE</w:t>
      </w:r>
    </w:p>
    <w:p>
      <w:pPr>
        <w:spacing w:after="160"/>
        <w:jc w:val="center"/>
      </w:pPr>
      <w:r>
        <w:rPr>
          <w:rFonts w:ascii="Arial" w:cs="Arial" w:eastAsia="Arial" w:hAnsi="Arial"/>
          <w:b/>
          <w:bCs/>
          <w:color w:val="1A1A2E"/>
          <w:sz w:val="52"/>
          <w:szCs w:val="52"/>
        </w:rPr>
        <w:t xml:space="preserve">TECHNO-ECONOMIC MODEL</w:t>
      </w:r>
    </w:p>
    <w:p>
      <w:pPr>
        <w:spacing w:after="400"/>
        <w:jc w:val="center"/>
      </w:pPr>
      <w:r>
        <w:rPr>
          <w:rFonts w:ascii="Arial" w:cs="Arial" w:eastAsia="Arial" w:hAnsi="Arial"/>
          <w:i/>
          <w:iCs/>
          <w:color w:val="666666"/>
          <w:sz w:val="28"/>
          <w:szCs w:val="28"/>
        </w:rPr>
        <w:t xml:space="preserve">Comprehensive Model Architecture &amp; Calculation Plan</w:t>
      </w:r>
    </w:p>
    <w:p>
      <w:pPr>
        <w:spacing w:after="120"/>
        <w:jc w:val="center"/>
      </w:pPr>
      <w:r>
        <w:rPr>
          <w:rFonts w:ascii="Arial" w:cs="Arial" w:eastAsia="Arial" w:hAnsi="Arial"/>
          <w:b/>
          <w:bCs/>
          <w:color w:val="2D5B9E"/>
          <w:sz w:val="24"/>
          <w:szCs w:val="24"/>
        </w:rPr>
        <w:t xml:space="preserve">DRAFT v2.0 — For Review</w:t>
      </w:r>
    </w:p>
    <w:p>
      <w:pPr>
        <w:spacing w:after="120"/>
        <w:jc w:val="center"/>
      </w:pPr>
      <w:r>
        <w:rPr>
          <w:rFonts w:ascii="Arial" w:cs="Arial" w:eastAsia="Arial" w:hAnsi="Arial"/>
          <w:color w:val="666666"/>
          <w:sz w:val="22"/>
          <w:szCs w:val="22"/>
        </w:rPr>
        <w:t xml:space="preserve">March 2026</w:t>
      </w:r>
    </w:p>
    <w:p>
      <w:pPr>
        <w:spacing w:after="200"/>
        <w:jc w:val="center"/>
      </w:pPr>
      <w:r>
        <w:rPr>
          <w:rFonts w:ascii="Arial" w:cs="Arial" w:eastAsia="Arial" w:hAnsi="Arial"/>
          <w:color w:val="666666"/>
          <w:sz w:val="18"/>
          <w:szCs w:val="18"/>
        </w:rPr>
        <w:t xml:space="preserve">Incorporates: Existing model architecture, granular BEC equipment-level costing,
SMR/ATR reformer toggle, capture scope options, urea diversion, back-solve logic,
dynamic tooltips, and complete reference source library.</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0" w:after="240"/>
      </w:pPr>
      <w:r>
        <w:rPr>
          <w:rFonts w:ascii="Arial" w:cs="Arial" w:eastAsia="Arial" w:hAnsi="Arial"/>
          <w:b/>
          <w:bCs/>
          <w:color w:val="1B6B4A"/>
          <w:sz w:val="32"/>
          <w:szCs w:val="32"/>
        </w:rPr>
        <w:t>Table of Contents</w:t>
      </w:r>
    </w:p>
    <w:p>
      <w:pPr>
        <w:spacing w:after="240"/>
      </w:pPr>
      <w:fldSimple w:instr=" TOC \o &quot;1-3&quot; \h \z \u ">
        <w:r>
          <w:rPr>
            <w:rFonts w:ascii="Arial" w:cs="Arial" w:hAnsi="Arial"/>
            <w:color w:val="444444"/>
            <w:sz w:val="20"/>
            <w:szCs w:val="20"/>
          </w:rPr>
          <w:t>Right-click this text in Word and select “Update Field” to generate the Table of Contents.</w:t>
        </w:r>
      </w:fldSimple>
    </w:p>
    <w:p>
      <w:r>
        <w:br w:type="page"/>
      </w:r>
    </w:p>
    <w:p>
      <w:pPr>
        <w:pStyle w:val="Heading1"/>
        <w:spacing w:before="360" w:after="160"/>
      </w:pPr>
      <w:r>
        <w:rPr>
          <w:rFonts w:ascii="Arial" w:cs="Arial" w:eastAsia="Arial" w:hAnsi="Arial"/>
          <w:b/>
          <w:bCs/>
          <w:color w:val="1B6B4A"/>
          <w:sz w:val="32"/>
          <w:szCs w:val="32"/>
        </w:rPr>
        <w:t xml:space="preserve">1. Model Overview</w:t>
      </w:r>
    </w:p>
    <w:p>
      <w:pPr>
        <w:pStyle w:val="Heading2"/>
        <w:spacing w:before="240" w:after="140"/>
      </w:pPr>
      <w:r>
        <w:rPr>
          <w:rFonts w:ascii="Arial" w:cs="Arial" w:eastAsia="Arial" w:hAnsi="Arial"/>
          <w:b/>
          <w:bCs/>
          <w:color w:val="1A1A2E"/>
          <w:sz w:val="26"/>
          <w:szCs w:val="26"/>
        </w:rPr>
        <w:t xml:space="preserve">1.1 Purpose</w:t>
      </w:r>
    </w:p>
    <w:p>
      <w:pPr>
        <w:spacing w:after="120"/>
      </w:pPr>
      <w:r>
        <w:rPr>
          <w:rFonts w:ascii="Arial" w:cs="Arial" w:eastAsia="Arial" w:hAnsi="Arial"/>
          <w:color w:val="333333"/>
          <w:sz w:val="22"/>
          <w:szCs w:val="22"/>
        </w:rPr>
        <w:t xml:space="preserve">This model estimates the cost of adding CO₂ capture to a project. The primary output is a Levelized Cost of CO₂ Captured (LCOC) broken into five components, with supporting financial analysis including breakeven pricing, NPV, and IRR. The model covers U.S. industrial sources, power plants, and carbon dioxide removal (CDR) pathways.</w:t>
      </w:r>
    </w:p>
    <w:p>
      <w:pPr>
        <w:pStyle w:val="Heading2"/>
        <w:spacing w:before="240" w:after="140"/>
      </w:pPr>
      <w:r>
        <w:rPr>
          <w:rFonts w:ascii="Arial" w:cs="Arial" w:eastAsia="Arial" w:hAnsi="Arial"/>
          <w:b/>
          <w:bCs/>
          <w:color w:val="1A1A2E"/>
          <w:sz w:val="26"/>
          <w:szCs w:val="26"/>
        </w:rPr>
        <w:t xml:space="preserve">1.2 Key Output: LCOC</w:t>
      </w:r>
    </w:p>
    <w:p>
      <w:pPr>
        <w:spacing w:after="120"/>
      </w:pPr>
      <w:r>
        <w:rPr>
          <w:rFonts w:ascii="Arial" w:cs="Arial" w:eastAsia="Arial" w:hAnsi="Arial"/>
          <w:color w:val="333333"/>
          <w:sz w:val="22"/>
          <w:szCs w:val="22"/>
        </w:rPr>
        <w:t xml:space="preserve">The Levelized Cost of CO₂ Captured is the central metric, expressed as:</w:t>
      </w:r>
    </w:p>
    <w:p>
      <w:pPr>
        <w:spacing w:after="80"/>
        <w:jc w:val="center"/>
      </w:pPr>
      <w:r>
        <w:rPr>
          <w:rFonts w:ascii="Arial" w:cs="Arial" w:eastAsia="Arial" w:hAnsi="Arial"/>
          <w:b/>
          <w:bCs/>
          <w:color w:val="1B6B4A"/>
          <w:sz w:val="22"/>
          <w:szCs w:val="22"/>
        </w:rPr>
        <w:t xml:space="preserve">LCOC = Capital Cost + Fixed O&amp;M + Variable O&amp;M + Purchased Power + Purchased Natural Gas</w:t>
      </w:r>
    </w:p>
    <w:p>
      <w:pPr>
        <w:spacing w:after="160"/>
        <w:jc w:val="center"/>
      </w:pPr>
      <w:r>
        <w:rPr>
          <w:rFonts w:ascii="Arial" w:cs="Arial" w:eastAsia="Arial" w:hAnsi="Arial"/>
          <w:color w:val="666666"/>
          <w:sz w:val="22"/>
          <w:szCs w:val="22"/>
        </w:rPr>
        <w:t xml:space="preserve">All divided by annual tonnes of CO₂ captured</w:t>
      </w:r>
    </w:p>
    <w:p>
      <w:pPr>
        <w:spacing w:after="120"/>
      </w:pPr>
      <w:r>
        <w:rPr>
          <w:rFonts w:ascii="Arial" w:cs="Arial" w:eastAsia="Arial" w:hAnsi="Arial"/>
          <w:color w:val="333333"/>
          <w:sz w:val="22"/>
          <w:szCs w:val="22"/>
        </w:rPr>
        <w:t xml:space="preserve">This structure aligns with NETL’s published Cost of CO₂ Captured (COC) methodology, enabling direct validation against NETL reference studies. LCOC is always a pre-revenue cost metric. Revenue from 45Q credits, carbon markets, or grants enters through the separate financial model (NPV, IRR, breakeven).</w:t>
      </w:r>
    </w:p>
    <w:p>
      <w:pPr>
        <w:pStyle w:val="Heading2"/>
        <w:spacing w:before="240" w:after="140"/>
      </w:pPr>
      <w:r>
        <w:rPr>
          <w:rFonts w:ascii="Arial" w:cs="Arial" w:eastAsia="Arial" w:hAnsi="Arial"/>
          <w:b/>
          <w:bCs/>
          <w:color w:val="1A1A2E"/>
          <w:sz w:val="26"/>
          <w:szCs w:val="26"/>
        </w:rPr>
        <w:t xml:space="preserve">1.3 Architecture: Single File, Single Calculation Engine</w:t>
      </w:r>
    </w:p>
    <w:p>
      <w:pPr>
        <w:spacing w:after="120"/>
      </w:pPr>
      <w:r>
        <w:rPr>
          <w:rFonts w:ascii="Arial" w:cs="Arial" w:eastAsia="Arial" w:hAnsi="Arial"/>
          <w:color w:val="333333"/>
          <w:sz w:val="22"/>
          <w:szCs w:val="22"/>
        </w:rPr>
        <w:t xml:space="preserve">All code resides in a single file. Constants, calculation logic, and UI components share one scope. This eliminates import chain discrepancies and ensures that changes propagate immediately across all references.</w:t>
      </w:r>
    </w:p>
    <w:p>
      <w:pPr>
        <w:spacing w:after="120"/>
      </w:pPr>
      <w:r>
        <w:rPr>
          <w:rFonts w:ascii="Arial" w:cs="Arial" w:eastAsia="Arial" w:hAnsi="Arial"/>
          <w:color w:val="333333"/>
          <w:sz w:val="22"/>
          <w:szCs w:val="22"/>
        </w:rPr>
        <w:t xml:space="preserve">The function calcLCOC() is the ONLY place LCOC is computed. Every view that needs an LCOC value — Summary, Sensitivity, Simulation, Charts, Batch — calls this function. No view inlines its own LCOC arithmetic.</w:t>
      </w:r>
    </w:p>
    <w:p>
      <w:pPr>
        <w:pStyle w:val="Heading2"/>
        <w:spacing w:before="240" w:after="140"/>
      </w:pPr>
      <w:r>
        <w:rPr>
          <w:rFonts w:ascii="Arial" w:cs="Arial" w:eastAsia="Arial" w:hAnsi="Arial"/>
          <w:b/>
          <w:bCs/>
          <w:color w:val="1A1A2E"/>
          <w:sz w:val="26"/>
          <w:szCs w:val="26"/>
        </w:rPr>
        <w:t xml:space="preserve">1.4 Technology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200"/>
        <w:gridCol w:w="2760"/>
      </w:tblGrid>
      <w:tr>
        <w:tc>
          <w:tcPr>
            <w:tcW w:type="dxa" w:w="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Tier</w:t>
            </w:r>
          </w:p>
        </w:tc>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Technologies</w:t>
            </w:r>
          </w:p>
        </w:tc>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Source</w:t>
            </w:r>
          </w:p>
        </w:tc>
        <w:tc>
          <w:tcPr>
            <w:tcW w:type="dxa" w:w="2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Uncertainty</w:t>
            </w:r>
          </w:p>
        </w:tc>
      </w:tr>
      <w:tr>
        <w:tc>
          <w:tcPr>
            <w:tcW w:type="dxa" w:w="800"/>
            <w:tcBorders>
              <w:top w:val="single" w:color="CCCCCC" w:sz="1"/>
              <w:left w:val="single" w:color="CCCCCC" w:sz="1"/>
              <w:bottom w:val="single" w:color="CCCCCC" w:sz="1"/>
              <w:right w:val="single" w:color="CCCCCC" w:sz="1"/>
            </w:tcBorders>
            <w:shd w:fill="E8F5E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CANSOLV, ADIP-Ultra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bottoms-up reference data with vendor quotes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±15–25% (AACE Class 4)</w:t>
            </w:r>
          </w:p>
        </w:tc>
      </w:tr>
      <w:tr>
        <w:tc>
          <w:tcPr>
            <w:tcW w:type="dxa" w:w="800"/>
            <w:tcBorders>
              <w:top w:val="single" w:color="CCCCCC" w:sz="1"/>
              <w:left w:val="single" w:color="CCCCCC" w:sz="1"/>
              <w:bottom w:val="single" w:color="CCCCCC" w:sz="1"/>
              <w:right w:val="single" w:color="CCCCCC" w:sz="1"/>
            </w:tcBorders>
            <w:shd w:fill="E8F0F8"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KS-1, AMP/PZ, ATR capture, BECCS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Literature parameters applied to NETL cost structure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±25–30%</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MOFs, membranes, calcium looping, cryogenic, DAC, DOC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Parameterized from performance characteristics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w:t>
            </w:r>
          </w:p>
        </w:tc>
      </w:tr>
    </w:tbl>
    <w:p>
      <w:pPr>
        <w:pStyle w:val="Heading2"/>
        <w:spacing w:before="240" w:after="140"/>
      </w:pPr>
      <w:r>
        <w:rPr>
          <w:rFonts w:ascii="Arial" w:cs="Arial" w:eastAsia="Arial" w:hAnsi="Arial"/>
          <w:b/>
          <w:bCs/>
          <w:color w:val="1A1A2E"/>
          <w:sz w:val="26"/>
          <w:szCs w:val="26"/>
        </w:rPr>
        <w:t xml:space="preserve">1.5 Financial Outputs</w:t>
      </w:r>
    </w:p>
    <w:p>
      <w:pPr>
        <w:pStyle w:val="ListParagraph"/>
        <w:numPr>
          <w:ilvl w:val="0"/>
          <w:numId w:val="2"/>
        </w:numPr>
        <w:spacing w:after="60"/>
      </w:pPr>
      <w:r>
        <w:rPr>
          <w:rFonts w:ascii="Arial" w:cs="Arial" w:eastAsia="Arial" w:hAnsi="Arial"/>
          <w:color w:val="333333"/>
          <w:sz w:val="22"/>
          <w:szCs w:val="22"/>
        </w:rPr>
        <w:t xml:space="preserve">LCOC breakdown by component ($/tonne CO₂)</w:t>
      </w:r>
    </w:p>
    <w:p>
      <w:pPr>
        <w:pStyle w:val="ListParagraph"/>
        <w:numPr>
          <w:ilvl w:val="0"/>
          <w:numId w:val="2"/>
        </w:numPr>
        <w:spacing w:after="60"/>
      </w:pPr>
      <w:r>
        <w:rPr>
          <w:rFonts w:ascii="Arial" w:cs="Arial" w:eastAsia="Arial" w:hAnsi="Arial"/>
          <w:color w:val="333333"/>
          <w:sz w:val="22"/>
          <w:szCs w:val="22"/>
        </w:rPr>
        <w:t xml:space="preserve">Total CAPEX: Total Capital Investment (CAPEX) and Total As-Spent Cost (TASC)</w:t>
      </w:r>
    </w:p>
    <w:p>
      <w:pPr>
        <w:pStyle w:val="ListParagraph"/>
        <w:numPr>
          <w:ilvl w:val="0"/>
          <w:numId w:val="2"/>
        </w:numPr>
        <w:spacing w:after="60"/>
      </w:pPr>
      <w:r>
        <w:rPr>
          <w:rFonts w:ascii="Arial" w:cs="Arial" w:eastAsia="Arial" w:hAnsi="Arial"/>
          <w:color w:val="333333"/>
          <w:sz w:val="22"/>
          <w:szCs w:val="22"/>
        </w:rPr>
        <w:t xml:space="preserve">Annual OPEX: Fixed O&amp;M, Variable O&amp;M, energy costs</w:t>
      </w:r>
    </w:p>
    <w:p>
      <w:pPr>
        <w:pStyle w:val="ListParagraph"/>
        <w:numPr>
          <w:ilvl w:val="0"/>
          <w:numId w:val="2"/>
        </w:numPr>
        <w:spacing w:after="60"/>
      </w:pPr>
      <w:r>
        <w:rPr>
          <w:rFonts w:ascii="Arial" w:cs="Arial" w:eastAsia="Arial" w:hAnsi="Arial"/>
          <w:color w:val="333333"/>
          <w:sz w:val="22"/>
          <w:szCs w:val="22"/>
        </w:rPr>
        <w:t xml:space="preserve">Breakeven carbon price ($/tonne at which NPV = 0)</w:t>
      </w:r>
    </w:p>
    <w:p>
      <w:pPr>
        <w:pStyle w:val="ListParagraph"/>
        <w:numPr>
          <w:ilvl w:val="0"/>
          <w:numId w:val="2"/>
        </w:numPr>
        <w:spacing w:after="60"/>
      </w:pPr>
      <w:r>
        <w:rPr>
          <w:rFonts w:ascii="Arial" w:cs="Arial" w:eastAsia="Arial" w:hAnsi="Arial"/>
          <w:color w:val="333333"/>
          <w:sz w:val="22"/>
          <w:szCs w:val="22"/>
        </w:rPr>
        <w:t xml:space="preserve">Project NPV at user-defined discount rate</w:t>
      </w:r>
    </w:p>
    <w:p>
      <w:pPr>
        <w:pStyle w:val="ListParagraph"/>
        <w:numPr>
          <w:ilvl w:val="0"/>
          <w:numId w:val="2"/>
        </w:numPr>
        <w:spacing w:after="60"/>
      </w:pPr>
      <w:r>
        <w:rPr>
          <w:rFonts w:ascii="Arial" w:cs="Arial" w:eastAsia="Arial" w:hAnsi="Arial"/>
          <w:color w:val="333333"/>
          <w:sz w:val="22"/>
          <w:szCs w:val="22"/>
        </w:rPr>
        <w:t xml:space="preserve">Unlevered and levered IRR</w:t>
      </w:r>
    </w:p>
    <w:p>
      <w:pPr>
        <w:pStyle w:val="ListParagraph"/>
        <w:numPr>
          <w:ilvl w:val="0"/>
          <w:numId w:val="2"/>
        </w:numPr>
        <w:spacing w:after="60"/>
      </w:pPr>
      <w:r>
        <w:rPr>
          <w:rFonts w:ascii="Arial" w:cs="Arial" w:eastAsia="Arial" w:hAnsi="Arial"/>
          <w:color w:val="333333"/>
          <w:sz w:val="22"/>
          <w:szCs w:val="22"/>
        </w:rPr>
        <w:t xml:space="preserve">Simple payback period</w:t>
      </w:r>
    </w:p>
    <w:p>
      <w:pPr>
        <w:pStyle w:val="ListParagraph"/>
        <w:numPr>
          <w:ilvl w:val="0"/>
          <w:numId w:val="2"/>
        </w:numPr>
        <w:spacing w:after="60"/>
      </w:pPr>
      <w:r>
        <w:rPr>
          <w:rFonts w:ascii="Arial" w:cs="Arial" w:eastAsia="Arial" w:hAnsi="Arial"/>
          <w:color w:val="333333"/>
          <w:sz w:val="22"/>
          <w:szCs w:val="22"/>
        </w:rPr>
        <w:t xml:space="preserve">Year-by-year cash flow with construction period, ramp-up, depreciation, and tax effects</w:t>
      </w:r>
    </w:p>
    <w:p>
      <w:pPr>
        <w:pStyle w:val="Heading2"/>
        <w:spacing w:before="240" w:after="140"/>
      </w:pPr>
      <w:r>
        <w:rPr>
          <w:rFonts w:ascii="Arial" w:cs="Arial" w:eastAsia="Arial" w:hAnsi="Arial"/>
          <w:b/>
          <w:bCs/>
          <w:color w:val="1A1A2E"/>
          <w:sz w:val="26"/>
          <w:szCs w:val="26"/>
        </w:rPr>
        <w:t xml:space="preserve">1.6 Tabs / Views</w:t>
      </w:r>
    </w:p>
    <w:p>
      <w:pPr>
        <w:pStyle w:val="ListParagraph"/>
        <w:numPr>
          <w:ilvl w:val="0"/>
          <w:numId w:val="2"/>
        </w:numPr>
        <w:spacing w:after="60"/>
      </w:pPr>
      <w:r>
        <w:rPr>
          <w:rFonts w:ascii="Arial" w:cs="Arial" w:eastAsia="Arial" w:hAnsi="Arial"/>
          <w:color w:val="333333"/>
          <w:sz w:val="22"/>
          <w:szCs w:val="22"/>
        </w:rPr>
        <w:t xml:space="preserve">Summary Tab — Primary input/output interface. All outputs update reactively as inputs change.</w:t>
      </w:r>
    </w:p>
    <w:p>
      <w:pPr>
        <w:pStyle w:val="ListParagraph"/>
        <w:numPr>
          <w:ilvl w:val="0"/>
          <w:numId w:val="2"/>
        </w:numPr>
        <w:spacing w:after="60"/>
      </w:pPr>
      <w:r>
        <w:rPr>
          <w:rFonts w:ascii="Arial" w:cs="Arial" w:eastAsia="Arial" w:hAnsi="Arial"/>
          <w:color w:val="333333"/>
          <w:sz w:val="22"/>
          <w:szCs w:val="22"/>
        </w:rPr>
        <w:t xml:space="preserve">Model Tab — Calculation walkthrough showing every intermediate step with formulas and live values. Full audit trail.</w:t>
      </w:r>
    </w:p>
    <w:p>
      <w:pPr>
        <w:pStyle w:val="ListParagraph"/>
        <w:numPr>
          <w:ilvl w:val="0"/>
          <w:numId w:val="2"/>
        </w:numPr>
        <w:spacing w:after="60"/>
      </w:pPr>
      <w:r>
        <w:rPr>
          <w:rFonts w:ascii="Arial" w:cs="Arial" w:eastAsia="Arial" w:hAnsi="Arial"/>
          <w:color w:val="333333"/>
          <w:sz w:val="22"/>
          <w:szCs w:val="22"/>
        </w:rPr>
        <w:t xml:space="preserve">Charts Tab — LCOC stacked bar, CAPEX/OPEX pies, flow rate curve, source comparison, technology comparison, state heatmap, learning curves.</w:t>
      </w:r>
    </w:p>
    <w:p>
      <w:pPr>
        <w:pStyle w:val="ListParagraph"/>
        <w:numPr>
          <w:ilvl w:val="0"/>
          <w:numId w:val="2"/>
        </w:numPr>
        <w:spacing w:after="60"/>
      </w:pPr>
      <w:r>
        <w:rPr>
          <w:rFonts w:ascii="Arial" w:cs="Arial" w:eastAsia="Arial" w:hAnsi="Arial"/>
          <w:color w:val="333333"/>
          <w:sz w:val="22"/>
          <w:szCs w:val="22"/>
        </w:rPr>
        <w:t xml:space="preserve">Sensitivity Tab — Tornado chart and sweep curves. All calculations call calcLCOC.</w:t>
      </w:r>
    </w:p>
    <w:p>
      <w:pPr>
        <w:pStyle w:val="ListParagraph"/>
        <w:numPr>
          <w:ilvl w:val="0"/>
          <w:numId w:val="2"/>
        </w:numPr>
        <w:spacing w:after="60"/>
      </w:pPr>
      <w:r>
        <w:rPr>
          <w:rFonts w:ascii="Arial" w:cs="Arial" w:eastAsia="Arial" w:hAnsi="Arial"/>
          <w:color w:val="333333"/>
          <w:sz w:val="22"/>
          <w:szCs w:val="22"/>
        </w:rPr>
        <w:t xml:space="preserve">Simulation Tab — Monte Carlo with user-defined distributions. P10/P50/P90 outputs.</w:t>
      </w:r>
    </w:p>
    <w:p>
      <w:pPr>
        <w:pStyle w:val="ListParagraph"/>
        <w:numPr>
          <w:ilvl w:val="0"/>
          <w:numId w:val="2"/>
        </w:numPr>
        <w:spacing w:after="60"/>
      </w:pPr>
      <w:r>
        <w:rPr>
          <w:rFonts w:ascii="Arial" w:cs="Arial" w:eastAsia="Arial" w:hAnsi="Arial"/>
          <w:color w:val="333333"/>
          <w:sz w:val="22"/>
          <w:szCs w:val="22"/>
        </w:rPr>
        <w:t xml:space="preserve">Cash Flow Tab — Year-by-year table covering construction + operating life.</w:t>
      </w:r>
    </w:p>
    <w:p>
      <w:pPr>
        <w:pStyle w:val="ListParagraph"/>
        <w:numPr>
          <w:ilvl w:val="0"/>
          <w:numId w:val="2"/>
        </w:numPr>
        <w:spacing w:after="60"/>
      </w:pPr>
      <w:r>
        <w:rPr>
          <w:rFonts w:ascii="Arial" w:cs="Arial" w:eastAsia="Arial" w:hAnsi="Arial"/>
          <w:color w:val="333333"/>
          <w:sz w:val="22"/>
          <w:szCs w:val="22"/>
        </w:rPr>
        <w:t xml:space="preserve">Batch Run Tab — Upload facility spreadsheet, map columns, run calcLCOC on every row. Export to Excel.</w:t>
      </w:r>
    </w:p>
    <w:p>
      <w:pPr>
        <w:pStyle w:val="ListParagraph"/>
        <w:numPr>
          <w:ilvl w:val="0"/>
          <w:numId w:val="2"/>
        </w:numPr>
        <w:spacing w:after="60"/>
      </w:pPr>
      <w:r>
        <w:rPr>
          <w:rFonts w:ascii="Arial" w:cs="Arial" w:eastAsia="Arial" w:hAnsi="Arial"/>
          <w:color w:val="333333"/>
          <w:sz w:val="22"/>
          <w:szCs w:val="22"/>
        </w:rPr>
        <w:t xml:space="preserve">Batch Model Tab — Drill into any batch row to see full calculation walkthrough.</w:t>
      </w:r>
    </w:p>
    <w:p>
      <w:pPr>
        <w:pStyle w:val="ListParagraph"/>
        <w:numPr>
          <w:ilvl w:val="0"/>
          <w:numId w:val="2"/>
        </w:numPr>
        <w:spacing w:after="60"/>
      </w:pPr>
      <w:r>
        <w:rPr>
          <w:rFonts w:ascii="Arial" w:cs="Arial" w:eastAsia="Arial" w:hAnsi="Arial"/>
          <w:color w:val="333333"/>
          <w:sz w:val="22"/>
          <w:szCs w:val="22"/>
        </w:rPr>
        <w:t xml:space="preserve">Assumptions Tab — All data sources with citations, URLs, and notes.</w:t>
      </w:r>
    </w:p>
    <w:p>
      <w:pPr>
        <w:pStyle w:val="Heading2"/>
        <w:spacing w:before="240" w:after="140"/>
      </w:pPr>
      <w:r>
        <w:rPr>
          <w:rFonts w:ascii="Arial" w:cs="Arial" w:eastAsia="Arial" w:hAnsi="Arial"/>
          <w:b/>
          <w:bCs/>
          <w:color w:val="1A1A2E"/>
          <w:sz w:val="26"/>
          <w:szCs w:val="26"/>
        </w:rPr>
        <w:t xml:space="preserve">1.7 Dynamic Tooltips</w:t>
      </w:r>
    </w:p>
    <w:p>
      <w:pPr>
        <w:spacing w:after="120"/>
      </w:pPr>
      <w:r>
        <w:rPr>
          <w:rFonts w:ascii="Arial" w:cs="Arial" w:eastAsia="Arial" w:hAnsi="Arial"/>
          <w:color w:val="333333"/>
          <w:sz w:val="22"/>
          <w:szCs w:val="22"/>
        </w:rPr>
        <w:t xml:space="preserve">Every input label, output value, and intermediate calculation has a hover tooltip with three layers: (1) plain-language definition, (2) live calculation showing the actual formula with current values substituted in, and (3) source citation. Tooltips update reactively as inputs change, serving as an inline audit trail.</w:t>
      </w:r>
    </w:p>
    <w:p>
      <w:r>
        <w:br w:type="page"/>
      </w:r>
    </w:p>
    <w:p>
      <w:pPr>
        <w:pStyle w:val="Heading1"/>
        <w:spacing w:before="360" w:after="160"/>
      </w:pPr>
      <w:r>
        <w:rPr>
          <w:rFonts w:ascii="Arial" w:cs="Arial" w:eastAsia="Arial" w:hAnsi="Arial"/>
          <w:b/>
          <w:bCs/>
          <w:color w:val="1B6B4A"/>
          <w:sz w:val="32"/>
          <w:szCs w:val="32"/>
        </w:rPr>
        <w:t xml:space="preserve">2. Model Inputs</w:t>
      </w:r>
    </w:p>
    <w:p>
      <w:pPr>
        <w:pStyle w:val="Heading2"/>
        <w:spacing w:before="240" w:after="140"/>
      </w:pPr>
      <w:r>
        <w:rPr>
          <w:rFonts w:ascii="Arial" w:cs="Arial" w:eastAsia="Arial" w:hAnsi="Arial"/>
          <w:b/>
          <w:bCs/>
          <w:color w:val="1A1A2E"/>
          <w:sz w:val="26"/>
          <w:szCs w:val="26"/>
        </w:rPr>
        <w:t xml:space="preserve">2.1 Capture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Emission Source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One of 16+ scenarios across five categories: High Purity, Hydrogen, Industrial, Power, CDR (see Section 5 for full list and source-specific logic)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Capture Technology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 options: Amine (MEA), Advanced Amine, Membrane, Cryogenic, Solid Sorbent, MOF, DAC Solid Sorbent, DAC Liquid Solvent, DOC Electrodialysis. Filtered by compatibility with source category.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Capture Rate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Percentage (typically 90% or 99%). Free input with NETL benchmarks flagged.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Build Type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Greenfield or Retrofit. Retrofit applies a difficulty factor (RDF) to capital costs.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Reformer Type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SMR or ATR. Applies to ammonia and hydrogen production sources only. Determines CO₂ stream characteristics and capture scope options.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Capture Scope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For SMR sources: Syngas CO₂ Only, Flue Gas CO₂ Only, or Both Streams. For ATR: single syngas stream (90–99% of emissions). See Section 5.1.</w:t>
            </w:r>
          </w:p>
        </w:tc>
      </w:tr>
    </w:tbl>
    <w:p>
      <w:pPr>
        <w:pStyle w:val="Heading2"/>
        <w:spacing w:before="240" w:after="140"/>
      </w:pPr>
      <w:r>
        <w:rPr>
          <w:rFonts w:ascii="Arial" w:cs="Arial" w:eastAsia="Arial" w:hAnsi="Arial"/>
          <w:b/>
          <w:bCs/>
          <w:color w:val="1A1A2E"/>
          <w:sz w:val="26"/>
          <w:szCs w:val="26"/>
        </w:rPr>
        <w:t xml:space="preserve">2.2 Production Parameters</w:t>
      </w:r>
    </w:p>
    <w:p>
      <w:pPr>
        <w:spacing w:after="120"/>
      </w:pPr>
      <w:r>
        <w:rPr>
          <w:rFonts w:ascii="Arial" w:cs="Arial" w:eastAsia="Arial" w:hAnsi="Arial"/>
          <w:color w:val="333333"/>
          <w:sz w:val="22"/>
          <w:szCs w:val="22"/>
        </w:rPr>
        <w:t xml:space="preserve">Users can enter any one of four values and the model back-solves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Plant Capacity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Nameplate capacity in source-native units (MW gross for power, tonnes/yr for industrial,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Capacity Factor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Percentage. Defaults to source-specific NETL 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Annual Output Produced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Actual production = plant capacity × CF</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CO₂ Produced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Total CO₂ generated (tonnes/yr). For SMR sources with capture scope, reflects selected stream(s).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CO₂ Captured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Derived: CO₂ produced × capture rate. Or entered directly, with model back-solving.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Heat Rate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MMBtu/MWh. Combustion sources only (NGCC, Coal, Biomass). Drives CO₂ production calculation.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Urea CO₂ Diversion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Percentage of syngas CO₂ diverted to urea production. Ammonia only. Default 0%. Reduces CO₂ available for capture.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Existing Steam Available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Toggle. Refinery hydrogen only. When enabled, removes boiler CAPEX and fuel cost for solvent regeneration, reflecting surplus refinery steam. Default: off (matching NETL assumption).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SMR Feedstock</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Natural gas or refinery fuel gas. Hydrogen production only. Affects emission factor and CO₂ volume per tonne H₂. Default: natural gas.</w:t>
            </w:r>
          </w:p>
        </w:tc>
      </w:tr>
    </w:tbl>
    <w:p>
      <w:pPr>
        <w:pStyle w:val="Heading2"/>
        <w:spacing w:before="240" w:after="140"/>
      </w:pPr>
      <w:r>
        <w:rPr>
          <w:rFonts w:ascii="Arial" w:cs="Arial" w:eastAsia="Arial" w:hAnsi="Arial"/>
          <w:b/>
          <w:bCs/>
          <w:color w:val="1A1A2E"/>
          <w:sz w:val="26"/>
          <w:szCs w:val="26"/>
        </w:rPr>
        <w:t xml:space="preserve">2.3 Cost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Project State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All 50 US states + DC. Drives location factor, electricity price, gas basis differential, state tax rate.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Cost Year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2018–2026. CEPCI escalation from 2018 base.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COD Year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Commercial Operation Date. Affects gas price (indexed to HH forward strip), 45Q timing, and learning curve adjustments.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Project Life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Operating years. Defaults to NETL sector-specific value (25–30 years).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Construction Period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Years to build, with spending profile. Defaults by source type (1 yr for high-purity, 3 yr for power/industrial).</w:t>
            </w:r>
          </w:p>
        </w:tc>
      </w:tr>
    </w:tbl>
    <w:p>
      <w:pPr>
        <w:pStyle w:val="Heading2"/>
        <w:spacing w:before="240" w:after="140"/>
      </w:pPr>
      <w:r>
        <w:rPr>
          <w:rFonts w:ascii="Arial" w:cs="Arial" w:eastAsia="Arial" w:hAnsi="Arial"/>
          <w:b/>
          <w:bCs/>
          <w:color w:val="1A1A2E"/>
          <w:sz w:val="26"/>
          <w:szCs w:val="26"/>
        </w:rPr>
        <w:t xml:space="preserve">2.4 Capital Structure &amp; Discount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Debt %</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Fraction of capital from debt. Default from NETL sector-specific assumptions.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Cost of Debt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Interest rate on debt.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Cost of Equity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Required equity return.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WACC</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Calculated from above, or overridden with a fixed hurdle rate.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Fixed Hurdle Rate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Toggle + value. Bypasses WACC calculation when enabled.</w:t>
            </w:r>
          </w:p>
        </w:tc>
      </w:tr>
    </w:tbl>
    <w:p>
      <w:pPr>
        <w:pStyle w:val="Heading2"/>
        <w:spacing w:before="240" w:after="140"/>
      </w:pPr>
      <w:r>
        <w:rPr>
          <w:rFonts w:ascii="Arial" w:cs="Arial" w:eastAsia="Arial" w:hAnsi="Arial"/>
          <w:b/>
          <w:bCs/>
          <w:color w:val="1A1A2E"/>
          <w:sz w:val="26"/>
          <w:szCs w:val="26"/>
        </w:rPr>
        <w:t xml:space="preserve">2.5 Energy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Electricity Price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$/MWh. Auto-populated from EIA state data (Table 5.6.a, 2024). User-overridable.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Natural Gas Price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$/MMBtu. Auto-populated from Bloomberg HH forward strip + state basis differential. User-overridable. Year-specific pricing in cash flow model.</w:t>
            </w:r>
          </w:p>
        </w:tc>
      </w:tr>
    </w:tbl>
    <w:p>
      <w:pPr>
        <w:pStyle w:val="Heading2"/>
        <w:spacing w:before="240" w:after="140"/>
      </w:pPr>
      <w:r>
        <w:rPr>
          <w:rFonts w:ascii="Arial" w:cs="Arial" w:eastAsia="Arial" w:hAnsi="Arial"/>
          <w:b/>
          <w:bCs/>
          <w:color w:val="1A1A2E"/>
          <w:sz w:val="26"/>
          <w:szCs w:val="26"/>
        </w:rPr>
        <w:t xml:space="preserve">2.6 Tax &amp; Depreciation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Federal Tax Rate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Default 21%.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State Tax Rate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Auto-populated from state data. Effective rate = fed + state – (fed × state) to avoid double-counting.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Depreciation Method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MACRS 5/7/10/15/20-yr, Bonus 100%, or Straight-line.</w:t>
            </w:r>
          </w:p>
        </w:tc>
      </w:tr>
    </w:tbl>
    <w:p>
      <w:pPr>
        <w:pStyle w:val="Heading2"/>
        <w:spacing w:before="240" w:after="140"/>
      </w:pPr>
      <w:r>
        <w:rPr>
          <w:rFonts w:ascii="Arial" w:cs="Arial" w:eastAsia="Arial" w:hAnsi="Arial"/>
          <w:b/>
          <w:bCs/>
          <w:color w:val="1A1A2E"/>
          <w:sz w:val="26"/>
          <w:szCs w:val="26"/>
        </w:rPr>
        <w:t xml:space="preserve">2.7 Revenue &amp; Credits</w:t>
      </w:r>
    </w:p>
    <w:p>
      <w:pPr>
        <w:spacing w:after="120"/>
      </w:pPr>
      <w:r>
        <w:rPr>
          <w:rFonts w:ascii="Arial" w:cs="Arial" w:eastAsia="Arial" w:hAnsi="Arial"/>
          <w:color w:val="333333"/>
          <w:sz w:val="22"/>
          <w:szCs w:val="22"/>
        </w:rPr>
        <w:t xml:space="preserve">Credits are organized in two tiers: default credits that are always visible, and optional credits that the user enables when applicable.</w:t>
      </w:r>
    </w:p>
    <w:p>
      <w:pPr>
        <w:pStyle w:val="Heading3"/>
        <w:spacing w:before="200" w:after="120"/>
      </w:pPr>
      <w:r>
        <w:rPr>
          <w:rFonts w:ascii="Arial" w:cs="Arial" w:eastAsia="Arial" w:hAnsi="Arial"/>
          <w:b/>
          <w:bCs/>
          <w:color w:val="2D5B9E"/>
          <w:sz w:val="22"/>
          <w:szCs w:val="22"/>
        </w:rPr>
        <w:t xml:space="preserve">2.7.1 Default Credits (All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45Q Tax Credit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Toggle. $85/t for industrial/power, $180/t for DAC. 12-year duration. Inflation escalator. Direct pay for first 5 years, then transferability with 5–15% haircut. Requires prevailing wage compliance for full credit (otherwise $17/$36).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48C Investment Tax Credit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Toggle. 6–30% of qualifying CAPEX. Reduces depreciable basis by half the credit amount.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Grant Amount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Direct subsidy in $M (e.g., DOE OCED funding).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CDR Credit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Voluntary carbon market removal credit. Configurable $/t rate and duration. For DAC/DOC/BECCS/biogenic CCS.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Avoidance Credit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Voluntary carbon market avoidance credit. Configurable $/t rate and duration. For industrial/power CCS.</w:t>
            </w:r>
          </w:p>
        </w:tc>
      </w:tr>
    </w:tbl>
    <w:p>
      <w:pPr>
        <w:pStyle w:val="Heading3"/>
        <w:spacing w:before="200" w:after="120"/>
      </w:pPr>
      <w:r>
        <w:rPr>
          <w:rFonts w:ascii="Arial" w:cs="Arial" w:eastAsia="Arial" w:hAnsi="Arial"/>
          <w:b/>
          <w:bCs/>
          <w:color w:val="2D5B9E"/>
          <w:sz w:val="22"/>
          <w:szCs w:val="22"/>
        </w:rPr>
        <w:t xml:space="preserve">2.7.2 Optional Credits (Source-Specific, Off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6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45V H₂ Production Credit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Up to $3/kg H₂ based on lifecycle carbon intensity. Alternative to 45Q for hydrogen sources (cannot stack with 45Q). Applicable to refinery and merchant hydrogen. Model calculates both 45Q and 45V and shows comparison.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45Z Clean Fuel Credit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Per-gallon credit for clean fuel production based on lifecycle carbon intensity. Lower CI from CCS means higher credit. Primarily applicable to ethanol and other biofuel sources. Replaced the blender’s credit starting 2025.</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RINs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Renewable Identification Numbers under the Renewable Fuel Standard. D6 RINs for corn ethanol, D3 for cellulosic. Configurable $/RIN value. Applicable to ethanol and biofuel sources.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LCFS Credits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California Low Carbon Fuel Standard credits. CI-based — ethanol + CCS achieves very low CI, generating high-value credits. Configurable $/credit and CI score. Applicable to any fuel source selling into CA market.</w:t>
            </w:r>
          </w:p>
        </w:tc>
      </w:tr>
    </w:tbl>
    <w:p>
      <w:pPr>
        <w:spacing w:after="120"/>
      </w:pPr>
      <w:r>
        <w:rPr>
          <w:rFonts w:ascii="Arial" w:cs="Arial" w:eastAsia="Arial" w:hAnsi="Arial"/>
          <w:color w:val="333333"/>
          <w:sz w:val="22"/>
          <w:szCs w:val="22"/>
        </w:rPr>
        <w:t xml:space="preserve">All credits flow into the year-by-year cash flow model and affect NPV, IRR, and breakeven calculations. None affect the LCOC, which is always a pre-revenue cost metric.</w:t>
      </w:r>
    </w:p>
    <w:p>
      <w:r>
        <w:br w:type="page"/>
      </w:r>
    </w:p>
    <w:p>
      <w:pPr>
        <w:pStyle w:val="Heading1"/>
        <w:spacing w:before="360" w:after="160"/>
      </w:pPr>
      <w:r>
        <w:rPr>
          <w:rFonts w:ascii="Arial" w:cs="Arial" w:eastAsia="Arial" w:hAnsi="Arial"/>
          <w:b/>
          <w:bCs/>
          <w:color w:val="1B6B4A"/>
          <w:sz w:val="32"/>
          <w:szCs w:val="32"/>
        </w:rPr>
        <w:t xml:space="preserve">3. CAPEX Calculation</w:t>
      </w:r>
    </w:p>
    <w:p>
      <w:pPr>
        <w:spacing w:after="120"/>
      </w:pPr>
      <w:r>
        <w:rPr>
          <w:rFonts w:ascii="Arial" w:cs="Arial" w:eastAsia="Arial" w:hAnsi="Arial"/>
          <w:b/>
          <w:bCs/>
          <w:color w:val="333333"/>
          <w:sz w:val="24"/>
          <w:szCs w:val="24"/>
        </w:rPr>
        <w:t xml:space="preserve">CAPEX = Total Installed Cost + Owner’s Costs = Total Capital Investment (CAPEX)</w:t>
      </w:r>
    </w:p>
    <w:p>
      <w:pPr>
        <w:pStyle w:val="Heading2"/>
        <w:spacing w:before="240" w:after="140"/>
      </w:pPr>
      <w:r>
        <w:rPr>
          <w:rFonts w:ascii="Arial" w:cs="Arial" w:eastAsia="Arial" w:hAnsi="Arial"/>
          <w:b/>
          <w:bCs/>
          <w:color w:val="1A1A2E"/>
          <w:sz w:val="26"/>
          <w:szCs w:val="26"/>
        </w:rPr>
        <w:t xml:space="preserve">3.1 Process Flow Calculation</w:t>
      </w:r>
    </w:p>
    <w:p>
      <w:pPr>
        <w:spacing w:after="120"/>
      </w:pPr>
      <w:r>
        <w:rPr>
          <w:rFonts w:ascii="Arial" w:cs="Arial" w:eastAsia="Arial" w:hAnsi="Arial"/>
          <w:color w:val="333333"/>
          <w:sz w:val="22"/>
          <w:szCs w:val="22"/>
        </w:rPr>
        <w:t xml:space="preserve">Before equipment can be costed, the model calculates process flows from user inputs. Each flow parameter sizes specific equipment. Changing one input (e.g., capture rate) propagates differently to different equipment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Process Flow</w:t>
            </w:r>
          </w:p>
        </w:tc>
        <w:tc>
          <w:tcPr>
            <w:tcW w:type="dxa" w:w="35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Calculation</w:t>
            </w:r>
          </w:p>
        </w:tc>
        <w:tc>
          <w:tcPr>
            <w:tcW w:type="dxa" w:w="3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Equipment It Sizes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CO₂ Captured (t/hr)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produced × capture rate ÷ (8,760 × CF)</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Compressor, dehydration, aftercooler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Flue Gas Flow (m³/hr)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flow ÷ CO₂ concentration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Absorber, fan/blower, ductwork, pre-scrubber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Solvent Circ. Rate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 ÷ (loading × density)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Pumps, lean/rich HX, stripper, piping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Reboiler Duty (GJ/hr)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 × regen energy (GJ/t)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Reboiler, stripper, steam system, cooling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Compression Power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 × 90–120 kWh/t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Compressor train, electrical infrastructure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Total Cooling Duty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Reboiler condenser + intercooling + AGR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Cooling towers, CW pumps, piping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Aux. Power (MW)</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Compression + fans + pumps + cooling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Switchgear, cable, transformers</w:t>
            </w:r>
          </w:p>
        </w:tc>
      </w:tr>
    </w:tbl>
    <w:p>
      <w:pPr>
        <w:pStyle w:val="Heading2"/>
        <w:spacing w:before="240" w:after="140"/>
      </w:pPr>
      <w:r>
        <w:rPr>
          <w:rFonts w:ascii="Arial" w:cs="Arial" w:eastAsia="Arial" w:hAnsi="Arial"/>
          <w:b/>
          <w:bCs/>
          <w:color w:val="1A1A2E"/>
          <w:sz w:val="26"/>
          <w:szCs w:val="26"/>
        </w:rPr>
        <w:t xml:space="preserve">3.2 Bare Erected Cost — Equipment Level</w:t>
      </w:r>
    </w:p>
    <w:p>
      <w:pPr>
        <w:spacing w:after="120"/>
      </w:pPr>
      <w:r>
        <w:rPr>
          <w:rFonts w:ascii="Arial" w:cs="Arial" w:eastAsia="Arial" w:hAnsi="Arial"/>
          <w:color w:val="333333"/>
          <w:sz w:val="22"/>
          <w:szCs w:val="22"/>
        </w:rPr>
        <w:t xml:space="preserve">Each equipment item is individually sized and costed by scaling from NETL reference data:</w:t>
      </w:r>
    </w:p>
    <w:p>
      <w:pPr>
        <w:spacing w:after="120"/>
        <w:jc w:val="center"/>
      </w:pPr>
      <w:r>
        <w:rPr>
          <w:rFonts w:ascii="Arial" w:cs="Arial" w:eastAsia="Arial" w:hAnsi="Arial"/>
          <w:b/>
          <w:bCs/>
          <w:color w:val="333333"/>
          <w:sz w:val="22"/>
          <w:szCs w:val="22"/>
        </w:rPr>
        <w:t xml:space="preserve">Cost = Reference Cost × (Your Parameter ÷ Reference Parameter)</w:t>
      </w:r>
      <w:r>
        <w:rPr>
          <w:rFonts w:ascii="Arial" w:cs="Arial" w:eastAsia="Arial" w:hAnsi="Arial"/>
          <w:b/>
          <w:bCs/>
          <w:color w:val="333333"/>
          <w:sz w:val="16"/>
          <w:szCs w:val="16"/>
          <w:vertAlign w:val="superscript"/>
        </w:rPr>
        <w:t xml:space="preserve">n</w:t>
      </w:r>
    </w:p>
    <w:p>
      <w:pPr>
        <w:pStyle w:val="Heading3"/>
        <w:spacing w:before="200" w:after="120"/>
      </w:pPr>
      <w:r>
        <w:rPr>
          <w:rFonts w:ascii="Arial" w:cs="Arial" w:eastAsia="Arial" w:hAnsi="Arial"/>
          <w:b/>
          <w:bCs/>
          <w:color w:val="2D5B9E"/>
          <w:sz w:val="22"/>
          <w:szCs w:val="22"/>
        </w:rPr>
        <w:t xml:space="preserve">3.2.1 Account 5.1 — CO₂ Removal System (70–85% of BEC)</w:t>
      </w:r>
    </w:p>
    <w:p>
      <w:pPr>
        <w:spacing w:after="120"/>
      </w:pPr>
      <w:r>
        <w:rPr>
          <w:rFonts w:ascii="Arial" w:cs="Arial" w:eastAsia="Arial" w:hAnsi="Arial"/>
          <w:color w:val="333333"/>
          <w:sz w:val="22"/>
          <w:szCs w:val="22"/>
        </w:rPr>
        <w:t xml:space="preserve">Only for low-purity sources requiring separation. Zero for high-purity sources. Individual items:</w:t>
      </w:r>
    </w:p>
    <w:p>
      <w:pPr>
        <w:pStyle w:val="ListParagraph"/>
        <w:numPr>
          <w:ilvl w:val="0"/>
          <w:numId w:val="2"/>
        </w:numPr>
        <w:spacing w:after="60"/>
      </w:pPr>
      <w:r>
        <w:rPr>
          <w:rFonts w:ascii="Arial" w:cs="Arial" w:eastAsia="Arial" w:hAnsi="Arial"/>
          <w:color w:val="333333"/>
          <w:sz w:val="22"/>
          <w:szCs w:val="22"/>
        </w:rPr>
        <w:t xml:space="preserve">Absorber Column — sized by flue gas flow rate. Dominated by emission source CO₂ concentration. Capture rate has minimal impact on absorber size.</w:t>
      </w:r>
    </w:p>
    <w:p>
      <w:pPr>
        <w:pStyle w:val="ListParagraph"/>
        <w:numPr>
          <w:ilvl w:val="0"/>
          <w:numId w:val="2"/>
        </w:numPr>
        <w:spacing w:after="60"/>
      </w:pPr>
      <w:r>
        <w:rPr>
          <w:rFonts w:ascii="Arial" w:cs="Arial" w:eastAsia="Arial" w:hAnsi="Arial"/>
          <w:color w:val="333333"/>
          <w:sz w:val="22"/>
          <w:szCs w:val="22"/>
        </w:rPr>
        <w:t xml:space="preserve">Absorber Packing/Internals — height driven by mass transfer requirements. Higher capture rate increases packing height.</w:t>
      </w:r>
    </w:p>
    <w:p>
      <w:pPr>
        <w:pStyle w:val="ListParagraph"/>
        <w:numPr>
          <w:ilvl w:val="0"/>
          <w:numId w:val="2"/>
        </w:numPr>
        <w:spacing w:after="60"/>
      </w:pPr>
      <w:r>
        <w:rPr>
          <w:rFonts w:ascii="Arial" w:cs="Arial" w:eastAsia="Arial" w:hAnsi="Arial"/>
          <w:color w:val="333333"/>
          <w:sz w:val="22"/>
          <w:szCs w:val="22"/>
        </w:rPr>
        <w:t xml:space="preserve">Fan/Blower — sized by gas flow × pressure drop. Major power consumer.</w:t>
      </w:r>
    </w:p>
    <w:p>
      <w:pPr>
        <w:pStyle w:val="ListParagraph"/>
        <w:numPr>
          <w:ilvl w:val="0"/>
          <w:numId w:val="2"/>
        </w:numPr>
        <w:spacing w:after="60"/>
      </w:pPr>
      <w:r>
        <w:rPr>
          <w:rFonts w:ascii="Arial" w:cs="Arial" w:eastAsia="Arial" w:hAnsi="Arial"/>
          <w:color w:val="333333"/>
          <w:sz w:val="22"/>
          <w:szCs w:val="22"/>
        </w:rPr>
        <w:t xml:space="preserve">Pre-scrubber/DCC — sized by gas flow × inlet temperature. Larger for hotter gas. May include caustic scrubbing for SOₓ.</w:t>
      </w:r>
    </w:p>
    <w:p>
      <w:pPr>
        <w:pStyle w:val="ListParagraph"/>
        <w:numPr>
          <w:ilvl w:val="0"/>
          <w:numId w:val="2"/>
        </w:numPr>
        <w:spacing w:after="60"/>
      </w:pPr>
      <w:r>
        <w:rPr>
          <w:rFonts w:ascii="Arial" w:cs="Arial" w:eastAsia="Arial" w:hAnsi="Arial"/>
          <w:color w:val="333333"/>
          <w:sz w:val="22"/>
          <w:szCs w:val="22"/>
        </w:rPr>
        <w:t xml:space="preserve">Lean/Rich Solvent Heat Exchanger — sized by solvent circulation rate. Changes with both CO₂ flow and technology.</w:t>
      </w:r>
    </w:p>
    <w:p>
      <w:pPr>
        <w:pStyle w:val="ListParagraph"/>
        <w:numPr>
          <w:ilvl w:val="0"/>
          <w:numId w:val="2"/>
        </w:numPr>
        <w:spacing w:after="60"/>
      </w:pPr>
      <w:r>
        <w:rPr>
          <w:rFonts w:ascii="Arial" w:cs="Arial" w:eastAsia="Arial" w:hAnsi="Arial"/>
          <w:color w:val="333333"/>
          <w:sz w:val="22"/>
          <w:szCs w:val="22"/>
        </w:rPr>
        <w:t xml:space="preserve">Solvent Pumps — sized by solvent circulation rate × head pressure.</w:t>
      </w:r>
    </w:p>
    <w:p>
      <w:pPr>
        <w:pStyle w:val="ListParagraph"/>
        <w:numPr>
          <w:ilvl w:val="0"/>
          <w:numId w:val="2"/>
        </w:numPr>
        <w:spacing w:after="60"/>
      </w:pPr>
      <w:r>
        <w:rPr>
          <w:rFonts w:ascii="Arial" w:cs="Arial" w:eastAsia="Arial" w:hAnsi="Arial"/>
          <w:color w:val="333333"/>
          <w:sz w:val="22"/>
          <w:szCs w:val="22"/>
        </w:rPr>
        <w:t xml:space="preserve">Stripper/Regenerator — sized by solvent circulation rate (liquid flow, not gas). Capture rate increase directly increases stripper size.</w:t>
      </w:r>
    </w:p>
    <w:p>
      <w:pPr>
        <w:pStyle w:val="ListParagraph"/>
        <w:numPr>
          <w:ilvl w:val="0"/>
          <w:numId w:val="2"/>
        </w:numPr>
        <w:spacing w:after="60"/>
      </w:pPr>
      <w:r>
        <w:rPr>
          <w:rFonts w:ascii="Arial" w:cs="Arial" w:eastAsia="Arial" w:hAnsi="Arial"/>
          <w:color w:val="333333"/>
          <w:sz w:val="22"/>
          <w:szCs w:val="22"/>
        </w:rPr>
        <w:t xml:space="preserve">Reboiler — sized by heat duty. Single largest energy consumer. Technology choice has huge impact.</w:t>
      </w:r>
    </w:p>
    <w:p>
      <w:pPr>
        <w:pStyle w:val="ListParagraph"/>
        <w:numPr>
          <w:ilvl w:val="0"/>
          <w:numId w:val="2"/>
        </w:numPr>
        <w:spacing w:after="60"/>
      </w:pPr>
      <w:r>
        <w:rPr>
          <w:rFonts w:ascii="Arial" w:cs="Arial" w:eastAsia="Arial" w:hAnsi="Arial"/>
          <w:color w:val="333333"/>
          <w:sz w:val="22"/>
          <w:szCs w:val="22"/>
        </w:rPr>
        <w:t xml:space="preserve">Condenser &amp; Reflux — proportional to stripper throughput.</w:t>
      </w:r>
    </w:p>
    <w:p>
      <w:pPr>
        <w:pStyle w:val="ListParagraph"/>
        <w:numPr>
          <w:ilvl w:val="0"/>
          <w:numId w:val="2"/>
        </w:numPr>
        <w:spacing w:after="60"/>
      </w:pPr>
      <w:r>
        <w:rPr>
          <w:rFonts w:ascii="Arial" w:cs="Arial" w:eastAsia="Arial" w:hAnsi="Arial"/>
          <w:color w:val="333333"/>
          <w:sz w:val="22"/>
          <w:szCs w:val="22"/>
        </w:rPr>
        <w:t xml:space="preserve">Solvent Reclaimer — sized by degradation rate × circulation. Source contaminants increase degradation.</w:t>
      </w:r>
    </w:p>
    <w:p>
      <w:pPr>
        <w:pStyle w:val="ListParagraph"/>
        <w:numPr>
          <w:ilvl w:val="0"/>
          <w:numId w:val="2"/>
        </w:numPr>
        <w:spacing w:after="60"/>
      </w:pPr>
      <w:r>
        <w:rPr>
          <w:rFonts w:ascii="Arial" w:cs="Arial" w:eastAsia="Arial" w:hAnsi="Arial"/>
          <w:color w:val="333333"/>
          <w:sz w:val="22"/>
          <w:szCs w:val="22"/>
        </w:rPr>
        <w:t xml:space="preserve">Wash Water Section — scales with absorber diameter.</w:t>
      </w:r>
    </w:p>
    <w:p>
      <w:pPr>
        <w:pStyle w:val="ListParagraph"/>
        <w:numPr>
          <w:ilvl w:val="0"/>
          <w:numId w:val="2"/>
        </w:numPr>
        <w:spacing w:after="60"/>
      </w:pPr>
      <w:r>
        <w:rPr>
          <w:rFonts w:ascii="Arial" w:cs="Arial" w:eastAsia="Arial" w:hAnsi="Arial"/>
          <w:color w:val="333333"/>
          <w:sz w:val="22"/>
          <w:szCs w:val="22"/>
        </w:rPr>
        <w:t xml:space="preserve">Solvent Storage &amp; Makeup — proportional to total solvent inventory.</w:t>
      </w:r>
    </w:p>
    <w:p>
      <w:pPr>
        <w:pStyle w:val="Heading3"/>
        <w:spacing w:before="200" w:after="120"/>
      </w:pPr>
      <w:r>
        <w:rPr>
          <w:rFonts w:ascii="Arial" w:cs="Arial" w:eastAsia="Arial" w:hAnsi="Arial"/>
          <w:b/>
          <w:bCs/>
          <w:color w:val="2D5B9E"/>
          <w:sz w:val="22"/>
          <w:szCs w:val="22"/>
        </w:rPr>
        <w:t xml:space="preserve">3.2.2 Account 5.4 — CO₂ Compression &amp; Drying</w:t>
      </w:r>
    </w:p>
    <w:p>
      <w:pPr>
        <w:pStyle w:val="ListParagraph"/>
        <w:numPr>
          <w:ilvl w:val="0"/>
          <w:numId w:val="2"/>
        </w:numPr>
        <w:spacing w:after="60"/>
      </w:pPr>
      <w:r>
        <w:rPr>
          <w:rFonts w:ascii="Arial" w:cs="Arial" w:eastAsia="Arial" w:hAnsi="Arial"/>
          <w:color w:val="333333"/>
          <w:sz w:val="22"/>
          <w:szCs w:val="22"/>
        </w:rPr>
        <w:t xml:space="preserve">Multi-stage Compressor Train — sized by CO₂ mass flow × pressure ratio. 4–8 stages. Reciprocating for &lt;40,000 lb/hr, centrifugal for larger.</w:t>
      </w:r>
    </w:p>
    <w:p>
      <w:pPr>
        <w:pStyle w:val="ListParagraph"/>
        <w:numPr>
          <w:ilvl w:val="0"/>
          <w:numId w:val="2"/>
        </w:numPr>
        <w:spacing w:after="60"/>
      </w:pPr>
      <w:r>
        <w:rPr>
          <w:rFonts w:ascii="Arial" w:cs="Arial" w:eastAsia="Arial" w:hAnsi="Arial"/>
          <w:color w:val="333333"/>
          <w:sz w:val="22"/>
          <w:szCs w:val="22"/>
        </w:rPr>
        <w:t xml:space="preserve">Intercoolers — scales with compression power.</w:t>
      </w:r>
    </w:p>
    <w:p>
      <w:pPr>
        <w:pStyle w:val="ListParagraph"/>
        <w:numPr>
          <w:ilvl w:val="0"/>
          <w:numId w:val="2"/>
        </w:numPr>
        <w:spacing w:after="60"/>
      </w:pPr>
      <w:r>
        <w:rPr>
          <w:rFonts w:ascii="Arial" w:cs="Arial" w:eastAsia="Arial" w:hAnsi="Arial"/>
          <w:color w:val="333333"/>
          <w:sz w:val="22"/>
          <w:szCs w:val="22"/>
        </w:rPr>
        <w:t xml:space="preserve">Knockout Drums — one per stage, scaled by CO₂ flow.</w:t>
      </w:r>
    </w:p>
    <w:p>
      <w:pPr>
        <w:pStyle w:val="ListParagraph"/>
        <w:numPr>
          <w:ilvl w:val="0"/>
          <w:numId w:val="2"/>
        </w:numPr>
        <w:spacing w:after="60"/>
      </w:pPr>
      <w:r>
        <w:rPr>
          <w:rFonts w:ascii="Arial" w:cs="Arial" w:eastAsia="Arial" w:hAnsi="Arial"/>
          <w:color w:val="333333"/>
          <w:sz w:val="22"/>
          <w:szCs w:val="22"/>
        </w:rPr>
        <w:t xml:space="preserve">TEG Dehydration — sized by CO₂ flow × moisture content.</w:t>
      </w:r>
    </w:p>
    <w:p>
      <w:pPr>
        <w:pStyle w:val="Heading3"/>
        <w:spacing w:before="200" w:after="120"/>
      </w:pPr>
      <w:r>
        <w:rPr>
          <w:rFonts w:ascii="Arial" w:cs="Arial" w:eastAsia="Arial" w:hAnsi="Arial"/>
          <w:b/>
          <w:bCs/>
          <w:color w:val="2D5B9E"/>
          <w:sz w:val="22"/>
          <w:szCs w:val="22"/>
        </w:rPr>
        <w:t xml:space="preserve">3.2.3 Balance of Plant Accounts</w:t>
      </w:r>
    </w:p>
    <w:p>
      <w:pPr>
        <w:pStyle w:val="ListParagraph"/>
        <w:numPr>
          <w:ilvl w:val="0"/>
          <w:numId w:val="2"/>
        </w:numPr>
        <w:spacing w:after="60"/>
      </w:pPr>
      <w:r>
        <w:rPr>
          <w:rFonts w:ascii="Arial" w:cs="Arial" w:eastAsia="Arial" w:hAnsi="Arial"/>
          <w:color w:val="333333"/>
          <w:sz w:val="22"/>
          <w:szCs w:val="22"/>
        </w:rPr>
        <w:t xml:space="preserve">Account 3 (Feedwater/BOP) — water makeup, pretreatment, wastewater. Sized by water consumption. Exponent: 0.6.</w:t>
      </w:r>
    </w:p>
    <w:p>
      <w:pPr>
        <w:pStyle w:val="ListParagraph"/>
        <w:numPr>
          <w:ilvl w:val="0"/>
          <w:numId w:val="2"/>
        </w:numPr>
        <w:spacing w:after="60"/>
      </w:pPr>
      <w:r>
        <w:rPr>
          <w:rFonts w:ascii="Arial" w:cs="Arial" w:eastAsia="Arial" w:hAnsi="Arial"/>
          <w:color w:val="333333"/>
          <w:sz w:val="22"/>
          <w:szCs w:val="22"/>
        </w:rPr>
        <w:t xml:space="preserve">Account 8 (Steam System) — steam piping modifications (power plants) OR new industrial boiler (industrial sources). Sized by reboiler duty.</w:t>
      </w:r>
    </w:p>
    <w:p>
      <w:pPr>
        <w:pStyle w:val="ListParagraph"/>
        <w:numPr>
          <w:ilvl w:val="0"/>
          <w:numId w:val="2"/>
        </w:numPr>
        <w:spacing w:after="60"/>
      </w:pPr>
      <w:r>
        <w:rPr>
          <w:rFonts w:ascii="Arial" w:cs="Arial" w:eastAsia="Arial" w:hAnsi="Arial"/>
          <w:color w:val="333333"/>
          <w:sz w:val="22"/>
          <w:szCs w:val="22"/>
        </w:rPr>
        <w:t xml:space="preserve">Account 9 (Cooling Water) — cooling towers, CW pumps, piping. Sized by total cooling duty. Exponent: 0.65–0.7.</w:t>
      </w:r>
    </w:p>
    <w:p>
      <w:pPr>
        <w:pStyle w:val="ListParagraph"/>
        <w:numPr>
          <w:ilvl w:val="0"/>
          <w:numId w:val="2"/>
        </w:numPr>
        <w:spacing w:after="60"/>
      </w:pPr>
      <w:r>
        <w:rPr>
          <w:rFonts w:ascii="Arial" w:cs="Arial" w:eastAsia="Arial" w:hAnsi="Arial"/>
          <w:color w:val="333333"/>
          <w:sz w:val="22"/>
          <w:szCs w:val="22"/>
        </w:rPr>
        <w:t xml:space="preserve">Account 11 (Electrical) — switchgear, motor control, cable. Sized by total auxiliary power. Exponent: 0.5–0.6.</w:t>
      </w:r>
    </w:p>
    <w:p>
      <w:pPr>
        <w:pStyle w:val="ListParagraph"/>
        <w:numPr>
          <w:ilvl w:val="0"/>
          <w:numId w:val="2"/>
        </w:numPr>
        <w:spacing w:after="60"/>
      </w:pPr>
      <w:r>
        <w:rPr>
          <w:rFonts w:ascii="Arial" w:cs="Arial" w:eastAsia="Arial" w:hAnsi="Arial"/>
          <w:color w:val="333333"/>
          <w:sz w:val="22"/>
          <w:szCs w:val="22"/>
        </w:rPr>
        <w:t xml:space="preserve">Accounts 12–14 (I&amp;C, Site, Buildings) — low scaling exponents (~0.3). Nearly fixed costs.</w:t>
      </w:r>
    </w:p>
    <w:p>
      <w:pPr>
        <w:pStyle w:val="Heading2"/>
        <w:spacing w:before="240" w:after="140"/>
      </w:pPr>
      <w:r>
        <w:rPr>
          <w:rFonts w:ascii="Arial" w:cs="Arial" w:eastAsia="Arial" w:hAnsi="Arial"/>
          <w:b/>
          <w:bCs/>
          <w:color w:val="1A1A2E"/>
          <w:sz w:val="26"/>
          <w:szCs w:val="26"/>
        </w:rPr>
        <w:t xml:space="preserve">3.3 From BEC to Total Installed Cost</w:t>
      </w:r>
    </w:p>
    <w:p>
      <w:pPr>
        <w:pStyle w:val="ListParagraph"/>
        <w:numPr>
          <w:ilvl w:val="0"/>
          <w:numId w:val="2"/>
        </w:numPr>
        <w:spacing w:after="60"/>
      </w:pPr>
      <w:r>
        <w:rPr>
          <w:rFonts w:ascii="Arial" w:cs="Arial" w:eastAsia="Arial" w:hAnsi="Arial"/>
          <w:color w:val="333333"/>
          <w:sz w:val="22"/>
          <w:szCs w:val="22"/>
        </w:rPr>
        <w:t xml:space="preserve">BEC = sum of all equipment accounts</w:t>
      </w:r>
    </w:p>
    <w:p>
      <w:pPr>
        <w:pStyle w:val="ListParagraph"/>
        <w:numPr>
          <w:ilvl w:val="0"/>
          <w:numId w:val="2"/>
        </w:numPr>
        <w:spacing w:after="60"/>
      </w:pPr>
      <w:r>
        <w:rPr>
          <w:rFonts w:ascii="Arial" w:cs="Arial" w:eastAsia="Arial" w:hAnsi="Arial"/>
          <w:color w:val="333333"/>
          <w:sz w:val="22"/>
          <w:szCs w:val="22"/>
        </w:rPr>
        <w:t xml:space="preserve">+ Engineering, CM, H.O. &amp; Fees (~20% of BEC)</w:t>
      </w:r>
    </w:p>
    <w:p>
      <w:pPr>
        <w:pStyle w:val="ListParagraph"/>
        <w:numPr>
          <w:ilvl w:val="0"/>
          <w:numId w:val="2"/>
        </w:numPr>
        <w:spacing w:after="60"/>
      </w:pPr>
      <w:r>
        <w:rPr>
          <w:rFonts w:ascii="Arial" w:cs="Arial" w:eastAsia="Arial" w:hAnsi="Arial"/>
          <w:color w:val="333333"/>
          <w:sz w:val="22"/>
          <w:szCs w:val="22"/>
        </w:rPr>
        <w:t xml:space="preserve">+ Process Contingency (0% mature to 17–40% novel, applied to Account 5.1)</w:t>
      </w:r>
    </w:p>
    <w:p>
      <w:pPr>
        <w:pStyle w:val="ListParagraph"/>
        <w:numPr>
          <w:ilvl w:val="0"/>
          <w:numId w:val="2"/>
        </w:numPr>
        <w:spacing w:after="60"/>
      </w:pPr>
      <w:r>
        <w:rPr>
          <w:rFonts w:ascii="Arial" w:cs="Arial" w:eastAsia="Arial" w:hAnsi="Arial"/>
          <w:color w:val="333333"/>
          <w:sz w:val="22"/>
          <w:szCs w:val="22"/>
        </w:rPr>
        <w:t xml:space="preserve">+ Project Contingency (~20% of BEC + Eng + Process)</w:t>
      </w:r>
    </w:p>
    <w:p>
      <w:pPr>
        <w:pStyle w:val="ListParagraph"/>
        <w:numPr>
          <w:ilvl w:val="0"/>
          <w:numId w:val="2"/>
        </w:numPr>
        <w:spacing w:after="60"/>
      </w:pPr>
      <w:r>
        <w:rPr>
          <w:rFonts w:ascii="Arial" w:cs="Arial" w:eastAsia="Arial" w:hAnsi="Arial"/>
          <w:color w:val="333333"/>
          <w:sz w:val="22"/>
          <w:szCs w:val="22"/>
        </w:rPr>
        <w:t xml:space="preserve">= Total Plant Cost (TPC)</w:t>
      </w:r>
    </w:p>
    <w:p>
      <w:pPr>
        <w:pStyle w:val="ListParagraph"/>
        <w:numPr>
          <w:ilvl w:val="0"/>
          <w:numId w:val="2"/>
        </w:numPr>
        <w:spacing w:after="60"/>
      </w:pPr>
      <w:r>
        <w:rPr>
          <w:rFonts w:ascii="Arial" w:cs="Arial" w:eastAsia="Arial" w:hAnsi="Arial"/>
          <w:color w:val="333333"/>
          <w:sz w:val="22"/>
          <w:szCs w:val="22"/>
        </w:rPr>
        <w:t xml:space="preserve">× Retrofit Difficulty Factor (1.0 greenfield; 1.01–1.09 by source type; up to 1.3 account-level)</w:t>
      </w:r>
    </w:p>
    <w:p>
      <w:pPr>
        <w:pStyle w:val="ListParagraph"/>
        <w:numPr>
          <w:ilvl w:val="0"/>
          <w:numId w:val="2"/>
        </w:numPr>
        <w:spacing w:after="60"/>
      </w:pPr>
      <w:r>
        <w:rPr>
          <w:rFonts w:ascii="Arial" w:cs="Arial" w:eastAsia="Arial" w:hAnsi="Arial"/>
          <w:color w:val="333333"/>
          <w:sz w:val="22"/>
          <w:szCs w:val="22"/>
        </w:rPr>
        <w:t xml:space="preserve">× Location Factor (0.85–1.30 by US state)</w:t>
      </w:r>
    </w:p>
    <w:p>
      <w:pPr>
        <w:pStyle w:val="ListParagraph"/>
        <w:numPr>
          <w:ilvl w:val="0"/>
          <w:numId w:val="2"/>
        </w:numPr>
        <w:spacing w:after="60"/>
      </w:pPr>
      <w:r>
        <w:rPr>
          <w:rFonts w:ascii="Arial" w:cs="Arial" w:eastAsia="Arial" w:hAnsi="Arial"/>
          <w:color w:val="333333"/>
          <w:sz w:val="22"/>
          <w:szCs w:val="22"/>
        </w:rPr>
        <w:t xml:space="preserve">× CEPCI Adjustment (2018 base to target cost year)</w:t>
      </w:r>
    </w:p>
    <w:p>
      <w:pPr>
        <w:pStyle w:val="ListParagraph"/>
        <w:numPr>
          <w:ilvl w:val="0"/>
          <w:numId w:val="2"/>
        </w:numPr>
        <w:spacing w:after="60"/>
      </w:pPr>
      <w:r>
        <w:rPr>
          <w:rFonts w:ascii="Arial" w:cs="Arial" w:eastAsia="Arial" w:hAnsi="Arial"/>
          <w:color w:val="333333"/>
          <w:sz w:val="22"/>
          <w:szCs w:val="22"/>
        </w:rPr>
        <w:t xml:space="preserve">= Total Installed Cost</w:t>
      </w:r>
    </w:p>
    <w:p>
      <w:pPr>
        <w:pStyle w:val="Heading2"/>
        <w:spacing w:before="240" w:after="140"/>
      </w:pPr>
      <w:r>
        <w:rPr>
          <w:rFonts w:ascii="Arial" w:cs="Arial" w:eastAsia="Arial" w:hAnsi="Arial"/>
          <w:b/>
          <w:bCs/>
          <w:color w:val="1A1A2E"/>
          <w:sz w:val="26"/>
          <w:szCs w:val="26"/>
        </w:rPr>
        <w:t xml:space="preserve">3.4 Owner’s Costs</w:t>
      </w:r>
    </w:p>
    <w:p>
      <w:pPr>
        <w:pStyle w:val="ListParagraph"/>
        <w:numPr>
          <w:ilvl w:val="0"/>
          <w:numId w:val="2"/>
        </w:numPr>
        <w:spacing w:after="60"/>
      </w:pPr>
      <w:r>
        <w:rPr>
          <w:rFonts w:ascii="Arial" w:cs="Arial" w:eastAsia="Arial" w:hAnsi="Arial"/>
          <w:color w:val="333333"/>
          <w:sz w:val="22"/>
          <w:szCs w:val="22"/>
        </w:rPr>
        <w:t xml:space="preserve">Land ($3,000/acre × acreage)</w:t>
      </w:r>
    </w:p>
    <w:p>
      <w:pPr>
        <w:pStyle w:val="ListParagraph"/>
        <w:numPr>
          <w:ilvl w:val="0"/>
          <w:numId w:val="2"/>
        </w:numPr>
        <w:spacing w:after="60"/>
      </w:pPr>
      <w:r>
        <w:rPr>
          <w:rFonts w:ascii="Arial" w:cs="Arial" w:eastAsia="Arial" w:hAnsi="Arial"/>
          <w:color w:val="333333"/>
          <w:sz w:val="22"/>
          <w:szCs w:val="22"/>
        </w:rPr>
        <w:t xml:space="preserve">Financing costs (2.7% of TPC)</w:t>
      </w:r>
    </w:p>
    <w:p>
      <w:pPr>
        <w:pStyle w:val="ListParagraph"/>
        <w:numPr>
          <w:ilvl w:val="0"/>
          <w:numId w:val="2"/>
        </w:numPr>
        <w:spacing w:after="60"/>
      </w:pPr>
      <w:r>
        <w:rPr>
          <w:rFonts w:ascii="Arial" w:cs="Arial" w:eastAsia="Arial" w:hAnsi="Arial"/>
          <w:color w:val="333333"/>
          <w:sz w:val="22"/>
          <w:szCs w:val="22"/>
        </w:rPr>
        <w:t xml:space="preserve">Other owner’s costs (15% of TPC — development, permitting, legal, PM)</w:t>
      </w:r>
    </w:p>
    <w:p>
      <w:pPr>
        <w:pStyle w:val="ListParagraph"/>
        <w:numPr>
          <w:ilvl w:val="0"/>
          <w:numId w:val="2"/>
        </w:numPr>
        <w:spacing w:after="60"/>
      </w:pPr>
      <w:r>
        <w:rPr>
          <w:rFonts w:ascii="Arial" w:cs="Arial" w:eastAsia="Arial" w:hAnsi="Arial"/>
          <w:color w:val="333333"/>
          <w:sz w:val="22"/>
          <w:szCs w:val="22"/>
        </w:rPr>
        <w:t xml:space="preserve">Initial solvent/sorbent fill (first charge)</w:t>
      </w:r>
    </w:p>
    <w:p>
      <w:pPr>
        <w:pStyle w:val="ListParagraph"/>
        <w:numPr>
          <w:ilvl w:val="0"/>
          <w:numId w:val="2"/>
        </w:numPr>
        <w:spacing w:after="60"/>
      </w:pPr>
      <w:r>
        <w:rPr>
          <w:rFonts w:ascii="Arial" w:cs="Arial" w:eastAsia="Arial" w:hAnsi="Arial"/>
          <w:color w:val="333333"/>
          <w:sz w:val="22"/>
          <w:szCs w:val="22"/>
        </w:rPr>
        <w:t xml:space="preserve">Spare parts inventory (0.5% of TPC)</w:t>
      </w:r>
    </w:p>
    <w:p>
      <w:pPr>
        <w:spacing w:after="80"/>
      </w:pPr>
      <w:r>
        <w:rPr>
          <w:rFonts w:ascii="Arial" w:cs="Arial" w:eastAsia="Arial" w:hAnsi="Arial"/>
          <w:b/>
          <w:bCs/>
          <w:color w:val="1B6B4A"/>
          <w:sz w:val="24"/>
          <w:szCs w:val="24"/>
        </w:rPr>
        <w:t xml:space="preserve">CAPEX = Total Installed Cost + Owner’s Costs</w:t>
      </w:r>
    </w:p>
    <w:p>
      <w:pPr>
        <w:spacing w:after="120"/>
      </w:pPr>
      <w:r>
        <w:rPr>
          <w:rFonts w:ascii="Arial" w:cs="Arial" w:eastAsia="Arial" w:hAnsi="Arial"/>
          <w:b/>
          <w:bCs/>
          <w:color w:val="1B6B4A"/>
          <w:sz w:val="24"/>
          <w:szCs w:val="24"/>
        </w:rPr>
        <w:t xml:space="preserve">TASC = CAPEX + Interest During Construction</w:t>
      </w:r>
    </w:p>
    <w:p>
      <w:pPr>
        <w:pStyle w:val="Heading2"/>
        <w:spacing w:before="240" w:after="140"/>
      </w:pPr>
      <w:r>
        <w:rPr>
          <w:rFonts w:ascii="Arial" w:cs="Arial" w:eastAsia="Arial" w:hAnsi="Arial"/>
          <w:b/>
          <w:bCs/>
          <w:color w:val="1A1A2E"/>
          <w:sz w:val="26"/>
          <w:szCs w:val="26"/>
        </w:rPr>
        <w:t xml:space="preserve">3.5 Capacity Scaling Beyond Reference Range</w:t>
      </w:r>
    </w:p>
    <w:p>
      <w:pPr>
        <w:spacing w:after="120"/>
      </w:pPr>
      <w:r>
        <w:rPr>
          <w:rFonts w:ascii="Arial" w:cs="Arial" w:eastAsia="Arial" w:hAnsi="Arial"/>
          <w:color w:val="333333"/>
          <w:sz w:val="22"/>
          <w:szCs w:val="22"/>
        </w:rPr>
        <w:t xml:space="preserve">The six-tenths rule applies within approximately 0.3x to 3.0x the NETL reference plant size. Beyond this range:</w:t>
      </w:r>
    </w:p>
    <w:p>
      <w:pPr>
        <w:pStyle w:val="ListParagraph"/>
        <w:numPr>
          <w:ilvl w:val="0"/>
          <w:numId w:val="2"/>
        </w:numPr>
        <w:spacing w:after="60"/>
      </w:pPr>
      <w:r>
        <w:rPr>
          <w:rFonts w:ascii="Arial" w:cs="Arial" w:eastAsia="Arial" w:hAnsi="Arial"/>
          <w:b/>
          <w:bCs/>
          <w:color w:val="333333"/>
          <w:sz w:val="22"/>
          <w:szCs w:val="22"/>
        </w:rPr>
        <w:t xml:space="preserve">Below lower bound: </w:t>
      </w:r>
      <w:r>
        <w:rPr>
          <w:rFonts w:ascii="Arial" w:cs="Arial" w:eastAsia="Arial" w:hAnsi="Arial"/>
          <w:color w:val="333333"/>
          <w:sz w:val="22"/>
          <w:szCs w:val="22"/>
        </w:rPr>
        <w:t xml:space="preserve">Modified scaling exponents (shifting toward 0.8–0.9) and minimum cost floors on fixed-cost accounts (electrical, I&amp;C, site, buildings).</w:t>
      </w:r>
    </w:p>
    <w:p>
      <w:pPr>
        <w:pStyle w:val="ListParagraph"/>
        <w:numPr>
          <w:ilvl w:val="0"/>
          <w:numId w:val="2"/>
        </w:numPr>
        <w:spacing w:after="60"/>
      </w:pPr>
      <w:r>
        <w:rPr>
          <w:rFonts w:ascii="Arial" w:cs="Arial" w:eastAsia="Arial" w:hAnsi="Arial"/>
          <w:b/>
          <w:bCs/>
          <w:color w:val="333333"/>
          <w:sz w:val="22"/>
          <w:szCs w:val="22"/>
        </w:rPr>
        <w:t xml:space="preserve">Above upper bound: </w:t>
      </w:r>
      <w:r>
        <w:rPr>
          <w:rFonts w:ascii="Arial" w:cs="Arial" w:eastAsia="Arial" w:hAnsi="Arial"/>
          <w:color w:val="333333"/>
          <w:sz w:val="22"/>
          <w:szCs w:val="22"/>
        </w:rPr>
        <w:t xml:space="preserve">Train-based approach. Cost a single maximum-size train, then determine number of trains needed. Shared infrastructure (electrical, site, cooling) scales at reduced exponent across trains. Core process equipment multiplies with ~90–95% discount for additional trains.</w:t>
      </w:r>
    </w:p>
    <w:p>
      <w:pPr>
        <w:spacing w:after="120"/>
      </w:pPr>
      <w:r>
        <w:rPr>
          <w:rFonts w:ascii="Arial" w:cs="Arial" w:eastAsia="Arial" w:hAnsi="Arial"/>
          <w:color w:val="333333"/>
          <w:sz w:val="22"/>
          <w:szCs w:val="22"/>
        </w:rPr>
        <w:t xml:space="preserve">Train size limits are source-specific and based on real equipment constraints. The model flags to the user when a train boundary is crossed.</w:t>
      </w:r>
    </w:p>
    <w:p>
      <w:r>
        <w:br w:type="page"/>
      </w:r>
    </w:p>
    <w:p>
      <w:pPr>
        <w:pStyle w:val="Heading1"/>
        <w:spacing w:before="360" w:after="160"/>
      </w:pPr>
      <w:r>
        <w:rPr>
          <w:rFonts w:ascii="Arial" w:cs="Arial" w:eastAsia="Arial" w:hAnsi="Arial"/>
          <w:b/>
          <w:bCs/>
          <w:color w:val="1B6B4A"/>
          <w:sz w:val="32"/>
          <w:szCs w:val="32"/>
        </w:rPr>
        <w:t xml:space="preserve">4. OPEX Calculation</w:t>
      </w:r>
    </w:p>
    <w:p>
      <w:pPr>
        <w:spacing w:after="120"/>
      </w:pPr>
      <w:r>
        <w:rPr>
          <w:rFonts w:ascii="Arial" w:cs="Arial" w:eastAsia="Arial" w:hAnsi="Arial"/>
          <w:color w:val="333333"/>
          <w:sz w:val="22"/>
          <w:szCs w:val="22"/>
        </w:rPr>
        <w:t xml:space="preserve">Annual operating costs organized into the four components that feed directly into LCOC.</w:t>
      </w:r>
    </w:p>
    <w:p>
      <w:pPr>
        <w:pStyle w:val="Heading2"/>
        <w:spacing w:before="240" w:after="140"/>
      </w:pPr>
      <w:r>
        <w:rPr>
          <w:rFonts w:ascii="Arial" w:cs="Arial" w:eastAsia="Arial" w:hAnsi="Arial"/>
          <w:b/>
          <w:bCs/>
          <w:color w:val="1A1A2E"/>
          <w:sz w:val="26"/>
          <w:szCs w:val="26"/>
        </w:rPr>
        <w:t xml:space="preserve">4.1 Fixed O&amp;M</w:t>
      </w:r>
    </w:p>
    <w:p>
      <w:pPr>
        <w:spacing w:after="120"/>
      </w:pPr>
      <w:r>
        <w:rPr>
          <w:rFonts w:ascii="Arial" w:cs="Arial" w:eastAsia="Arial" w:hAnsi="Arial"/>
          <w:color w:val="333333"/>
          <w:sz w:val="22"/>
          <w:szCs w:val="22"/>
        </w:rPr>
        <w:t xml:space="preserve">Incurred annually regardless of production. Sensitive to capacity factor (same cost spread over fewer tonnes at lower CF).</w:t>
      </w:r>
    </w:p>
    <w:p>
      <w:pPr>
        <w:pStyle w:val="ListParagraph"/>
        <w:numPr>
          <w:ilvl w:val="0"/>
          <w:numId w:val="2"/>
        </w:numPr>
        <w:spacing w:after="60"/>
      </w:pPr>
      <w:r>
        <w:rPr>
          <w:rFonts w:ascii="Arial" w:cs="Arial" w:eastAsia="Arial" w:hAnsi="Arial"/>
          <w:color w:val="333333"/>
          <w:sz w:val="22"/>
          <w:szCs w:val="22"/>
        </w:rPr>
        <w:t xml:space="preserve">Operating labor = operators/shift × shifts × loaded rate ($38.50/hr + 30% burden)</w:t>
      </w:r>
    </w:p>
    <w:p>
      <w:pPr>
        <w:pStyle w:val="ListParagraph"/>
        <w:numPr>
          <w:ilvl w:val="0"/>
          <w:numId w:val="2"/>
        </w:numPr>
        <w:spacing w:after="60"/>
      </w:pPr>
      <w:r>
        <w:rPr>
          <w:rFonts w:ascii="Arial" w:cs="Arial" w:eastAsia="Arial" w:hAnsi="Arial"/>
          <w:color w:val="333333"/>
          <w:sz w:val="22"/>
          <w:szCs w:val="22"/>
        </w:rPr>
        <w:t xml:space="preserve">Maintenance labor &amp; materials = 2–3.5% of TPC annually</w:t>
      </w:r>
    </w:p>
    <w:p>
      <w:pPr>
        <w:pStyle w:val="ListParagraph"/>
        <w:numPr>
          <w:ilvl w:val="0"/>
          <w:numId w:val="2"/>
        </w:numPr>
        <w:spacing w:after="60"/>
      </w:pPr>
      <w:r>
        <w:rPr>
          <w:rFonts w:ascii="Arial" w:cs="Arial" w:eastAsia="Arial" w:hAnsi="Arial"/>
          <w:color w:val="333333"/>
          <w:sz w:val="22"/>
          <w:szCs w:val="22"/>
        </w:rPr>
        <w:t xml:space="preserve">Admin &amp; support labor = 25% of (operating + maintenance labor)</w:t>
      </w:r>
    </w:p>
    <w:p>
      <w:pPr>
        <w:pStyle w:val="ListParagraph"/>
        <w:numPr>
          <w:ilvl w:val="0"/>
          <w:numId w:val="2"/>
        </w:numPr>
        <w:spacing w:after="60"/>
      </w:pPr>
      <w:r>
        <w:rPr>
          <w:rFonts w:ascii="Arial" w:cs="Arial" w:eastAsia="Arial" w:hAnsi="Arial"/>
          <w:color w:val="333333"/>
          <w:sz w:val="22"/>
          <w:szCs w:val="22"/>
        </w:rPr>
        <w:t xml:space="preserve">Property taxes &amp; insurance = 2% of TPC</w:t>
      </w:r>
    </w:p>
    <w:p>
      <w:pPr>
        <w:pStyle w:val="Heading2"/>
        <w:spacing w:before="240" w:after="140"/>
      </w:pPr>
      <w:r>
        <w:rPr>
          <w:rFonts w:ascii="Arial" w:cs="Arial" w:eastAsia="Arial" w:hAnsi="Arial"/>
          <w:b/>
          <w:bCs/>
          <w:color w:val="1A1A2E"/>
          <w:sz w:val="26"/>
          <w:szCs w:val="26"/>
        </w:rPr>
        <w:t xml:space="preserve">4.2 Variable O&amp;M</w:t>
      </w:r>
    </w:p>
    <w:p>
      <w:pPr>
        <w:spacing w:after="120"/>
      </w:pPr>
      <w:r>
        <w:rPr>
          <w:rFonts w:ascii="Arial" w:cs="Arial" w:eastAsia="Arial" w:hAnsi="Arial"/>
          <w:color w:val="333333"/>
          <w:sz w:val="22"/>
          <w:szCs w:val="22"/>
        </w:rPr>
        <w:t xml:space="preserve">Scales with production. Relatively stable $/tonne across capacity factors.</w:t>
      </w:r>
    </w:p>
    <w:p>
      <w:pPr>
        <w:pStyle w:val="ListParagraph"/>
        <w:numPr>
          <w:ilvl w:val="0"/>
          <w:numId w:val="2"/>
        </w:numPr>
        <w:spacing w:after="60"/>
      </w:pPr>
      <w:r>
        <w:rPr>
          <w:rFonts w:ascii="Arial" w:cs="Arial" w:eastAsia="Arial" w:hAnsi="Arial"/>
          <w:color w:val="333333"/>
          <w:sz w:val="22"/>
          <w:szCs w:val="22"/>
        </w:rPr>
        <w:t xml:space="preserve">Solvent/sorbent makeup &amp; chemicals (technology-specific degradation rates)</w:t>
      </w:r>
    </w:p>
    <w:p>
      <w:pPr>
        <w:pStyle w:val="ListParagraph"/>
        <w:numPr>
          <w:ilvl w:val="0"/>
          <w:numId w:val="2"/>
        </w:numPr>
        <w:spacing w:after="60"/>
      </w:pPr>
      <w:r>
        <w:rPr>
          <w:rFonts w:ascii="Arial" w:cs="Arial" w:eastAsia="Arial" w:hAnsi="Arial"/>
          <w:color w:val="333333"/>
          <w:sz w:val="22"/>
          <w:szCs w:val="22"/>
        </w:rPr>
        <w:t xml:space="preserve">Water (process + cooling makeup @ $1.90/1000 gal)</w:t>
      </w:r>
    </w:p>
    <w:p>
      <w:pPr>
        <w:pStyle w:val="ListParagraph"/>
        <w:numPr>
          <w:ilvl w:val="0"/>
          <w:numId w:val="2"/>
        </w:numPr>
        <w:spacing w:after="60"/>
      </w:pPr>
      <w:r>
        <w:rPr>
          <w:rFonts w:ascii="Arial" w:cs="Arial" w:eastAsia="Arial" w:hAnsi="Arial"/>
          <w:color w:val="333333"/>
          <w:sz w:val="22"/>
          <w:szCs w:val="22"/>
        </w:rPr>
        <w:t xml:space="preserve">Waste disposal (spent solvent, reclaimer bottoms, spent catalyst)</w:t>
      </w:r>
    </w:p>
    <w:p>
      <w:pPr>
        <w:pStyle w:val="ListParagraph"/>
        <w:numPr>
          <w:ilvl w:val="0"/>
          <w:numId w:val="2"/>
        </w:numPr>
        <w:spacing w:after="60"/>
      </w:pPr>
      <w:r>
        <w:rPr>
          <w:rFonts w:ascii="Arial" w:cs="Arial" w:eastAsia="Arial" w:hAnsi="Arial"/>
          <w:color w:val="333333"/>
          <w:sz w:val="22"/>
          <w:szCs w:val="22"/>
        </w:rPr>
        <w:t xml:space="preserve">Other consumables (TEG, SCR catalyst, ammonia)</w:t>
      </w:r>
    </w:p>
    <w:p>
      <w:pPr>
        <w:pStyle w:val="Heading2"/>
        <w:spacing w:before="240" w:after="140"/>
      </w:pPr>
      <w:r>
        <w:rPr>
          <w:rFonts w:ascii="Arial" w:cs="Arial" w:eastAsia="Arial" w:hAnsi="Arial"/>
          <w:b/>
          <w:bCs/>
          <w:color w:val="1A1A2E"/>
          <w:sz w:val="26"/>
          <w:szCs w:val="26"/>
        </w:rPr>
        <w:t xml:space="preserve">4.3 Purchased Power</w:t>
      </w:r>
    </w:p>
    <w:p>
      <w:pPr>
        <w:pStyle w:val="ListParagraph"/>
        <w:numPr>
          <w:ilvl w:val="0"/>
          <w:numId w:val="2"/>
        </w:numPr>
        <w:spacing w:after="60"/>
      </w:pPr>
      <w:r>
        <w:rPr>
          <w:rFonts w:ascii="Arial" w:cs="Arial" w:eastAsia="Arial" w:hAnsi="Arial"/>
          <w:b/>
          <w:bCs/>
          <w:color w:val="333333"/>
          <w:sz w:val="22"/>
          <w:szCs w:val="22"/>
        </w:rPr>
        <w:t xml:space="preserve">Industrial sources: </w:t>
      </w:r>
      <w:r>
        <w:rPr>
          <w:rFonts w:ascii="Arial" w:cs="Arial" w:eastAsia="Arial" w:hAnsi="Arial"/>
          <w:color w:val="333333"/>
          <w:sz w:val="22"/>
          <w:szCs w:val="22"/>
        </w:rPr>
        <w:t xml:space="preserve">Total aux load (kW) × 8,760 × CF × electricity price. NETL default: $60/MWh.</w:t>
      </w:r>
    </w:p>
    <w:p>
      <w:pPr>
        <w:pStyle w:val="ListParagraph"/>
        <w:numPr>
          <w:ilvl w:val="0"/>
          <w:numId w:val="2"/>
        </w:numPr>
        <w:spacing w:after="60"/>
      </w:pPr>
      <w:r>
        <w:rPr>
          <w:rFonts w:ascii="Arial" w:cs="Arial" w:eastAsia="Arial" w:hAnsi="Arial"/>
          <w:b/>
          <w:bCs/>
          <w:color w:val="333333"/>
          <w:sz w:val="22"/>
          <w:szCs w:val="22"/>
        </w:rPr>
        <w:t xml:space="preserve">Power plants: </w:t>
      </w:r>
      <w:r>
        <w:rPr>
          <w:rFonts w:ascii="Arial" w:cs="Arial" w:eastAsia="Arial" w:hAnsi="Arial"/>
          <w:color w:val="333333"/>
          <w:sz w:val="22"/>
          <w:szCs w:val="22"/>
        </w:rPr>
        <w:t xml:space="preserve">Makeup Power Cost (MPC) = (MW before – MW after) × 8,760 × CF × Projected Sales Price. Captures both electrical load and steam extraction penalty. NETL default PSP: $30/MWh.</w:t>
      </w:r>
    </w:p>
    <w:p>
      <w:pPr>
        <w:pStyle w:val="Heading2"/>
        <w:spacing w:before="240" w:after="140"/>
      </w:pPr>
      <w:r>
        <w:rPr>
          <w:rFonts w:ascii="Arial" w:cs="Arial" w:eastAsia="Arial" w:hAnsi="Arial"/>
          <w:b/>
          <w:bCs/>
          <w:color w:val="1A1A2E"/>
          <w:sz w:val="26"/>
          <w:szCs w:val="26"/>
        </w:rPr>
        <w:t xml:space="preserve">4.4 Purchased Natural Gas</w:t>
      </w:r>
    </w:p>
    <w:p>
      <w:pPr>
        <w:pStyle w:val="ListParagraph"/>
        <w:numPr>
          <w:ilvl w:val="0"/>
          <w:numId w:val="2"/>
        </w:numPr>
        <w:spacing w:after="60"/>
      </w:pPr>
      <w:r>
        <w:rPr>
          <w:rFonts w:ascii="Arial" w:cs="Arial" w:eastAsia="Arial" w:hAnsi="Arial"/>
          <w:b/>
          <w:bCs/>
          <w:color w:val="333333"/>
          <w:sz w:val="22"/>
          <w:szCs w:val="22"/>
        </w:rPr>
        <w:t xml:space="preserve">Sources requiring boiler steam (cement, steel, pulp/paper): </w:t>
      </w:r>
      <w:r>
        <w:rPr>
          <w:rFonts w:ascii="Arial" w:cs="Arial" w:eastAsia="Arial" w:hAnsi="Arial"/>
          <w:color w:val="333333"/>
          <w:sz w:val="22"/>
          <w:szCs w:val="22"/>
        </w:rPr>
        <w:t xml:space="preserve">Reboiler duty ÷ boiler efficiency (~85%) × hours × CF × $/MMBtu.</w:t>
      </w:r>
    </w:p>
    <w:p>
      <w:pPr>
        <w:pStyle w:val="ListParagraph"/>
        <w:numPr>
          <w:ilvl w:val="0"/>
          <w:numId w:val="2"/>
        </w:numPr>
        <w:spacing w:after="60"/>
      </w:pPr>
      <w:r>
        <w:rPr>
          <w:rFonts w:ascii="Arial" w:cs="Arial" w:eastAsia="Arial" w:hAnsi="Arial"/>
          <w:b/>
          <w:bCs/>
          <w:color w:val="333333"/>
          <w:sz w:val="22"/>
          <w:szCs w:val="22"/>
        </w:rPr>
        <w:t xml:space="preserve">Power plants: </w:t>
      </w:r>
      <w:r>
        <w:rPr>
          <w:rFonts w:ascii="Arial" w:cs="Arial" w:eastAsia="Arial" w:hAnsi="Arial"/>
          <w:color w:val="333333"/>
          <w:sz w:val="22"/>
          <w:szCs w:val="22"/>
        </w:rPr>
        <w:t xml:space="preserve">Zero. Same fuel burn; penalty captured in MPC.</w:t>
      </w:r>
    </w:p>
    <w:p>
      <w:pPr>
        <w:pStyle w:val="ListParagraph"/>
        <w:numPr>
          <w:ilvl w:val="0"/>
          <w:numId w:val="2"/>
        </w:numPr>
        <w:spacing w:after="60"/>
      </w:pPr>
      <w:r>
        <w:rPr>
          <w:rFonts w:ascii="Arial" w:cs="Arial" w:eastAsia="Arial" w:hAnsi="Arial"/>
          <w:b/>
          <w:bCs/>
          <w:color w:val="333333"/>
          <w:sz w:val="22"/>
          <w:szCs w:val="22"/>
        </w:rPr>
        <w:t xml:space="preserve">High-purity sources: </w:t>
      </w:r>
      <w:r>
        <w:rPr>
          <w:rFonts w:ascii="Arial" w:cs="Arial" w:eastAsia="Arial" w:hAnsi="Arial"/>
          <w:color w:val="333333"/>
          <w:sz w:val="22"/>
          <w:szCs w:val="22"/>
        </w:rPr>
        <w:t xml:space="preserve">Zero. No solvent, no steam.</w:t>
      </w:r>
    </w:p>
    <w:p>
      <w:pPr>
        <w:spacing w:after="120"/>
      </w:pPr>
      <w:r>
        <w:rPr>
          <w:rFonts w:ascii="Arial" w:cs="Arial" w:eastAsia="Arial" w:hAnsi="Arial"/>
          <w:color w:val="333333"/>
          <w:sz w:val="22"/>
          <w:szCs w:val="22"/>
        </w:rPr>
        <w:t xml:space="preserve">Gas price by operating year comes from the Henry Hub forward strip + state basis differential, clamped to strip endpoints for years beyond the strip.</w:t>
      </w:r>
    </w:p>
    <w:p>
      <w:r>
        <w:br w:type="page"/>
      </w:r>
    </w:p>
    <w:p>
      <w:pPr>
        <w:pStyle w:val="Heading1"/>
        <w:spacing w:before="360" w:after="160"/>
      </w:pPr>
      <w:r>
        <w:rPr>
          <w:rFonts w:ascii="Arial" w:cs="Arial" w:eastAsia="Arial" w:hAnsi="Arial"/>
          <w:b/>
          <w:bCs/>
          <w:color w:val="1B6B4A"/>
          <w:sz w:val="32"/>
          <w:szCs w:val="32"/>
        </w:rPr>
        <w:t xml:space="preserve">5. Source-Specific Logic</w:t>
      </w:r>
    </w:p>
    <w:p>
      <w:pPr>
        <w:spacing w:after="120"/>
      </w:pPr>
      <w:r>
        <w:rPr>
          <w:rFonts w:ascii="Arial" w:cs="Arial" w:eastAsia="Arial" w:hAnsi="Arial"/>
          <w:color w:val="333333"/>
          <w:sz w:val="22"/>
          <w:szCs w:val="22"/>
        </w:rPr>
        <w:t xml:space="preserve">Each emission source has unique characteristics that affect equipment selection, sizing, cost structure, and energy treatment. This section documents the nuances for each source.</w:t>
      </w:r>
    </w:p>
    <w:p>
      <w:pPr>
        <w:pStyle w:val="Heading2"/>
        <w:spacing w:before="240" w:after="140"/>
      </w:pPr>
      <w:r>
        <w:rPr>
          <w:rFonts w:ascii="Arial" w:cs="Arial" w:eastAsia="Arial" w:hAnsi="Arial"/>
          <w:b/>
          <w:bCs/>
          <w:color w:val="1A1A2E"/>
          <w:sz w:val="26"/>
          <w:szCs w:val="26"/>
        </w:rPr>
        <w:t xml:space="preserve">5.1 Ammonia</w:t>
      </w:r>
    </w:p>
    <w:p>
      <w:pPr>
        <w:pStyle w:val="Heading3"/>
        <w:spacing w:before="200" w:after="120"/>
      </w:pPr>
      <w:r>
        <w:rPr>
          <w:rFonts w:ascii="Arial" w:cs="Arial" w:eastAsia="Arial" w:hAnsi="Arial"/>
          <w:b/>
          <w:bCs/>
          <w:color w:val="2D5B9E"/>
          <w:sz w:val="22"/>
          <w:szCs w:val="22"/>
        </w:rPr>
        <w:t xml:space="preserve">5.1.1 Reformer Type Toggle: SMR vs ATR</w:t>
      </w:r>
    </w:p>
    <w:p>
      <w:pPr>
        <w:spacing w:after="120"/>
      </w:pPr>
      <w:r>
        <w:rPr>
          <w:rFonts w:ascii="Arial" w:cs="Arial" w:eastAsia="Arial" w:hAnsi="Arial"/>
          <w:color w:val="333333"/>
          <w:sz w:val="22"/>
          <w:szCs w:val="22"/>
        </w:rPr>
        <w:t xml:space="preserve">The reformer type fundamentally changes the CO₂ capture economics.</w:t>
      </w:r>
    </w:p>
    <w:p>
      <w:pPr>
        <w:pStyle w:val="ListParagraph"/>
        <w:numPr>
          <w:ilvl w:val="0"/>
          <w:numId w:val="2"/>
        </w:numPr>
        <w:spacing w:after="60"/>
      </w:pPr>
      <w:r>
        <w:rPr>
          <w:rFonts w:ascii="Arial" w:cs="Arial" w:eastAsia="Arial" w:hAnsi="Arial"/>
          <w:b/>
          <w:bCs/>
          <w:color w:val="333333"/>
          <w:sz w:val="22"/>
          <w:szCs w:val="22"/>
        </w:rPr>
        <w:t xml:space="preserve">SMR (Steam Methane Reforming): </w:t>
      </w:r>
      <w:r>
        <w:rPr>
          <w:rFonts w:ascii="Arial" w:cs="Arial" w:eastAsia="Arial" w:hAnsi="Arial"/>
          <w:color w:val="333333"/>
          <w:sz w:val="22"/>
          <w:szCs w:val="22"/>
        </w:rPr>
        <w:t xml:space="preserve">External combustion in a furnace heats reformer tubes. Produces two CO₂ streams: syngas (~60–66% of emissions, high purity) and reformer flue gas (~30–40% of emissions, dilute at ~8–18% CO₂). Most existing US ammonia plants are SMR-based.</w:t>
      </w:r>
    </w:p>
    <w:p>
      <w:pPr>
        <w:pStyle w:val="ListParagraph"/>
        <w:numPr>
          <w:ilvl w:val="0"/>
          <w:numId w:val="2"/>
        </w:numPr>
        <w:spacing w:after="60"/>
      </w:pPr>
      <w:r>
        <w:rPr>
          <w:rFonts w:ascii="Arial" w:cs="Arial" w:eastAsia="Arial" w:hAnsi="Arial"/>
          <w:b/>
          <w:bCs/>
          <w:color w:val="333333"/>
          <w:sz w:val="22"/>
          <w:szCs w:val="22"/>
        </w:rPr>
        <w:t xml:space="preserve">ATR (Autothermal Reforming): </w:t>
      </w:r>
      <w:r>
        <w:rPr>
          <w:rFonts w:ascii="Arial" w:cs="Arial" w:eastAsia="Arial" w:hAnsi="Arial"/>
          <w:color w:val="333333"/>
          <w:sz w:val="22"/>
          <w:szCs w:val="22"/>
        </w:rPr>
        <w:t xml:space="preserve">Partial oxidation inside the reactor provides reforming heat. No external furnace, so virtually no flue gas stream. 90–99% of all CO₂ ends up in the syngas at high pressure (30–50 bar). Requires an ASU for oxygen supply (base plant cost, not capture cost). More economical for large-scale plants (&gt;1M tonnes NH₃/yr). Capture cost per tonne is lower because all CO₂ is in one high-purity, high-pressure stream.</w:t>
      </w:r>
    </w:p>
    <w:p>
      <w:pPr>
        <w:pStyle w:val="Heading3"/>
        <w:spacing w:before="200" w:after="120"/>
      </w:pPr>
      <w:r>
        <w:rPr>
          <w:rFonts w:ascii="Arial" w:cs="Arial" w:eastAsia="Arial" w:hAnsi="Arial"/>
          <w:b/>
          <w:bCs/>
          <w:color w:val="2D5B9E"/>
          <w:sz w:val="22"/>
          <w:szCs w:val="22"/>
        </w:rPr>
        <w:t xml:space="preserve">5.1.2 Capture Scope Options (SMR only)</w:t>
      </w:r>
    </w:p>
    <w:p>
      <w:pPr>
        <w:spacing w:after="120"/>
      </w:pPr>
      <w:r>
        <w:rPr>
          <w:rFonts w:ascii="Arial" w:cs="Arial" w:eastAsia="Arial" w:hAnsi="Arial"/>
          <w:color w:val="333333"/>
          <w:sz w:val="22"/>
          <w:szCs w:val="22"/>
        </w:rPr>
        <w:t xml:space="preserve">When SMR is selected, three capture scope options are available:</w:t>
      </w:r>
    </w:p>
    <w:p>
      <w:pPr>
        <w:pStyle w:val="ListParagraph"/>
        <w:numPr>
          <w:ilvl w:val="0"/>
          <w:numId w:val="2"/>
        </w:numPr>
        <w:spacing w:after="60"/>
      </w:pPr>
      <w:r>
        <w:rPr>
          <w:rFonts w:ascii="Arial" w:cs="Arial" w:eastAsia="Arial" w:hAnsi="Arial"/>
          <w:b/>
          <w:bCs/>
          <w:color w:val="333333"/>
          <w:sz w:val="22"/>
          <w:szCs w:val="22"/>
        </w:rPr>
        <w:t xml:space="preserve">Syngas CO₂ Only: </w:t>
      </w:r>
      <w:r>
        <w:rPr>
          <w:rFonts w:ascii="Arial" w:cs="Arial" w:eastAsia="Arial" w:hAnsi="Arial"/>
          <w:color w:val="333333"/>
          <w:sz w:val="22"/>
          <w:szCs w:val="22"/>
        </w:rPr>
        <w:t xml:space="preserve">High-purity stream already separated as part of ammonia production. Capture cost is compression + dehydration only (~$19/tonne per NETL). Captures ~55–65% of total facility emissions. This is the NETL reference case.</w:t>
      </w:r>
    </w:p>
    <w:p>
      <w:pPr>
        <w:pStyle w:val="ListParagraph"/>
        <w:numPr>
          <w:ilvl w:val="0"/>
          <w:numId w:val="2"/>
        </w:numPr>
        <w:spacing w:after="60"/>
      </w:pPr>
      <w:r>
        <w:rPr>
          <w:rFonts w:ascii="Arial" w:cs="Arial" w:eastAsia="Arial" w:hAnsi="Arial"/>
          <w:b/>
          <w:bCs/>
          <w:color w:val="333333"/>
          <w:sz w:val="22"/>
          <w:szCs w:val="22"/>
        </w:rPr>
        <w:t xml:space="preserve">Flue Gas CO₂ Only: </w:t>
      </w:r>
      <w:r>
        <w:rPr>
          <w:rFonts w:ascii="Arial" w:cs="Arial" w:eastAsia="Arial" w:hAnsi="Arial"/>
          <w:color w:val="333333"/>
          <w:sz w:val="22"/>
          <w:szCs w:val="22"/>
        </w:rPr>
        <w:t xml:space="preserve">Dilute combustion exhaust from reformer furnace at ~8–18% CO₂. Requires full post-combustion capture system (absorber, stripper, reboiler, compression). Captures ~30–40% of facility emissions. Cost comparable to industrial post-combustion capture ($50–70/tonne).</w:t>
      </w:r>
    </w:p>
    <w:p>
      <w:pPr>
        <w:pStyle w:val="ListParagraph"/>
        <w:numPr>
          <w:ilvl w:val="0"/>
          <w:numId w:val="2"/>
        </w:numPr>
        <w:spacing w:after="60"/>
      </w:pPr>
      <w:r>
        <w:rPr>
          <w:rFonts w:ascii="Arial" w:cs="Arial" w:eastAsia="Arial" w:hAnsi="Arial"/>
          <w:b/>
          <w:bCs/>
          <w:color w:val="333333"/>
          <w:sz w:val="22"/>
          <w:szCs w:val="22"/>
        </w:rPr>
        <w:t xml:space="preserve">Both Streams: </w:t>
      </w:r>
      <w:r>
        <w:rPr>
          <w:rFonts w:ascii="Arial" w:cs="Arial" w:eastAsia="Arial" w:hAnsi="Arial"/>
          <w:color w:val="333333"/>
          <w:sz w:val="22"/>
          <w:szCs w:val="22"/>
        </w:rPr>
        <w:t xml:space="preserve">Two separate capture systems operating in parallel. Syngas portion uses compression-only cost structure. Flue gas portion uses full post-combustion cost structure. Blended LCOC = (syngas LCOC × syngas volume + flue gas LCOC × flue gas volume) ÷ total volume. Total CAPEX is sum of both systems. Captures ~90–95% of facility emissions.</w:t>
      </w:r>
    </w:p>
    <w:p>
      <w:pPr>
        <w:spacing w:after="120"/>
      </w:pPr>
      <w:r>
        <w:rPr>
          <w:rFonts w:ascii="Arial" w:cs="Arial" w:eastAsia="Arial" w:hAnsi="Arial"/>
          <w:color w:val="333333"/>
          <w:sz w:val="22"/>
          <w:szCs w:val="22"/>
        </w:rPr>
        <w:t xml:space="preserve">For ATR, there is effectively one capture scope: the syngas stream containing 90–98% of all emissions.</w:t>
      </w:r>
    </w:p>
    <w:p>
      <w:pPr>
        <w:pStyle w:val="Heading3"/>
        <w:spacing w:before="200" w:after="120"/>
      </w:pPr>
      <w:r>
        <w:rPr>
          <w:rFonts w:ascii="Arial" w:cs="Arial" w:eastAsia="Arial" w:hAnsi="Arial"/>
          <w:b/>
          <w:bCs/>
          <w:color w:val="2D5B9E"/>
          <w:sz w:val="22"/>
          <w:szCs w:val="22"/>
        </w:rPr>
        <w:t xml:space="preserve">5.1.3 Urea CO₂ Diversion Toggle</w:t>
      </w:r>
    </w:p>
    <w:p>
      <w:pPr>
        <w:spacing w:after="120"/>
      </w:pPr>
      <w:r>
        <w:rPr>
          <w:rFonts w:ascii="Arial" w:cs="Arial" w:eastAsia="Arial" w:hAnsi="Arial"/>
          <w:color w:val="333333"/>
          <w:sz w:val="22"/>
          <w:szCs w:val="22"/>
        </w:rPr>
        <w:t xml:space="preserve">Many ammonia plants consume a portion of syngas CO₂ for urea production. This CO₂ is not available for capture and storage. The urea production equipment is entirely a base plant cost — not a capture cost.</w:t>
      </w:r>
    </w:p>
    <w:p>
      <w:pPr>
        <w:spacing w:after="120"/>
      </w:pPr>
      <w:r>
        <w:rPr>
          <w:rFonts w:ascii="Arial" w:cs="Arial" w:eastAsia="Arial" w:hAnsi="Arial"/>
          <w:color w:val="333333"/>
          <w:sz w:val="22"/>
          <w:szCs w:val="22"/>
        </w:rPr>
        <w:t xml:space="preserve">When enabled, the user inputs a diversion percentage (0–100%). Effect on model:</w:t>
      </w:r>
    </w:p>
    <w:p>
      <w:pPr>
        <w:pStyle w:val="ListParagraph"/>
        <w:numPr>
          <w:ilvl w:val="0"/>
          <w:numId w:val="2"/>
        </w:numPr>
        <w:spacing w:after="60"/>
      </w:pPr>
      <w:r>
        <w:rPr>
          <w:rFonts w:ascii="Arial" w:cs="Arial" w:eastAsia="Arial" w:hAnsi="Arial"/>
          <w:color w:val="333333"/>
          <w:sz w:val="22"/>
          <w:szCs w:val="22"/>
        </w:rPr>
        <w:t xml:space="preserve">Syngas CO₂ available for capture = total syngas CO₂ × (1 – diversion %)</w:t>
      </w:r>
    </w:p>
    <w:p>
      <w:pPr>
        <w:pStyle w:val="ListParagraph"/>
        <w:numPr>
          <w:ilvl w:val="0"/>
          <w:numId w:val="2"/>
        </w:numPr>
        <w:spacing w:after="60"/>
      </w:pPr>
      <w:r>
        <w:rPr>
          <w:rFonts w:ascii="Arial" w:cs="Arial" w:eastAsia="Arial" w:hAnsi="Arial"/>
          <w:color w:val="333333"/>
          <w:sz w:val="22"/>
          <w:szCs w:val="22"/>
        </w:rPr>
        <w:t xml:space="preserve">Compression system is sized for the reduced flow</w:t>
      </w:r>
    </w:p>
    <w:p>
      <w:pPr>
        <w:pStyle w:val="ListParagraph"/>
        <w:numPr>
          <w:ilvl w:val="0"/>
          <w:numId w:val="2"/>
        </w:numPr>
        <w:spacing w:after="60"/>
      </w:pPr>
      <w:r>
        <w:rPr>
          <w:rFonts w:ascii="Arial" w:cs="Arial" w:eastAsia="Arial" w:hAnsi="Arial"/>
          <w:color w:val="333333"/>
          <w:sz w:val="22"/>
          <w:szCs w:val="22"/>
        </w:rPr>
        <w:t xml:space="preserve">Fixed costs spread over fewer tonnes, potentially increasing LCOC per tonne</w:t>
      </w:r>
    </w:p>
    <w:p>
      <w:pPr>
        <w:pStyle w:val="ListParagraph"/>
        <w:numPr>
          <w:ilvl w:val="0"/>
          <w:numId w:val="2"/>
        </w:numPr>
        <w:spacing w:after="60"/>
      </w:pPr>
      <w:r>
        <w:rPr>
          <w:rFonts w:ascii="Arial" w:cs="Arial" w:eastAsia="Arial" w:hAnsi="Arial"/>
          <w:color w:val="333333"/>
          <w:sz w:val="22"/>
          <w:szCs w:val="22"/>
        </w:rPr>
        <w:t xml:space="preserve">No impact on flue gas stream (reformer burns same fuel regardless of urea production)</w:t>
      </w:r>
    </w:p>
    <w:p>
      <w:pPr>
        <w:pStyle w:val="ListParagraph"/>
        <w:numPr>
          <w:ilvl w:val="0"/>
          <w:numId w:val="2"/>
        </w:numPr>
        <w:spacing w:after="60"/>
      </w:pPr>
      <w:r>
        <w:rPr>
          <w:rFonts w:ascii="Arial" w:cs="Arial" w:eastAsia="Arial" w:hAnsi="Arial"/>
          <w:color w:val="333333"/>
          <w:sz w:val="22"/>
          <w:szCs w:val="22"/>
        </w:rPr>
        <w:t xml:space="preserve">Default: 0% (pure ammonia plant, matching NETL reference)</w:t>
      </w:r>
    </w:p>
    <w:p>
      <w:pPr>
        <w:pStyle w:val="Heading3"/>
        <w:spacing w:before="200" w:after="120"/>
      </w:pPr>
      <w:r>
        <w:rPr>
          <w:rFonts w:ascii="Arial" w:cs="Arial" w:eastAsia="Arial" w:hAnsi="Arial"/>
          <w:b/>
          <w:bCs/>
          <w:color w:val="2D5B9E"/>
          <w:sz w:val="22"/>
          <w:szCs w:val="22"/>
        </w:rPr>
        <w:t xml:space="preserve">5.1.4 Facility Decarbonization Indicator</w:t>
      </w:r>
    </w:p>
    <w:p>
      <w:pPr>
        <w:spacing w:after="120"/>
      </w:pPr>
      <w:r>
        <w:rPr>
          <w:rFonts w:ascii="Arial" w:cs="Arial" w:eastAsia="Arial" w:hAnsi="Arial"/>
          <w:color w:val="333333"/>
          <w:sz w:val="22"/>
          <w:szCs w:val="22"/>
        </w:rPr>
        <w:t xml:space="preserve">The model displays the percentage of total facility emissions being captured, not just the capture rate applied to the selected stream. A user selecting syngas only at 90% capture rate is capturing 90% of ~60% = ~54% of total plant emissions. This must be clear in the UI.</w:t>
      </w:r>
    </w:p>
    <w:p>
      <w:pPr>
        <w:pStyle w:val="Heading3"/>
        <w:spacing w:before="200" w:after="120"/>
      </w:pPr>
      <w:r>
        <w:rPr>
          <w:rFonts w:ascii="Arial" w:cs="Arial" w:eastAsia="Arial" w:hAnsi="Arial"/>
          <w:b/>
          <w:bCs/>
          <w:color w:val="2D5B9E"/>
          <w:sz w:val="22"/>
          <w:szCs w:val="22"/>
        </w:rPr>
        <w:t xml:space="preserve">5.1.5 Back-Solve Logic</w:t>
      </w:r>
    </w:p>
    <w:p>
      <w:pPr>
        <w:spacing w:after="120"/>
      </w:pPr>
      <w:r>
        <w:rPr>
          <w:rFonts w:ascii="Arial" w:cs="Arial" w:eastAsia="Arial" w:hAnsi="Arial"/>
          <w:color w:val="333333"/>
          <w:sz w:val="22"/>
          <w:szCs w:val="22"/>
        </w:rPr>
        <w:t xml:space="preserve">Plant capacity (t NH₃/yr) → Annual output (capacity × CF) → CO₂ produced (output × emission factor). Emission factors:</w:t>
      </w:r>
    </w:p>
    <w:p>
      <w:pPr>
        <w:pStyle w:val="ListParagraph"/>
        <w:numPr>
          <w:ilvl w:val="0"/>
          <w:numId w:val="2"/>
        </w:numPr>
        <w:spacing w:after="60"/>
      </w:pPr>
      <w:r>
        <w:rPr>
          <w:rFonts w:ascii="Arial" w:cs="Arial" w:eastAsia="Arial" w:hAnsi="Arial"/>
          <w:color w:val="333333"/>
          <w:sz w:val="22"/>
          <w:szCs w:val="22"/>
        </w:rPr>
        <w:t xml:space="preserve">Total plant: ~1.87 t CO₂/t NH₃</w:t>
      </w:r>
    </w:p>
    <w:p>
      <w:pPr>
        <w:pStyle w:val="ListParagraph"/>
        <w:numPr>
          <w:ilvl w:val="0"/>
          <w:numId w:val="2"/>
        </w:numPr>
        <w:spacing w:after="60"/>
      </w:pPr>
      <w:r>
        <w:rPr>
          <w:rFonts w:ascii="Arial" w:cs="Arial" w:eastAsia="Arial" w:hAnsi="Arial"/>
          <w:color w:val="333333"/>
          <w:sz w:val="22"/>
          <w:szCs w:val="22"/>
        </w:rPr>
        <w:t xml:space="preserve">Syngas stream: ~1.24 t CO₂/t NH₃ (~66% of total)</w:t>
      </w:r>
    </w:p>
    <w:p>
      <w:pPr>
        <w:pStyle w:val="ListParagraph"/>
        <w:numPr>
          <w:ilvl w:val="0"/>
          <w:numId w:val="2"/>
        </w:numPr>
        <w:spacing w:after="60"/>
      </w:pPr>
      <w:r>
        <w:rPr>
          <w:rFonts w:ascii="Arial" w:cs="Arial" w:eastAsia="Arial" w:hAnsi="Arial"/>
          <w:color w:val="333333"/>
          <w:sz w:val="22"/>
          <w:szCs w:val="22"/>
        </w:rPr>
        <w:t xml:space="preserve">Flue gas stream: ~0.63 t CO₂/t NH₃ (~34% of total)</w:t>
      </w:r>
    </w:p>
    <w:p>
      <w:pPr>
        <w:spacing w:after="120"/>
      </w:pPr>
      <w:r>
        <w:rPr>
          <w:rFonts w:ascii="Arial" w:cs="Arial" w:eastAsia="Arial" w:hAnsi="Arial"/>
          <w:color w:val="333333"/>
          <w:sz w:val="22"/>
          <w:szCs w:val="22"/>
        </w:rPr>
        <w:t xml:space="preserve">User can enter any one of plant capacity, annual output, CO₂ produced, or CO₂ captured. The emission factor used in back-solve must match the selected capture scope.</w:t>
      </w:r>
    </w:p>
    <w:p>
      <w:pPr>
        <w:pStyle w:val="Heading3"/>
        <w:spacing w:before="200" w:after="120"/>
      </w:pPr>
      <w:r>
        <w:rPr>
          <w:rFonts w:ascii="Arial" w:cs="Arial" w:eastAsia="Arial" w:hAnsi="Arial"/>
          <w:b/>
          <w:bCs/>
          <w:color w:val="2D5B9E"/>
          <w:sz w:val="22"/>
          <w:szCs w:val="22"/>
        </w:rPr>
        <w:t xml:space="preserve">5.1.6 Capacity Range and Train Sizing</w:t>
      </w:r>
    </w:p>
    <w:p>
      <w:pPr>
        <w:spacing w:after="120"/>
      </w:pPr>
      <w:r>
        <w:rPr>
          <w:rFonts w:ascii="Arial" w:cs="Arial" w:eastAsia="Arial" w:hAnsi="Arial"/>
          <w:color w:val="333333"/>
          <w:sz w:val="22"/>
          <w:szCs w:val="22"/>
        </w:rPr>
        <w:t xml:space="preserve">US ammonia plants range from ~100,000 to ~4,300,000 t/yr. NETL reference is 394,000 t/yr. Normal scaling (0.3x–3.0x reference) applies for ~120,000 to ~1,200,000 t/yr. Above that, train-based approach. ATR has a maximum single train capacity of approximately 1,100,000 kg H₂/day (ICF, 2023), limited by ASU and reactor vessel size.</w:t>
      </w:r>
    </w:p>
    <w:p>
      <w:pPr>
        <w:pStyle w:val="Heading3"/>
        <w:spacing w:before="200" w:after="120"/>
      </w:pPr>
      <w:r>
        <w:rPr>
          <w:rFonts w:ascii="Arial" w:cs="Arial" w:eastAsia="Arial" w:hAnsi="Arial"/>
          <w:b/>
          <w:bCs/>
          <w:color w:val="2D5B9E"/>
          <w:sz w:val="22"/>
          <w:szCs w:val="22"/>
        </w:rPr>
        <w:t xml:space="preserve">5.1.7 Reference Data</w:t>
      </w:r>
    </w:p>
    <w:p>
      <w:pPr>
        <w:pStyle w:val="ListParagraph"/>
        <w:numPr>
          <w:ilvl w:val="0"/>
          <w:numId w:val="2"/>
        </w:numPr>
        <w:spacing w:after="60"/>
      </w:pPr>
      <w:r>
        <w:rPr>
          <w:rFonts w:ascii="Arial" w:cs="Arial" w:eastAsia="Arial" w:hAnsi="Arial"/>
          <w:color w:val="333333"/>
          <w:sz w:val="22"/>
          <w:szCs w:val="22"/>
        </w:rPr>
        <w:t xml:space="preserve">SMR syngas capture: NETL DOE/NETL-2023/3907 (industrial sources study, ammonia case)</w:t>
      </w:r>
    </w:p>
    <w:p>
      <w:pPr>
        <w:pStyle w:val="ListParagraph"/>
        <w:numPr>
          <w:ilvl w:val="0"/>
          <w:numId w:val="2"/>
        </w:numPr>
        <w:spacing w:after="60"/>
      </w:pPr>
      <w:r>
        <w:rPr>
          <w:rFonts w:ascii="Arial" w:cs="Arial" w:eastAsia="Arial" w:hAnsi="Arial"/>
          <w:color w:val="333333"/>
          <w:sz w:val="22"/>
          <w:szCs w:val="22"/>
        </w:rPr>
        <w:t xml:space="preserve">SMR flue gas capture: Tier 2 estimate derived from industrial combustion flue gas parameters</w:t>
      </w:r>
    </w:p>
    <w:p>
      <w:pPr>
        <w:pStyle w:val="ListParagraph"/>
        <w:numPr>
          <w:ilvl w:val="0"/>
          <w:numId w:val="2"/>
        </w:numPr>
        <w:spacing w:after="60"/>
      </w:pPr>
      <w:r>
        <w:rPr>
          <w:rFonts w:ascii="Arial" w:cs="Arial" w:eastAsia="Arial" w:hAnsi="Arial"/>
          <w:color w:val="333333"/>
          <w:sz w:val="22"/>
          <w:szCs w:val="22"/>
        </w:rPr>
        <w:t xml:space="preserve">ATR capture: IEAGHG 2022-07, ICF 2023, ScienceDirect comparative studies</w:t>
      </w:r>
    </w:p>
    <w:p>
      <w:r>
        <w:br w:type="page"/>
      </w:r>
    </w:p>
    <w:p>
      <w:pPr>
        <w:pStyle w:val="Heading2"/>
        <w:spacing w:before="240" w:after="140"/>
      </w:pPr>
      <w:r>
        <w:rPr>
          <w:rFonts w:ascii="Arial" w:cs="Arial" w:eastAsia="Arial" w:hAnsi="Arial"/>
          <w:b/>
          <w:bCs/>
          <w:color w:val="1A1A2E"/>
          <w:sz w:val="26"/>
          <w:szCs w:val="26"/>
        </w:rPr>
        <w:t xml:space="preserve">5.2 Hydrogen Production</w:t>
      </w:r>
    </w:p>
    <w:p>
      <w:pPr>
        <w:pStyle w:val="Heading3"/>
        <w:spacing w:before="200" w:after="120"/>
      </w:pPr>
      <w:r>
        <w:rPr>
          <w:rFonts w:ascii="Arial" w:cs="Arial" w:eastAsia="Arial" w:hAnsi="Arial"/>
          <w:b/>
          <w:bCs/>
          <w:color w:val="2D5B9E"/>
          <w:sz w:val="22"/>
          <w:szCs w:val="22"/>
        </w:rPr>
        <w:t xml:space="preserve">5.2.1 Sub-Types</w:t>
      </w:r>
    </w:p>
    <w:p>
      <w:pPr>
        <w:pStyle w:val="ListParagraph"/>
        <w:numPr>
          <w:ilvl w:val="0"/>
          <w:numId w:val="2"/>
        </w:numPr>
        <w:spacing w:after="60"/>
      </w:pPr>
      <w:r>
        <w:rPr>
          <w:rFonts w:ascii="Arial" w:cs="Arial" w:eastAsia="Arial" w:hAnsi="Arial"/>
          <w:b/>
          <w:bCs/>
          <w:color w:val="333333"/>
          <w:sz w:val="22"/>
          <w:szCs w:val="22"/>
        </w:rPr>
        <w:t xml:space="preserve">Refinery Hydrogen: </w:t>
      </w:r>
      <w:r>
        <w:rPr>
          <w:rFonts w:ascii="Arial" w:cs="Arial" w:eastAsia="Arial" w:hAnsi="Arial"/>
          <w:color w:val="333333"/>
          <w:sz w:val="22"/>
          <w:szCs w:val="22"/>
        </w:rPr>
        <w:t xml:space="preserve">On-site SMR at a refinery for hydrotreating/hydrocracking. NETL reference: 87,000 t H₂/yr with ADIP-Ultra pre-combustion capture. Predominantly retrofit. Financial assumptions follow petroleum sector.</w:t>
      </w:r>
    </w:p>
    <w:p>
      <w:pPr>
        <w:pStyle w:val="ListParagraph"/>
        <w:numPr>
          <w:ilvl w:val="0"/>
          <w:numId w:val="2"/>
        </w:numPr>
        <w:spacing w:after="60"/>
      </w:pPr>
      <w:r>
        <w:rPr>
          <w:rFonts w:ascii="Arial" w:cs="Arial" w:eastAsia="Arial" w:hAnsi="Arial"/>
          <w:b/>
          <w:bCs/>
          <w:color w:val="333333"/>
          <w:sz w:val="22"/>
          <w:szCs w:val="22"/>
        </w:rPr>
        <w:t xml:space="preserve">Merchant Hydrogen: </w:t>
      </w:r>
      <w:r>
        <w:rPr>
          <w:rFonts w:ascii="Arial" w:cs="Arial" w:eastAsia="Arial" w:hAnsi="Arial"/>
          <w:color w:val="333333"/>
          <w:sz w:val="22"/>
          <w:szCs w:val="22"/>
        </w:rPr>
        <w:t xml:space="preserve">Standalone production for sale or industrial cluster supply. Predominantly new-build. ATR-based by design for most new projects. Financed as independent infrastructure.</w:t>
      </w:r>
    </w:p>
    <w:p>
      <w:pPr>
        <w:pStyle w:val="Heading3"/>
        <w:spacing w:before="200" w:after="120"/>
      </w:pPr>
      <w:r>
        <w:rPr>
          <w:rFonts w:ascii="Arial" w:cs="Arial" w:eastAsia="Arial" w:hAnsi="Arial"/>
          <w:b/>
          <w:bCs/>
          <w:color w:val="2D5B9E"/>
          <w:sz w:val="22"/>
          <w:szCs w:val="22"/>
        </w:rPr>
        <w:t xml:space="preserve">5.2.2 Shared Logic with Ammonia</w:t>
      </w:r>
    </w:p>
    <w:p>
      <w:pPr>
        <w:spacing w:after="120"/>
      </w:pPr>
      <w:r>
        <w:rPr>
          <w:rFonts w:ascii="Arial" w:cs="Arial" w:eastAsia="Arial" w:hAnsi="Arial"/>
          <w:color w:val="333333"/>
          <w:sz w:val="22"/>
          <w:szCs w:val="22"/>
        </w:rPr>
        <w:t xml:space="preserve">Hydrogen production shares the same SMR/ATR toggle and capture scope logic as ammonia. The reforming front end is identical — the difference is downstream use of the hydrogen. The three capture scope options for SMR (syngas only, flue gas only, both) and the single ATR scope apply here identically.</w:t>
      </w:r>
    </w:p>
    <w:p>
      <w:pPr>
        <w:spacing w:after="120"/>
      </w:pPr>
      <w:r>
        <w:rPr>
          <w:rFonts w:ascii="Arial" w:cs="Arial" w:eastAsia="Arial" w:hAnsi="Arial"/>
          <w:color w:val="333333"/>
          <w:sz w:val="22"/>
          <w:szCs w:val="22"/>
        </w:rPr>
        <w:t xml:space="preserve">Key differences from ammonia: no urea diversion toggle, emission factor is ~9–10 t CO₂/t H₂ (vs. 1.87 for ammonia), scale is measured in t H₂/yr rather than t NH₃/yr.</w:t>
      </w:r>
    </w:p>
    <w:p>
      <w:pPr>
        <w:pStyle w:val="Heading3"/>
        <w:spacing w:before="200" w:after="120"/>
      </w:pPr>
      <w:r>
        <w:rPr>
          <w:rFonts w:ascii="Arial" w:cs="Arial" w:eastAsia="Arial" w:hAnsi="Arial"/>
          <w:b/>
          <w:bCs/>
          <w:color w:val="2D5B9E"/>
          <w:sz w:val="22"/>
          <w:szCs w:val="22"/>
        </w:rPr>
        <w:t xml:space="preserve">5.2.3 Refinery Hydrogen — Detailed Nuances</w:t>
      </w:r>
    </w:p>
    <w:p>
      <w:pPr>
        <w:pStyle w:val="ListParagraph"/>
        <w:numPr>
          <w:ilvl w:val="0"/>
          <w:numId w:val="2"/>
        </w:numPr>
        <w:spacing w:after="60"/>
      </w:pPr>
      <w:r>
        <w:rPr>
          <w:rFonts w:ascii="Arial" w:cs="Arial" w:eastAsia="Arial" w:hAnsi="Arial"/>
          <w:b/>
          <w:bCs/>
          <w:color w:val="333333"/>
          <w:sz w:val="22"/>
          <w:szCs w:val="22"/>
        </w:rPr>
        <w:t xml:space="preserve">NETL Reference Case: </w:t>
      </w:r>
      <w:r>
        <w:rPr>
          <w:rFonts w:ascii="Arial" w:cs="Arial" w:eastAsia="Arial" w:hAnsi="Arial"/>
          <w:color w:val="333333"/>
          <w:sz w:val="22"/>
          <w:szCs w:val="22"/>
        </w:rPr>
        <w:t xml:space="preserve">87,000 t H₂/yr. Shell ADIP-Ultra pre-combustion capture on the raw syngas from SMR. ADIP-Ultra is a different technology from the CANSOLV post-combustion system used for most other sources — it operates at high pressure on syngas, not at atmospheric pressure on flue gas. NETL provides both 90% ($59.9/t) and 99% ($57.3/t) capture rate variants.</w:t>
      </w:r>
    </w:p>
    <w:p>
      <w:pPr>
        <w:pStyle w:val="ListParagraph"/>
        <w:numPr>
          <w:ilvl w:val="0"/>
          <w:numId w:val="2"/>
        </w:numPr>
        <w:spacing w:after="60"/>
      </w:pPr>
      <w:r>
        <w:rPr>
          <w:rFonts w:ascii="Arial" w:cs="Arial" w:eastAsia="Arial" w:hAnsi="Arial"/>
          <w:b/>
          <w:bCs/>
          <w:color w:val="333333"/>
          <w:sz w:val="22"/>
          <w:szCs w:val="22"/>
        </w:rPr>
        <w:t xml:space="preserve">Split Compression Train: </w:t>
      </w:r>
      <w:r>
        <w:rPr>
          <w:rFonts w:ascii="Arial" w:cs="Arial" w:eastAsia="Arial" w:hAnsi="Arial"/>
          <w:color w:val="333333"/>
          <w:sz w:val="22"/>
          <w:szCs w:val="22"/>
        </w:rPr>
        <w:t xml:space="preserve">The ADIP-Ultra system produces CO₂ at two different pressures — a medium-pressure stream from the flash vessel and a low-pressure stream from the stripper. These feed into a split compression train with multiple inlet pressures. The model costs the syngas and flue gas compression separately. For syngas-only scope, the split-pressure arrangement applies. For flue-gas-only scope, a standard single-inlet compressor applies.</w:t>
      </w:r>
    </w:p>
    <w:p>
      <w:pPr>
        <w:pStyle w:val="ListParagraph"/>
        <w:numPr>
          <w:ilvl w:val="0"/>
          <w:numId w:val="2"/>
        </w:numPr>
        <w:spacing w:after="60"/>
      </w:pPr>
      <w:r>
        <w:rPr>
          <w:rFonts w:ascii="Arial" w:cs="Arial" w:eastAsia="Arial" w:hAnsi="Arial"/>
          <w:b/>
          <w:bCs/>
          <w:color w:val="333333"/>
          <w:sz w:val="22"/>
          <w:szCs w:val="22"/>
        </w:rPr>
        <w:t xml:space="preserve">Technology Assignment by Capture Scope: </w:t>
      </w:r>
      <w:r>
        <w:rPr>
          <w:rFonts w:ascii="Arial" w:cs="Arial" w:eastAsia="Arial" w:hAnsi="Arial"/>
          <w:color w:val="333333"/>
          <w:sz w:val="22"/>
          <w:szCs w:val="22"/>
        </w:rPr>
        <w:t xml:space="preserve">When the user selects ‘Both Streams,’ the model automatically assigns ADIP-Ultra (pre-combustion) to the syngas stream and CANSOLV or equivalent (post-combustion) to the flue gas stream. The user can select the flue gas technology but the syngas technology is fixed to a pre-combustion solvent. The CAPEX, OPEX, and power for each stream are calculated independently and summed.</w:t>
      </w:r>
    </w:p>
    <w:p>
      <w:pPr>
        <w:pStyle w:val="ListParagraph"/>
        <w:numPr>
          <w:ilvl w:val="0"/>
          <w:numId w:val="2"/>
        </w:numPr>
        <w:spacing w:after="60"/>
      </w:pPr>
      <w:r>
        <w:rPr>
          <w:rFonts w:ascii="Arial" w:cs="Arial" w:eastAsia="Arial" w:hAnsi="Arial"/>
          <w:b/>
          <w:bCs/>
          <w:color w:val="333333"/>
          <w:sz w:val="22"/>
          <w:szCs w:val="22"/>
        </w:rPr>
        <w:t xml:space="preserve">Steam Availability Toggle: </w:t>
      </w:r>
      <w:r>
        <w:rPr>
          <w:rFonts w:ascii="Arial" w:cs="Arial" w:eastAsia="Arial" w:hAnsi="Arial"/>
          <w:color w:val="333333"/>
          <w:sz w:val="22"/>
          <w:szCs w:val="22"/>
        </w:rPr>
        <w:t xml:space="preserve">The NETL study assumes no available steam and includes a new NG-fired boiler for solvent regeneration. However, refineries often have surplus steam at appropriate conditions. The model includes a toggle for ‘Existing Steam Available.’ When enabled, the boiler CAPEX is removed and the fuel cost component is zeroed or reduced, reflecting that the steam is supplied by the existing refinery utility system at no incremental cost.</w:t>
      </w:r>
    </w:p>
    <w:p>
      <w:pPr>
        <w:pStyle w:val="ListParagraph"/>
        <w:numPr>
          <w:ilvl w:val="0"/>
          <w:numId w:val="2"/>
        </w:numPr>
        <w:spacing w:after="60"/>
      </w:pPr>
      <w:r>
        <w:rPr>
          <w:rFonts w:ascii="Arial" w:cs="Arial" w:eastAsia="Arial" w:hAnsi="Arial"/>
          <w:b/>
          <w:bCs/>
          <w:color w:val="333333"/>
          <w:sz w:val="22"/>
          <w:szCs w:val="22"/>
        </w:rPr>
        <w:t xml:space="preserve">Feedstock Toggle: </w:t>
      </w:r>
      <w:r>
        <w:rPr>
          <w:rFonts w:ascii="Arial" w:cs="Arial" w:eastAsia="Arial" w:hAnsi="Arial"/>
          <w:color w:val="333333"/>
          <w:sz w:val="22"/>
          <w:szCs w:val="22"/>
        </w:rPr>
        <w:t xml:space="preserve">NETL assumes natural gas feed to the SMR. Some refineries use refinery fuel gas, which has a different carbon content and produces a slightly different CO₂ volume per tonne of H₂. The model includes a feedstock selector (natural gas vs. refinery fuel gas) that adjusts the emission factor accordingly. Default: natural gas.</w:t>
      </w:r>
    </w:p>
    <w:p>
      <w:pPr>
        <w:pStyle w:val="ListParagraph"/>
        <w:numPr>
          <w:ilvl w:val="0"/>
          <w:numId w:val="2"/>
        </w:numPr>
        <w:spacing w:after="60"/>
      </w:pPr>
      <w:r>
        <w:rPr>
          <w:rFonts w:ascii="Arial" w:cs="Arial" w:eastAsia="Arial" w:hAnsi="Arial"/>
          <w:b/>
          <w:bCs/>
          <w:color w:val="333333"/>
          <w:sz w:val="22"/>
          <w:szCs w:val="22"/>
        </w:rPr>
        <w:t xml:space="preserve">Facility Decarbonization Indicator: </w:t>
      </w:r>
      <w:r>
        <w:rPr>
          <w:rFonts w:ascii="Arial" w:cs="Arial" w:eastAsia="Arial" w:hAnsi="Arial"/>
          <w:color w:val="333333"/>
          <w:sz w:val="22"/>
          <w:szCs w:val="22"/>
        </w:rPr>
        <w:t xml:space="preserve">The model captures CO₂ from the dedicated SMR unit only, not from catalytic reformers or other byproduct hydrogen sources within the refinery. The UI displays the percentage of total refinery hydrogen-related emissions being addressed by the capture scope selected, so the user understands the boundary of the analysis.</w:t>
      </w:r>
    </w:p>
    <w:p>
      <w:pPr>
        <w:pStyle w:val="ListParagraph"/>
        <w:numPr>
          <w:ilvl w:val="0"/>
          <w:numId w:val="2"/>
        </w:numPr>
        <w:spacing w:after="60"/>
      </w:pPr>
      <w:r>
        <w:rPr>
          <w:rFonts w:ascii="Arial" w:cs="Arial" w:eastAsia="Arial" w:hAnsi="Arial"/>
          <w:b/>
          <w:bCs/>
          <w:color w:val="333333"/>
          <w:sz w:val="22"/>
          <w:szCs w:val="22"/>
        </w:rPr>
        <w:t xml:space="preserve">45V Clean Hydrogen Production Tax Credit: </w:t>
      </w:r>
      <w:r>
        <w:rPr>
          <w:rFonts w:ascii="Arial" w:cs="Arial" w:eastAsia="Arial" w:hAnsi="Arial"/>
          <w:color w:val="333333"/>
          <w:sz w:val="22"/>
          <w:szCs w:val="22"/>
        </w:rPr>
        <w:t xml:space="preserve">In addition to 45Q ($85/t CO₂), the model includes the 45V hydrogen production tax credit as an alternative revenue option. The 45V credit is up to $3/kg H₂ based on lifecycle carbon intensity of the hydrogen produced, not on tonnes of CO₂ captured. For configurations with high capture rates and low upstream methane emissions, 45V may be more valuable than 45Q. The model calculates both and shows the comparison, but the user selects which credit to apply (they cannot be stacked on the same project).</w:t>
      </w:r>
    </w:p>
    <w:p>
      <w:pPr>
        <w:pStyle w:val="ListParagraph"/>
        <w:numPr>
          <w:ilvl w:val="0"/>
          <w:numId w:val="2"/>
        </w:numPr>
        <w:spacing w:after="60"/>
      </w:pPr>
      <w:r>
        <w:rPr>
          <w:rFonts w:ascii="Arial" w:cs="Arial" w:eastAsia="Arial" w:hAnsi="Arial"/>
          <w:b/>
          <w:bCs/>
          <w:color w:val="333333"/>
          <w:sz w:val="22"/>
          <w:szCs w:val="22"/>
        </w:rPr>
        <w:t xml:space="preserve">Retrofit Difficulty Factor: </w:t>
      </w:r>
      <w:r>
        <w:rPr>
          <w:rFonts w:ascii="Arial" w:cs="Arial" w:eastAsia="Arial" w:hAnsi="Arial"/>
          <w:color w:val="333333"/>
          <w:sz w:val="22"/>
          <w:szCs w:val="22"/>
        </w:rPr>
        <w:t xml:space="preserve">Default RDF for refinery hydrogen is 1.10 (higher than the 1.05 NETL industrial default). Refineries are particularly challenging retrofit environments: congested sites with limited laydown areas, OSHA PSM-regulated facilities requiring extensive safety protocols for hot work and tie-ins, tie-in work constrained to planned turnarounds every 3–5 years, and reduced labor productivity from working around operating equipment. The NETL QGESS provides account-level RDFs ranging from 1.0 to 1.3; ductwork/piping accounts in a refinery setting would be at the higher end. User-overridable.</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Realistic range is 20,000 to 400,000 t H₂/yr. NETL reference is 87,000 t/yr. Normal six-tenths scaling applies from ~26,000 to ~261,000 t/yr (0.3x to 3.0x reference). Below 26,000, small-scale penalties apply (fixed costs dominate, small compressors cost more per unit). Above 261,000, train-based approach. For SMR, maximum single-train capacity is ~237,000 t H₂/yr (limited by PSA switching valve size per ICF 2023). For ATR, maximum single-train is ~400,000 t H₂/yr (limited by reactor vessel and ASU). ATR scales more economically than SMR at larger capacities.</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(t H₂/yr) → annual output (× CF) → CO₂ produced (× emission factor). Emission factor depends on feedstock selection. User can enter any one of plant capacity, annual output, CO₂ produced, or CO₂ captured. The emission factor used must match the capture scope (syngas only vs. total plant).</w:t>
      </w:r>
    </w:p>
    <w:p>
      <w:pPr>
        <w:pStyle w:val="Heading3"/>
        <w:spacing w:before="200" w:after="120"/>
      </w:pPr>
      <w:r>
        <w:rPr>
          <w:rFonts w:ascii="Arial" w:cs="Arial" w:eastAsia="Arial" w:hAnsi="Arial"/>
          <w:b/>
          <w:bCs/>
          <w:color w:val="2D5B9E"/>
          <w:sz w:val="22"/>
          <w:szCs w:val="22"/>
        </w:rPr>
        <w:t xml:space="preserve">5.2.4 Merchant Hydrogen — Detailed Nuances</w:t>
      </w:r>
    </w:p>
    <w:p>
      <w:pPr>
        <w:spacing w:after="120"/>
      </w:pPr>
      <w:r>
        <w:rPr>
          <w:rFonts w:ascii="Arial" w:cs="Arial" w:eastAsia="Arial" w:hAnsi="Arial"/>
          <w:color w:val="333333"/>
          <w:sz w:val="22"/>
          <w:szCs w:val="22"/>
        </w:rPr>
        <w:t xml:space="preserve">Standalone hydrogen production facility built to produce and sell hydrogen. Not embedded within a larger industrial complex. Represents the growing blue hydrogen market (Air Products Louisiana, ExxonMobil Baytown, BP Teesside, etc.).</w:t>
      </w:r>
    </w:p>
    <w:p>
      <w:pPr>
        <w:pStyle w:val="ListParagraph"/>
        <w:numPr>
          <w:ilvl w:val="0"/>
          <w:numId w:val="2"/>
        </w:numPr>
        <w:spacing w:after="60"/>
      </w:pPr>
      <w:r>
        <w:rPr>
          <w:rFonts w:ascii="Arial" w:cs="Arial" w:eastAsia="Arial" w:hAnsi="Arial"/>
          <w:b/>
          <w:bCs/>
          <w:color w:val="333333"/>
          <w:sz w:val="22"/>
          <w:szCs w:val="22"/>
        </w:rPr>
        <w:t xml:space="preserve">Build Type: </w:t>
      </w:r>
      <w:r>
        <w:rPr>
          <w:rFonts w:ascii="Arial" w:cs="Arial" w:eastAsia="Arial" w:hAnsi="Arial"/>
          <w:color w:val="333333"/>
          <w:sz w:val="22"/>
          <w:szCs w:val="22"/>
        </w:rPr>
        <w:t xml:space="preserve">Default greenfield. RDF = 1.0. These are new-build facilities designed with capture integrated from the start. Retrofit is available as an option but uncommon for merchant hydrogen.</w:t>
      </w:r>
    </w:p>
    <w:p>
      <w:pPr>
        <w:pStyle w:val="ListParagraph"/>
        <w:numPr>
          <w:ilvl w:val="0"/>
          <w:numId w:val="2"/>
        </w:numPr>
        <w:spacing w:after="60"/>
      </w:pPr>
      <w:r>
        <w:rPr>
          <w:rFonts w:ascii="Arial" w:cs="Arial" w:eastAsia="Arial" w:hAnsi="Arial"/>
          <w:b/>
          <w:bCs/>
          <w:color w:val="333333"/>
          <w:sz w:val="22"/>
          <w:szCs w:val="22"/>
        </w:rPr>
        <w:t xml:space="preserve">Reformer Type: </w:t>
      </w:r>
      <w:r>
        <w:rPr>
          <w:rFonts w:ascii="Arial" w:cs="Arial" w:eastAsia="Arial" w:hAnsi="Arial"/>
          <w:color w:val="333333"/>
          <w:sz w:val="22"/>
          <w:szCs w:val="22"/>
        </w:rPr>
        <w:t xml:space="preserve">Default ATR. SMR available as an option. ATR is the expected choice for new merchant projects because it captures 90–99% of emissions from a single syngas stream and scales more economically than SMR at large capacities. Same three capture scope options for SMR (syngas only, flue gas only, both) and single scope for ATR, identical to ammonia and refinery hydrogen.</w:t>
      </w:r>
    </w:p>
    <w:p>
      <w:pPr>
        <w:pStyle w:val="ListParagraph"/>
        <w:numPr>
          <w:ilvl w:val="0"/>
          <w:numId w:val="2"/>
        </w:numPr>
        <w:spacing w:after="60"/>
      </w:pPr>
      <w:r>
        <w:rPr>
          <w:rFonts w:ascii="Arial" w:cs="Arial" w:eastAsia="Arial" w:hAnsi="Arial"/>
          <w:b/>
          <w:bCs/>
          <w:color w:val="333333"/>
          <w:sz w:val="22"/>
          <w:szCs w:val="22"/>
        </w:rPr>
        <w:t xml:space="preserve">No Refinery-Specific Toggles: </w:t>
      </w:r>
      <w:r>
        <w:rPr>
          <w:rFonts w:ascii="Arial" w:cs="Arial" w:eastAsia="Arial" w:hAnsi="Arial"/>
          <w:color w:val="333333"/>
          <w:sz w:val="22"/>
          <w:szCs w:val="22"/>
        </w:rPr>
        <w:t xml:space="preserve">No steam availability toggle (standalone plant has its own steam system). No feedstock toggle (natural gas only). No urea diversion (ammonia-specific). The plant is self-contained with its own boiler (if SMR), ASU (if ATR), cooling, and electrical infrastructure.</w:t>
      </w:r>
    </w:p>
    <w:p>
      <w:pPr>
        <w:pStyle w:val="ListParagraph"/>
        <w:numPr>
          <w:ilvl w:val="0"/>
          <w:numId w:val="2"/>
        </w:numPr>
        <w:spacing w:after="60"/>
      </w:pPr>
      <w:r>
        <w:rPr>
          <w:rFonts w:ascii="Arial" w:cs="Arial" w:eastAsia="Arial" w:hAnsi="Arial"/>
          <w:b/>
          <w:bCs/>
          <w:color w:val="333333"/>
          <w:sz w:val="22"/>
          <w:szCs w:val="22"/>
        </w:rPr>
        <w:t xml:space="preserve">Reference Cost Anchor — Dual Approach: </w:t>
      </w:r>
      <w:r>
        <w:rPr>
          <w:rFonts w:ascii="Arial" w:cs="Arial" w:eastAsia="Arial" w:hAnsi="Arial"/>
          <w:color w:val="333333"/>
          <w:sz w:val="22"/>
          <w:szCs w:val="22"/>
        </w:rPr>
        <w:t xml:space="preserve">NETL refinery hydrogen reference (87,000 t H₂/yr) for SMR configurations and smaller ATR projects up to ~260,000 t/yr (3x scaling range). IEAGHG 2022-07 calibrated reference for larger ATR projects above ~260,000 t/yr where scaling beyond the NETL reference is unreliable. Model selects automatically based on user inputs. This is necessary because merchant projects (200,000–1,000,000+ t H₂/yr) are significantly larger than the NETL refinery reference.</w:t>
      </w:r>
    </w:p>
    <w:p>
      <w:pPr>
        <w:pStyle w:val="ListParagraph"/>
        <w:numPr>
          <w:ilvl w:val="0"/>
          <w:numId w:val="2"/>
        </w:numPr>
        <w:spacing w:after="60"/>
      </w:pPr>
      <w:r>
        <w:rPr>
          <w:rFonts w:ascii="Arial" w:cs="Arial" w:eastAsia="Arial" w:hAnsi="Arial"/>
          <w:b/>
          <w:bCs/>
          <w:color w:val="333333"/>
          <w:sz w:val="22"/>
          <w:szCs w:val="22"/>
        </w:rPr>
        <w:t xml:space="preserve">ASU Cost Boundary: </w:t>
      </w:r>
      <w:r>
        <w:rPr>
          <w:rFonts w:ascii="Arial" w:cs="Arial" w:eastAsia="Arial" w:hAnsi="Arial"/>
          <w:color w:val="333333"/>
          <w:sz w:val="22"/>
          <w:szCs w:val="22"/>
        </w:rPr>
        <w:t xml:space="preserve">The Air Separation Unit required for ATR operation is excluded from capture CAPEX. It is a base plant cost, not a capture cost. The model boundary remains capture equipment only, consistent with all other sources. Even though ATR is chosen specifically to enable better capture economics, the ASU serves the reforming function, not the CO₂ separation function.</w:t>
      </w:r>
    </w:p>
    <w:p>
      <w:pPr>
        <w:pStyle w:val="ListParagraph"/>
        <w:numPr>
          <w:ilvl w:val="0"/>
          <w:numId w:val="2"/>
        </w:numPr>
        <w:spacing w:after="60"/>
      </w:pPr>
      <w:r>
        <w:rPr>
          <w:rFonts w:ascii="Arial" w:cs="Arial" w:eastAsia="Arial" w:hAnsi="Arial"/>
          <w:b/>
          <w:bCs/>
          <w:color w:val="333333"/>
          <w:sz w:val="22"/>
          <w:szCs w:val="22"/>
        </w:rPr>
        <w:t xml:space="preserve">Hydrogen Sales Revenue: </w:t>
      </w:r>
      <w:r>
        <w:rPr>
          <w:rFonts w:ascii="Arial" w:cs="Arial" w:eastAsia="Arial" w:hAnsi="Arial"/>
          <w:color w:val="333333"/>
          <w:sz w:val="22"/>
          <w:szCs w:val="22"/>
        </w:rPr>
        <w:t xml:space="preserve">Optional input, default off. When enabled, the user enters a $/kg H₂ sales price and annual production volume. Hydrogen revenue flows into the year-by-year cash flow as additional revenue alongside carbon credits (45Q, 45V, VCM). This changes the financial outputs from ‘returns on the capture investment’ to ‘returns on the whole hydrogen project.’ When disabled, the model reports capture costs only and the user handles hydrogen revenue externally.</w:t>
      </w:r>
    </w:p>
    <w:p>
      <w:pPr>
        <w:pStyle w:val="ListParagraph"/>
        <w:numPr>
          <w:ilvl w:val="0"/>
          <w:numId w:val="2"/>
        </w:numPr>
        <w:spacing w:after="60"/>
      </w:pPr>
      <w:r>
        <w:rPr>
          <w:rFonts w:ascii="Arial" w:cs="Arial" w:eastAsia="Arial" w:hAnsi="Arial"/>
          <w:b/>
          <w:bCs/>
          <w:color w:val="333333"/>
          <w:sz w:val="22"/>
          <w:szCs w:val="22"/>
        </w:rPr>
        <w:t xml:space="preserve">45V Clean Hydrogen Production Credit: </w:t>
      </w:r>
      <w:r>
        <w:rPr>
          <w:rFonts w:ascii="Arial" w:cs="Arial" w:eastAsia="Arial" w:hAnsi="Arial"/>
          <w:color w:val="333333"/>
          <w:sz w:val="22"/>
          <w:szCs w:val="22"/>
        </w:rPr>
        <w:t xml:space="preserve">Particularly relevant for merchant hydrogen since the entire purpose of the facility is clean hydrogen production. Up to $3/kg H₂ based on lifecycle carbon intensity. Cannot stack with 45Q on the same project. Model calculates both 45Q and 45V values and shows the comparison so the user can select the more favorable option.</w:t>
      </w:r>
    </w:p>
    <w:p>
      <w:pPr>
        <w:pStyle w:val="ListParagraph"/>
        <w:numPr>
          <w:ilvl w:val="0"/>
          <w:numId w:val="2"/>
        </w:numPr>
        <w:spacing w:after="60"/>
      </w:pPr>
      <w:r>
        <w:rPr>
          <w:rFonts w:ascii="Arial" w:cs="Arial" w:eastAsia="Arial" w:hAnsi="Arial"/>
          <w:b/>
          <w:bCs/>
          <w:color w:val="333333"/>
          <w:sz w:val="22"/>
          <w:szCs w:val="22"/>
        </w:rPr>
        <w:t xml:space="preserve">Financial Assumptions: </w:t>
      </w:r>
      <w:r>
        <w:rPr>
          <w:rFonts w:ascii="Arial" w:cs="Arial" w:eastAsia="Arial" w:hAnsi="Arial"/>
          <w:color w:val="333333"/>
          <w:sz w:val="22"/>
          <w:szCs w:val="22"/>
        </w:rPr>
        <w:t xml:space="preserve">WACC-based annualization like all other sources. Default capital structure reflects independent project finance risk — higher cost of equity than refinery hydrogen (which benefits from petroleum sector corporate finance). Defaults pre-populate from NETL sector assumptions but user overrides all inputs. Specific default values for debt/equity, cost of debt, and cost of equity to be determined.</w:t>
      </w:r>
    </w:p>
    <w:p>
      <w:pPr>
        <w:pStyle w:val="ListParagraph"/>
        <w:numPr>
          <w:ilvl w:val="0"/>
          <w:numId w:val="2"/>
        </w:numPr>
        <w:spacing w:after="60"/>
      </w:pPr>
      <w:r>
        <w:rPr>
          <w:rFonts w:ascii="Arial" w:cs="Arial" w:eastAsia="Arial" w:hAnsi="Arial"/>
          <w:b/>
          <w:bCs/>
          <w:color w:val="333333"/>
          <w:sz w:val="22"/>
          <w:szCs w:val="22"/>
        </w:rPr>
        <w:t xml:space="preserve">Capacity Range and Train Limits: </w:t>
      </w:r>
      <w:r>
        <w:rPr>
          <w:rFonts w:ascii="Arial" w:cs="Arial" w:eastAsia="Arial" w:hAnsi="Arial"/>
          <w:color w:val="333333"/>
          <w:sz w:val="22"/>
          <w:szCs w:val="22"/>
        </w:rPr>
        <w:t xml:space="preserve">Merchant projects range from ~100,000 to 1,000,000+ t H₂/yr. ATR maximum single train is ~400,000 t H₂/yr (limited by reactor vessel and ASU per ICF 2023). SMR maximum single train is ~237,000 t H₂/yr (limited by PSA switching valve). Above these limits, train-based costing with shared infrastructure discount (same approach as ammonia and refinery hydrogen). ATR scales more economically than SMR — the ATR scale factor is 0.54 per published literature vs. ~0.6 for SMR.</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~9–10 t CO₂/t H₂ for SMR total plant. Similar for ATR but with nearly all CO₂ in the syngas stream. Natural gas feedstock assumed.</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Same chain as refinery hydrogen. Plant capacity (t H₂/yr) → annual output (× CF) → CO₂ produced (× emission factor) → CO₂ captured (× capture rate). User can enter any one value.</w:t>
      </w:r>
    </w:p>
    <w:p>
      <w:pPr>
        <w:pStyle w:val="ListParagraph"/>
        <w:numPr>
          <w:ilvl w:val="0"/>
          <w:numId w:val="2"/>
        </w:numPr>
        <w:spacing w:after="60"/>
      </w:pPr>
      <w:r>
        <w:rPr>
          <w:rFonts w:ascii="Arial" w:cs="Arial" w:eastAsia="Arial" w:hAnsi="Arial"/>
          <w:b/>
          <w:bCs/>
          <w:color w:val="333333"/>
          <w:sz w:val="22"/>
          <w:szCs w:val="22"/>
        </w:rPr>
        <w:t xml:space="preserve">Facility Decarbonization Indicator: </w:t>
      </w:r>
      <w:r>
        <w:rPr>
          <w:rFonts w:ascii="Arial" w:cs="Arial" w:eastAsia="Arial" w:hAnsi="Arial"/>
          <w:color w:val="333333"/>
          <w:sz w:val="22"/>
          <w:szCs w:val="22"/>
        </w:rPr>
        <w:t xml:space="preserve">Shows percentage of total facility emissions captured based on reformer type and capture scope selected.</w:t>
      </w:r>
    </w:p>
    <w:p>
      <w:pPr>
        <w:pStyle w:val="Heading3"/>
        <w:spacing w:before="200" w:after="120"/>
      </w:pPr>
      <w:r>
        <w:rPr>
          <w:rFonts w:ascii="Arial" w:cs="Arial" w:eastAsia="Arial" w:hAnsi="Arial"/>
          <w:b/>
          <w:bCs/>
          <w:color w:val="2D5B9E"/>
          <w:sz w:val="22"/>
          <w:szCs w:val="22"/>
        </w:rPr>
        <w:t xml:space="preserve">5.2.5 Parked Questions — Hydrogen Production</w:t>
      </w:r>
    </w:p>
    <w:p>
      <w:pPr>
        <w:spacing w:after="120"/>
      </w:pPr>
      <w:r>
        <w:rPr>
          <w:rFonts w:ascii="Arial" w:cs="Arial" w:eastAsia="Arial" w:hAnsi="Arial"/>
          <w:color w:val="333333"/>
          <w:sz w:val="22"/>
          <w:szCs w:val="22"/>
        </w:rPr>
        <w:t xml:space="preserve">The following items require further discussion:</w:t>
      </w:r>
    </w:p>
    <w:p>
      <w:pPr>
        <w:pStyle w:val="ListParagraph"/>
        <w:numPr>
          <w:ilvl w:val="0"/>
          <w:numId w:val="2"/>
        </w:numPr>
        <w:spacing w:after="60"/>
      </w:pPr>
      <w:r>
        <w:rPr>
          <w:rFonts w:ascii="Arial" w:cs="Arial" w:eastAsia="Arial" w:hAnsi="Arial"/>
          <w:color w:val="333333"/>
          <w:sz w:val="22"/>
          <w:szCs w:val="22"/>
        </w:rPr>
        <w:t xml:space="preserve">T&amp;S costs — default to including $10/t adder or keep optional for merchant hydrogen?</w:t>
      </w:r>
    </w:p>
    <w:p>
      <w:pPr>
        <w:pStyle w:val="ListParagraph"/>
        <w:numPr>
          <w:ilvl w:val="0"/>
          <w:numId w:val="2"/>
        </w:numPr>
        <w:spacing w:after="60"/>
      </w:pPr>
      <w:r>
        <w:rPr>
          <w:rFonts w:ascii="Arial" w:cs="Arial" w:eastAsia="Arial" w:hAnsi="Arial"/>
          <w:color w:val="333333"/>
          <w:sz w:val="22"/>
          <w:szCs w:val="22"/>
        </w:rPr>
        <w:t xml:space="preserve">TASC/CAPEX multiplier vs IDC handled through cash flow model</w:t>
      </w:r>
    </w:p>
    <w:p>
      <w:pPr>
        <w:pStyle w:val="ListParagraph"/>
        <w:numPr>
          <w:ilvl w:val="0"/>
          <w:numId w:val="2"/>
        </w:numPr>
        <w:spacing w:after="60"/>
      </w:pPr>
      <w:r>
        <w:rPr>
          <w:rFonts w:ascii="Arial" w:cs="Arial" w:eastAsia="Arial" w:hAnsi="Arial"/>
          <w:color w:val="333333"/>
          <w:sz w:val="22"/>
          <w:szCs w:val="22"/>
        </w:rPr>
        <w:t xml:space="preserve">Specific financial defaults for merchant hydrogen (debt/equity, cost of debt, cost of equity values)</w:t>
      </w:r>
    </w:p>
    <w:p>
      <w:r>
        <w:br w:type="page"/>
      </w:r>
    </w:p>
    <w:p>
      <w:pPr>
        <w:pStyle w:val="Heading2"/>
        <w:spacing w:before="240" w:after="140"/>
      </w:pPr>
      <w:r>
        <w:rPr>
          <w:rFonts w:ascii="Arial" w:cs="Arial" w:eastAsia="Arial" w:hAnsi="Arial"/>
          <w:b/>
          <w:bCs/>
          <w:color w:val="1A1A2E"/>
          <w:sz w:val="26"/>
          <w:szCs w:val="26"/>
        </w:rPr>
        <w:t xml:space="preserve">5.3 High-Purity Sources</w:t>
      </w:r>
    </w:p>
    <w:p>
      <w:pPr>
        <w:spacing w:after="120"/>
      </w:pPr>
      <w:r>
        <w:rPr>
          <w:rFonts w:ascii="Arial" w:cs="Arial" w:eastAsia="Arial" w:hAnsi="Arial"/>
          <w:color w:val="333333"/>
          <w:sz w:val="22"/>
          <w:szCs w:val="22"/>
        </w:rPr>
        <w:t xml:space="preserve">These sources produce CO₂ at 93–100% purity as a byproduct of the base process. No separation equipment is needed — Account 5.1 (CO₂ removal system) is zero. Capture cost is compression + dehydration only. These are the lowest-cost sources ($6–32/tonne). Purchased power is the dominant OPEX component. Natural gas cost is zero. Compressor type depends on flow: reciprocating for small flows (EO, ethanol), centrifugal for larger (NGP, CTL, GTL).</w:t>
      </w:r>
    </w:p>
    <w:p>
      <w:pPr>
        <w:pStyle w:val="Heading3"/>
        <w:spacing w:before="200" w:after="120"/>
      </w:pPr>
      <w:r>
        <w:rPr>
          <w:rFonts w:ascii="Arial" w:cs="Arial" w:eastAsia="Arial" w:hAnsi="Arial"/>
          <w:b/>
          <w:bCs/>
          <w:color w:val="2D5B9E"/>
          <w:sz w:val="22"/>
          <w:szCs w:val="22"/>
        </w:rPr>
        <w:t xml:space="preserve">5.3.1 Ethylene Oxide</w:t>
      </w:r>
    </w:p>
    <w:p>
      <w:pPr>
        <w:spacing w:after="120"/>
      </w:pPr>
      <w:r>
        <w:rPr>
          <w:rFonts w:ascii="Arial" w:cs="Arial" w:eastAsia="Arial" w:hAnsi="Arial"/>
          <w:color w:val="333333"/>
          <w:sz w:val="22"/>
          <w:szCs w:val="22"/>
        </w:rPr>
        <w:t xml:space="preserve">EO plants produce CO₂ as a byproduct of the ethylene oxidation reaction. When ethylene is oxidized over a silver catalyst, a competing side reaction fully combusts some ethylene to CO₂ and water. The CO₂ is removed through the plant’s acid gas removal system as part of normal operations. This process CO₂ stream exits at ~43.5 psia and 96°F at high purity.</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364,500 t EO/yr, producing 103,276 t CO₂/yr. Greenfield COC: $26.0/t. Retrofit COC: $26.2/t. 4-stage reciprocating compressor (~30,600 lb/hr CO₂ flow). RDF: 1.01.</w:t>
      </w:r>
    </w:p>
    <w:p>
      <w:pPr>
        <w:pStyle w:val="ListParagraph"/>
        <w:numPr>
          <w:ilvl w:val="0"/>
          <w:numId w:val="2"/>
        </w:numPr>
        <w:spacing w:after="60"/>
      </w:pPr>
      <w:r>
        <w:rPr>
          <w:rFonts w:ascii="Arial" w:cs="Arial" w:eastAsia="Arial" w:hAnsi="Arial"/>
          <w:b/>
          <w:bCs/>
          <w:color w:val="333333"/>
          <w:sz w:val="22"/>
          <w:szCs w:val="22"/>
        </w:rPr>
        <w:t xml:space="preserve">Capture Scope Toggle: </w:t>
      </w:r>
      <w:r>
        <w:rPr>
          <w:rFonts w:ascii="Arial" w:cs="Arial" w:eastAsia="Arial" w:hAnsi="Arial"/>
          <w:color w:val="333333"/>
          <w:sz w:val="22"/>
          <w:szCs w:val="22"/>
        </w:rPr>
        <w:t xml:space="preserve">Two options: Process CO₂ Only (AGR stream, default) and Process + Combustion (adds flue gas capture from facility boilers/heaters). The flue gas portion is modeled as a small-scale industrial combustion source with a full post-combustion capture system. The process CO₂ is the dominant and most economic capture opportunity.</w:t>
      </w:r>
    </w:p>
    <w:p>
      <w:pPr>
        <w:pStyle w:val="ListParagraph"/>
        <w:numPr>
          <w:ilvl w:val="0"/>
          <w:numId w:val="2"/>
        </w:numPr>
        <w:spacing w:after="60"/>
      </w:pPr>
      <w:r>
        <w:rPr>
          <w:rFonts w:ascii="Arial" w:cs="Arial" w:eastAsia="Arial" w:hAnsi="Arial"/>
          <w:b/>
          <w:bCs/>
          <w:color w:val="333333"/>
          <w:sz w:val="22"/>
          <w:szCs w:val="22"/>
        </w:rPr>
        <w:t xml:space="preserve">Facility Decarbonization Indicator: </w:t>
      </w:r>
      <w:r>
        <w:rPr>
          <w:rFonts w:ascii="Arial" w:cs="Arial" w:eastAsia="Arial" w:hAnsi="Arial"/>
          <w:color w:val="333333"/>
          <w:sz w:val="22"/>
          <w:szCs w:val="22"/>
        </w:rPr>
        <w:t xml:space="preserve">The process CO₂ captured by the AGR stream does not represent total facility emissions. Combustion emissions from boilers and heaters are not included. The exact percentage of total on-site emissions represented by the process stream is a data gap — to be researched from EPA GHGRP facility-level data. The UI displays ‘Process CO₂ only — does not include combustion emissions from facility boilers and heaters.’</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Default 0.283 t CO₂/t EO, derived from NETL reference (103,276 t CO₂ ÷ 364,500 t EO). This depends on catalyst selectivity (typically 80–90% for modern plants). Older plants with less selective catalysts produce more CO₂ per tonne of EO. User-overridable.</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US EO plants range from ~50,000 to ~600,000 t EO/yr. NETL reference at 364,500 t/yr is mid-range. 3x reference (~1.1M t/yr) exceeds the largest US plant. Standard six-tenths scaling applies across the realistic range. If capacity exceeds 3x, train-based approach applies. Note: the transition from reciprocating to centrifugal compression at higher flows is a cost discontinuity the model should handle.</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(t EO/yr) → annual output (× CF) → CO₂ produced (× emission factor) → CO₂ captured (× capture rate). User can enter any one value.</w:t>
      </w:r>
    </w:p>
    <w:p>
      <w:pPr>
        <w:pStyle w:val="ListParagraph"/>
        <w:numPr>
          <w:ilvl w:val="0"/>
          <w:numId w:val="2"/>
        </w:numPr>
        <w:spacing w:after="60"/>
      </w:pPr>
      <w:r>
        <w:rPr>
          <w:rFonts w:ascii="Arial" w:cs="Arial" w:eastAsia="Arial" w:hAnsi="Arial"/>
          <w:b/>
          <w:bCs/>
          <w:color w:val="333333"/>
          <w:sz w:val="22"/>
          <w:szCs w:val="22"/>
        </w:rPr>
        <w:t xml:space="preserve">Key Note: </w:t>
      </w:r>
      <w:r>
        <w:rPr>
          <w:rFonts w:ascii="Arial" w:cs="Arial" w:eastAsia="Arial" w:hAnsi="Arial"/>
          <w:color w:val="333333"/>
          <w:sz w:val="22"/>
          <w:szCs w:val="22"/>
        </w:rPr>
        <w:t xml:space="preserve">The small CO₂ volume (103,000 t/yr) means fixed costs dominate. LCOC is higher than ammonia ($26 vs $19) primarily due to diseconomies of scale, not technology differences — both are compression-only.</w:t>
      </w:r>
    </w:p>
    <w:p>
      <w:pPr>
        <w:pStyle w:val="Heading3"/>
        <w:spacing w:before="200" w:after="120"/>
      </w:pPr>
      <w:r>
        <w:rPr>
          <w:rFonts w:ascii="Arial" w:cs="Arial" w:eastAsia="Arial" w:hAnsi="Arial"/>
          <w:b/>
          <w:bCs/>
          <w:color w:val="2D5B9E"/>
          <w:sz w:val="22"/>
          <w:szCs w:val="22"/>
        </w:rPr>
        <w:t xml:space="preserve">5.3.2 Ethanol</w:t>
      </w:r>
    </w:p>
    <w:p>
      <w:pPr>
        <w:spacing w:after="120"/>
      </w:pPr>
      <w:r>
        <w:rPr>
          <w:rFonts w:ascii="Arial" w:cs="Arial" w:eastAsia="Arial" w:hAnsi="Arial"/>
          <w:color w:val="333333"/>
          <w:sz w:val="22"/>
          <w:szCs w:val="22"/>
        </w:rPr>
        <w:t xml:space="preserve">Ethanol fermentation produces a nearly pure CO₂ stream (~99%) as a direct byproduct of converting sugars to ethanol (C₆H₁₂O₆ → 2C₂H₅OH + 2CO₂). The CO₂ exits at ~17.4 psia. The NETL study models the stream at 320°F, which reflects the process configuration where the CO₂ stream has passed through heat recovery or distillation sections before reaching the capture boundary. A pre-cooler heat exchanger is included in the NETL CAPEX to bring the stream to compressor suction temperature. Raw fermenter off-gas is at ~80–95°F.</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50M gal/yr ethanol plant, 121,586 t CO₂/yr at 100% CF. Greenfield COC: $31.8/t. Retrofit: $32.0/t. 5-stage reciprocating compressor. RDF: 1.01. Highest cost among high-purity sources due to small scale — fixed costs dominate.</w:t>
      </w:r>
    </w:p>
    <w:p>
      <w:pPr>
        <w:pStyle w:val="ListParagraph"/>
        <w:numPr>
          <w:ilvl w:val="0"/>
          <w:numId w:val="2"/>
        </w:numPr>
        <w:spacing w:after="60"/>
      </w:pPr>
      <w:r>
        <w:rPr>
          <w:rFonts w:ascii="Arial" w:cs="Arial" w:eastAsia="Arial" w:hAnsi="Arial"/>
          <w:b/>
          <w:bCs/>
          <w:color w:val="333333"/>
          <w:sz w:val="22"/>
          <w:szCs w:val="22"/>
        </w:rPr>
        <w:t xml:space="preserve">Capture Scope Toggle: </w:t>
      </w:r>
      <w:r>
        <w:rPr>
          <w:rFonts w:ascii="Arial" w:cs="Arial" w:eastAsia="Arial" w:hAnsi="Arial"/>
          <w:color w:val="333333"/>
          <w:sz w:val="22"/>
          <w:szCs w:val="22"/>
        </w:rPr>
        <w:t xml:space="preserve">Two options: Process CO₂ Only (fermentation stream, default) and Process + Combustion (adds flue gas capture from thermal systems). Fermentation CO₂ represents approximately 54–55% of total on-site facility emissions for a typical NG-fired dry mill. The remaining ~45% comes from natural gas combustion for dryers, distillation heat, and boilers.</w:t>
      </w:r>
    </w:p>
    <w:p>
      <w:pPr>
        <w:pStyle w:val="ListParagraph"/>
        <w:numPr>
          <w:ilvl w:val="0"/>
          <w:numId w:val="2"/>
        </w:numPr>
        <w:spacing w:after="60"/>
      </w:pPr>
      <w:r>
        <w:rPr>
          <w:rFonts w:ascii="Arial" w:cs="Arial" w:eastAsia="Arial" w:hAnsi="Arial"/>
          <w:b/>
          <w:bCs/>
          <w:color w:val="333333"/>
          <w:sz w:val="22"/>
          <w:szCs w:val="22"/>
        </w:rPr>
        <w:t xml:space="preserve">Facility Decarbonization Indicator: </w:t>
      </w:r>
      <w:r>
        <w:rPr>
          <w:rFonts w:ascii="Arial" w:cs="Arial" w:eastAsia="Arial" w:hAnsi="Arial"/>
          <w:color w:val="333333"/>
          <w:sz w:val="22"/>
          <w:szCs w:val="22"/>
        </w:rPr>
        <w:t xml:space="preserve">Displays percentage of total facility emissions captured. Fermentation-only capture at 90% capture rate addresses ~49–50% of total on-site emissions. Full facility capture (fermentation + combustion) can address ~90%+ of on-site emissions.</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Default 0.00243 t CO₂/gal ethanol (NETL reference: 121,586 t ÷ 50M gal). Theoretical stoichiometric maximum is 0.00287 t CO₂/gal (6.33 lb/gal) based on fermentation chemistry. The NETL value is ~85% of theoretical, likely reflecting real-world process losses. Equivalently, approximately 1 kg of CO₂ is produced per 1 kg of ethanol by weight. User-overridable.</w:t>
      </w:r>
    </w:p>
    <w:p>
      <w:pPr>
        <w:pStyle w:val="ListParagraph"/>
        <w:numPr>
          <w:ilvl w:val="0"/>
          <w:numId w:val="2"/>
        </w:numPr>
        <w:spacing w:after="60"/>
      </w:pPr>
      <w:r>
        <w:rPr>
          <w:rFonts w:ascii="Arial" w:cs="Arial" w:eastAsia="Arial" w:hAnsi="Arial"/>
          <w:b/>
          <w:bCs/>
          <w:color w:val="333333"/>
          <w:sz w:val="22"/>
          <w:szCs w:val="22"/>
        </w:rPr>
        <w:t xml:space="preserve">Biogenic CO₂: </w:t>
      </w:r>
      <w:r>
        <w:rPr>
          <w:rFonts w:ascii="Arial" w:cs="Arial" w:eastAsia="Arial" w:hAnsi="Arial"/>
          <w:color w:val="333333"/>
          <w:sz w:val="22"/>
          <w:szCs w:val="22"/>
        </w:rPr>
        <w:t xml:space="preserve">Fermentation CO₂ is biogenic — the carbon originated from the atmosphere via corn growth. Under current 45Q rules, biogenic CO₂ captured and geologically stored qualifies at $85/tonne (same as fossil CO₂), not the $180 DAC rate. The model flags the CO₂ as biogenic for credit eligibility purposes. This also qualifies ethanol CCS as a BECCS-adjacent CDR pathway.</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US ethanol plants range from ~10M to ~300M+ gal/yr. NETL reference at 50M is on the smaller side. At 300M gal/yr (6x reference), train-based approach applies. Compressor type transition from reciprocating to centrifugal at higher flows is a cost discontinuity.</w:t>
      </w:r>
    </w:p>
    <w:p>
      <w:pPr>
        <w:pStyle w:val="ListParagraph"/>
        <w:numPr>
          <w:ilvl w:val="0"/>
          <w:numId w:val="2"/>
        </w:numPr>
        <w:spacing w:after="60"/>
      </w:pPr>
      <w:r>
        <w:rPr>
          <w:rFonts w:ascii="Arial" w:cs="Arial" w:eastAsia="Arial" w:hAnsi="Arial"/>
          <w:b/>
          <w:bCs/>
          <w:color w:val="333333"/>
          <w:sz w:val="22"/>
          <w:szCs w:val="22"/>
        </w:rPr>
        <w:t xml:space="preserve">Process Type: </w:t>
      </w:r>
      <w:r>
        <w:rPr>
          <w:rFonts w:ascii="Arial" w:cs="Arial" w:eastAsia="Arial" w:hAnsi="Arial"/>
          <w:color w:val="333333"/>
          <w:sz w:val="22"/>
          <w:szCs w:val="22"/>
        </w:rPr>
        <w:t xml:space="preserve">Default dry mill (90% of US ethanol plants). No dry mill vs. wet mill toggle — the fermentation CO₂ emission factor is identical between the two since the fermentation chemistry is the same. Wet mill differs only in upstream processing and total plant energy consumption, which affects combustion emissions but not fermentation CO₂.</w:t>
      </w:r>
    </w:p>
    <w:p>
      <w:pPr>
        <w:pStyle w:val="ListParagraph"/>
        <w:numPr>
          <w:ilvl w:val="0"/>
          <w:numId w:val="2"/>
        </w:numPr>
        <w:spacing w:after="60"/>
      </w:pPr>
      <w:r>
        <w:rPr>
          <w:rFonts w:ascii="Arial" w:cs="Arial" w:eastAsia="Arial" w:hAnsi="Arial"/>
          <w:b/>
          <w:bCs/>
          <w:color w:val="333333"/>
          <w:sz w:val="22"/>
          <w:szCs w:val="22"/>
        </w:rPr>
        <w:t xml:space="preserve">Thermal Energy Source: </w:t>
      </w:r>
      <w:r>
        <w:rPr>
          <w:rFonts w:ascii="Arial" w:cs="Arial" w:eastAsia="Arial" w:hAnsi="Arial"/>
          <w:color w:val="333333"/>
          <w:sz w:val="22"/>
          <w:szCs w:val="22"/>
        </w:rPr>
        <w:t xml:space="preserve">Default natural gas. ~90%+ of US dry mill plants use NG for thermal energy. Some use coal or biomass (corn stover, biogas). Fuel type affects the combustion emissions profile for the process + combustion capture scope. User-overridable.</w:t>
      </w:r>
    </w:p>
    <w:p>
      <w:pPr>
        <w:pStyle w:val="ListParagraph"/>
        <w:numPr>
          <w:ilvl w:val="0"/>
          <w:numId w:val="2"/>
        </w:numPr>
        <w:spacing w:after="60"/>
      </w:pPr>
      <w:r>
        <w:rPr>
          <w:rFonts w:ascii="Arial" w:cs="Arial" w:eastAsia="Arial" w:hAnsi="Arial"/>
          <w:b/>
          <w:bCs/>
          <w:color w:val="333333"/>
          <w:sz w:val="22"/>
          <w:szCs w:val="22"/>
        </w:rPr>
        <w:t xml:space="preserve">Additional Revenue Credits: </w:t>
      </w:r>
      <w:r>
        <w:rPr>
          <w:rFonts w:ascii="Arial" w:cs="Arial" w:eastAsia="Arial" w:hAnsi="Arial"/>
          <w:color w:val="333333"/>
          <w:sz w:val="22"/>
          <w:szCs w:val="22"/>
        </w:rPr>
        <w:t xml:space="preserve">Ethanol is eligible for fuel-specific credits beyond 45Q: 45Z Clean Fuel Production Credit (per-gallon credit based on lifecycle CI — lower CI from CCS means higher credit), RINs under the Renewable Fuel Standard (D6 for corn ethanol, D3 for cellulosic), and LCFS credits in California (CI-based credits). These are optional revenue inputs in the financial model, with 45Q + CDR/avoidance credits as the default.</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(M gal/yr) → annual output (× CF) → CO₂ produced (× 0.00243 t/gal) → CO₂ captured (× capture rate). User can enter any one value.</w:t>
      </w:r>
    </w:p>
    <w:p>
      <w:pPr>
        <w:pStyle w:val="ListParagraph"/>
        <w:numPr>
          <w:ilvl w:val="0"/>
          <w:numId w:val="2"/>
        </w:numPr>
        <w:spacing w:after="60"/>
      </w:pPr>
      <w:r>
        <w:rPr>
          <w:rFonts w:ascii="Arial" w:cs="Arial" w:eastAsia="Arial" w:hAnsi="Arial"/>
          <w:b/>
          <w:bCs/>
          <w:color w:val="333333"/>
          <w:sz w:val="22"/>
          <w:szCs w:val="22"/>
        </w:rPr>
        <w:t xml:space="preserve">Commercial Context: </w:t>
      </w:r>
      <w:r>
        <w:rPr>
          <w:rFonts w:ascii="Arial" w:cs="Arial" w:eastAsia="Arial" w:hAnsi="Arial"/>
          <w:color w:val="333333"/>
          <w:sz w:val="22"/>
          <w:szCs w:val="22"/>
        </w:rPr>
        <w:t xml:space="preserve">Ethanol CO₂ capture is one of the most commercially advanced CCS applications in the US. ADM Decatur has operated since 2017. Multiple projects announced post-IRA. Summit Carbon Solutions and Navigator CO₂ pipeline projects designed to aggregate CO₂ from multiple Midwest plants. Individual plant economics depend heavily on T&amp;S costs (not included in LCOC) due to rural locations far from existing pipeline infrastructure.</w:t>
      </w:r>
    </w:p>
    <w:p>
      <w:pPr>
        <w:pStyle w:val="Heading3"/>
        <w:spacing w:before="200" w:after="120"/>
      </w:pPr>
      <w:r>
        <w:rPr>
          <w:rFonts w:ascii="Arial" w:cs="Arial" w:eastAsia="Arial" w:hAnsi="Arial"/>
          <w:b/>
          <w:bCs/>
          <w:color w:val="2D5B9E"/>
          <w:sz w:val="22"/>
          <w:szCs w:val="22"/>
        </w:rPr>
        <w:t xml:space="preserve">5.3.3 Natural Gas Processing</w:t>
      </w:r>
    </w:p>
    <w:p>
      <w:pPr>
        <w:spacing w:after="120"/>
      </w:pPr>
      <w:r>
        <w:rPr>
          <w:rFonts w:ascii="Arial" w:cs="Arial" w:eastAsia="Arial" w:hAnsi="Arial"/>
          <w:color w:val="333333"/>
          <w:sz w:val="22"/>
          <w:szCs w:val="22"/>
        </w:rPr>
        <w:t xml:space="preserve">Raw natural gas contains varying amounts of CO₂ as a contaminant. Pipeline specifications require CO₂ below ~2%, so gas processing plants remove excess CO₂ through acid gas removal (AGR) systems as part of normal operations. The CO₂ separation is already done — capture cost is compression + dehydration of an already-separated stream.</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330 MMSCFD gas processing plant, 551,816 t CO₂/yr at 100% CF. Greenfield COC: $16.1/t. Retrofit: $16.2/t. 8-stage centrifugal compressor. Second cheapest source after CTL. Low cost driven by large CO₂ volume and relatively high inlet pressure.</w:t>
      </w:r>
    </w:p>
    <w:p>
      <w:pPr>
        <w:pStyle w:val="ListParagraph"/>
        <w:numPr>
          <w:ilvl w:val="0"/>
          <w:numId w:val="2"/>
        </w:numPr>
        <w:spacing w:after="60"/>
      </w:pPr>
      <w:r>
        <w:rPr>
          <w:rFonts w:ascii="Arial" w:cs="Arial" w:eastAsia="Arial" w:hAnsi="Arial"/>
          <w:b/>
          <w:bCs/>
          <w:color w:val="333333"/>
          <w:sz w:val="22"/>
          <w:szCs w:val="22"/>
        </w:rPr>
        <w:t xml:space="preserve">Raw Gas CO₂ Content — State-Level Default: </w:t>
      </w:r>
      <w:r>
        <w:rPr>
          <w:rFonts w:ascii="Arial" w:cs="Arial" w:eastAsia="Arial" w:hAnsi="Arial"/>
          <w:color w:val="333333"/>
          <w:sz w:val="22"/>
          <w:szCs w:val="22"/>
        </w:rPr>
        <w:t xml:space="preserve">The CO₂ available for capture varies enormously by field. The model maps the user’s selected project state to a default raw gas CO₂ content based on dominant producing basins: TX ~4–5% (Permian weighted), NM ~5–8% (Permian), WY ~5–10% (Green River/Wind River), CO ~3–5% (Piceance/DJ), OK ~2–4% (Anadarko/SCOOP), LA ~1–2% (Haynesville), PA/WV/OH &lt;1% (Marcellus/Utica), ND ~1–3% (Bakken), UT ~3–6% (Uinta). NETL reference implies ~5–6% CO₂. States without significant gas processing default to national average (~3–5%). All values user-overridable — within a single state, CO₂ content can vary enormously by field.</w:t>
      </w:r>
    </w:p>
    <w:p>
      <w:pPr>
        <w:pStyle w:val="ListParagraph"/>
        <w:numPr>
          <w:ilvl w:val="0"/>
          <w:numId w:val="2"/>
        </w:numPr>
        <w:spacing w:after="60"/>
      </w:pPr>
      <w:r>
        <w:rPr>
          <w:rFonts w:ascii="Arial" w:cs="Arial" w:eastAsia="Arial" w:hAnsi="Arial"/>
          <w:b/>
          <w:bCs/>
          <w:color w:val="333333"/>
          <w:sz w:val="22"/>
          <w:szCs w:val="22"/>
        </w:rPr>
        <w:t xml:space="preserve">H₂S Content Toggle: </w:t>
      </w:r>
      <w:r>
        <w:rPr>
          <w:rFonts w:ascii="Arial" w:cs="Arial" w:eastAsia="Arial" w:hAnsi="Arial"/>
          <w:color w:val="333333"/>
          <w:sz w:val="22"/>
          <w:szCs w:val="22"/>
        </w:rPr>
        <w:t xml:space="preserve">Default: sweet gas (no H₂S treatment required). The NETL study models a sweetened CO₂ stream where H₂S has already been removed upstream through Claus sulfur recovery or selective AGR. When the user enables the sour gas toggle, the model adds a small polishing unit to CAPEX and treating chemical costs to OPEX for residual H₂S removal from the CO₂ stream. The toggle reflects whether the AGR is selective (clean CO₂ output, default) or non-selective (CO₂ + H₂S mixed output requiring further separation).</w:t>
      </w:r>
    </w:p>
    <w:p>
      <w:pPr>
        <w:pStyle w:val="ListParagraph"/>
        <w:numPr>
          <w:ilvl w:val="0"/>
          <w:numId w:val="2"/>
        </w:numPr>
        <w:spacing w:after="60"/>
      </w:pPr>
      <w:r>
        <w:rPr>
          <w:rFonts w:ascii="Arial" w:cs="Arial" w:eastAsia="Arial" w:hAnsi="Arial"/>
          <w:b/>
          <w:bCs/>
          <w:color w:val="333333"/>
          <w:sz w:val="22"/>
          <w:szCs w:val="22"/>
        </w:rPr>
        <w:t xml:space="preserve">AGR Inlet Pressure: </w:t>
      </w:r>
      <w:r>
        <w:rPr>
          <w:rFonts w:ascii="Arial" w:cs="Arial" w:eastAsia="Arial" w:hAnsi="Arial"/>
          <w:color w:val="333333"/>
          <w:sz w:val="22"/>
          <w:szCs w:val="22"/>
        </w:rPr>
        <w:t xml:space="preserve">User input affecting compression stages and CAPEX. Physical solvents (Selexol, Rectisol) can flash CO₂ at intermediate pressures (50–150 psia), significantly reducing compression work. Chemical solvents (MDEA) typically release CO₂ at near-atmospheric pressure, requiring more compression stages. Default from NETL reference configuration. User-overridable.</w:t>
      </w:r>
    </w:p>
    <w:p>
      <w:pPr>
        <w:pStyle w:val="ListParagraph"/>
        <w:numPr>
          <w:ilvl w:val="0"/>
          <w:numId w:val="2"/>
        </w:numPr>
        <w:spacing w:after="60"/>
      </w:pPr>
      <w:r>
        <w:rPr>
          <w:rFonts w:ascii="Arial" w:cs="Arial" w:eastAsia="Arial" w:hAnsi="Arial"/>
          <w:b/>
          <w:bCs/>
          <w:color w:val="333333"/>
          <w:sz w:val="22"/>
          <w:szCs w:val="22"/>
        </w:rPr>
        <w:t xml:space="preserve">Capture Scope Toggle: </w:t>
      </w:r>
      <w:r>
        <w:rPr>
          <w:rFonts w:ascii="Arial" w:cs="Arial" w:eastAsia="Arial" w:hAnsi="Arial"/>
          <w:color w:val="333333"/>
          <w:sz w:val="22"/>
          <w:szCs w:val="22"/>
        </w:rPr>
        <w:t xml:space="preserve">Two options: Process CO₂ Only (AGR stream, default) and Process + Combustion (adds flue gas capture from compressor drivers and plant heaters). For plants processing high-CO₂ gas, the AGR stream dominates total emissions. For plants processing low-CO₂ gas, combustion emissions may be a comparable or larger share.</w:t>
      </w:r>
    </w:p>
    <w:p>
      <w:pPr>
        <w:pStyle w:val="ListParagraph"/>
        <w:numPr>
          <w:ilvl w:val="0"/>
          <w:numId w:val="2"/>
        </w:numPr>
        <w:spacing w:after="60"/>
      </w:pPr>
      <w:r>
        <w:rPr>
          <w:rFonts w:ascii="Arial" w:cs="Arial" w:eastAsia="Arial" w:hAnsi="Arial"/>
          <w:b/>
          <w:bCs/>
          <w:color w:val="333333"/>
          <w:sz w:val="22"/>
          <w:szCs w:val="22"/>
        </w:rPr>
        <w:t xml:space="preserve">Facility Decarbonization Indicator: </w:t>
      </w:r>
      <w:r>
        <w:rPr>
          <w:rFonts w:ascii="Arial" w:cs="Arial" w:eastAsia="Arial" w:hAnsi="Arial"/>
          <w:color w:val="333333"/>
          <w:sz w:val="22"/>
          <w:szCs w:val="22"/>
        </w:rPr>
        <w:t xml:space="preserve">Calculated dynamically when gas throughput and CO₂ content are known. The model estimates combustion emissions from compressor fuel gas consumption (proportional to gas throughput) and shows AGR CO₂ as a percentage of total on-site emissions. When the user enters CO₂ produced directly without throughput, the indicator flags ‘AGR CO₂ only — combustion emissions not estimated without gas throughput input.’</w:t>
      </w:r>
    </w:p>
    <w:p>
      <w:pPr>
        <w:pStyle w:val="ListParagraph"/>
        <w:numPr>
          <w:ilvl w:val="0"/>
          <w:numId w:val="2"/>
        </w:numPr>
        <w:spacing w:after="60"/>
      </w:pPr>
      <w:r>
        <w:rPr>
          <w:rFonts w:ascii="Arial" w:cs="Arial" w:eastAsia="Arial" w:hAnsi="Arial"/>
          <w:b/>
          <w:bCs/>
          <w:color w:val="333333"/>
          <w:sz w:val="22"/>
          <w:szCs w:val="22"/>
        </w:rPr>
        <w:t xml:space="preserve">Three-Variable Back-Solve Chain: </w:t>
      </w:r>
      <w:r>
        <w:rPr>
          <w:rFonts w:ascii="Arial" w:cs="Arial" w:eastAsia="Arial" w:hAnsi="Arial"/>
          <w:color w:val="333333"/>
          <w:sz w:val="22"/>
          <w:szCs w:val="22"/>
        </w:rPr>
        <w:t xml:space="preserve">Gas throughput (MMSCFD) × raw gas CO₂ content (mol%) × removal efficiency (~95–98%) × density conversion → CO₂ produced (t/yr). Then CO₂ produced × capture rate → CO₂ captured. User can enter at any level: throughput + CO₂ content, or CO₂ produced directly, or CO₂ captured directly. If CO₂ is entered directly, throughput and content are not required.</w:t>
      </w:r>
    </w:p>
    <w:p>
      <w:pPr>
        <w:pStyle w:val="ListParagraph"/>
        <w:numPr>
          <w:ilvl w:val="0"/>
          <w:numId w:val="2"/>
        </w:numPr>
        <w:spacing w:after="60"/>
      </w:pPr>
      <w:r>
        <w:rPr>
          <w:rFonts w:ascii="Arial" w:cs="Arial" w:eastAsia="Arial" w:hAnsi="Arial"/>
          <w:b/>
          <w:bCs/>
          <w:color w:val="333333"/>
          <w:sz w:val="22"/>
          <w:szCs w:val="22"/>
        </w:rPr>
        <w:t xml:space="preserve">Scaling Basis: </w:t>
      </w:r>
      <w:r>
        <w:rPr>
          <w:rFonts w:ascii="Arial" w:cs="Arial" w:eastAsia="Arial" w:hAnsi="Arial"/>
          <w:color w:val="333333"/>
          <w:sz w:val="22"/>
          <w:szCs w:val="22"/>
        </w:rPr>
        <w:t xml:space="preserve">CO₂ volume, not gas throughput. The compression system (which is the capture CAPEX) scales with CO₂ flow regardless of how much gas the plant processes. Size ratio: sR = user CO₂ captured ÷ NETL reference CO₂ (551,816 t/yr). Two plants with the same CO₂ volume have the same capture cost regardless of gas throughput. Exception: the combustion capture scope (if selected) sizes the flue gas system based on gas throughput.</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US gas processing plants range from ~10 MMSCFD to 1,000+ MMSCFD. But CO₂ volume is the real driver — a 100 MMSCFD plant processing 10% CO₂ gas produces more CO₂ than a 500 MMSCFD plant processing 1%. CO₂ volumes for capture can range from &lt;10,000 to &gt;1,000,000 t/yr. Standard six-tenths scaling on CO₂ volume applies within 0.3x–3.0x of NETL reference. Train-based approach above 3x.</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Variable by field. Not a fixed ratio like other sources. Calculated from gas throughput × CO₂ content × removal efficiency. The emission factor table entry for NGP reflects ‘varies’ with the NETL reference as the calibration point.</w:t>
      </w:r>
    </w:p>
    <w:p>
      <w:pPr>
        <w:pStyle w:val="ListParagraph"/>
        <w:numPr>
          <w:ilvl w:val="0"/>
          <w:numId w:val="2"/>
        </w:numPr>
        <w:spacing w:after="60"/>
      </w:pPr>
      <w:r>
        <w:rPr>
          <w:rFonts w:ascii="Arial" w:cs="Arial" w:eastAsia="Arial" w:hAnsi="Arial"/>
          <w:b/>
          <w:bCs/>
          <w:color w:val="333333"/>
          <w:sz w:val="22"/>
          <w:szCs w:val="22"/>
        </w:rPr>
        <w:t xml:space="preserve">Co-Location with EOR: </w:t>
      </w:r>
      <w:r>
        <w:rPr>
          <w:rFonts w:ascii="Arial" w:cs="Arial" w:eastAsia="Arial" w:hAnsi="Arial"/>
          <w:color w:val="333333"/>
          <w:sz w:val="22"/>
          <w:szCs w:val="22"/>
        </w:rPr>
        <w:t xml:space="preserve">Many gas processing plants (especially Permian Basin) are already located near EOR operations and some currently sell AGR CO₂ for EOR. Redirecting to geological storage for 45Q means potentially losing existing EOR sales revenue. The model does not account for foregone revenue but the tooltip notes this consideration.</w:t>
      </w:r>
    </w:p>
    <w:p>
      <w:pPr>
        <w:pStyle w:val="Heading3"/>
        <w:spacing w:before="200" w:after="120"/>
      </w:pPr>
      <w:r>
        <w:rPr>
          <w:rFonts w:ascii="Arial" w:cs="Arial" w:eastAsia="Arial" w:hAnsi="Arial"/>
          <w:b/>
          <w:bCs/>
          <w:color w:val="2D5B9E"/>
          <w:sz w:val="22"/>
          <w:szCs w:val="22"/>
        </w:rPr>
        <w:t xml:space="preserve">5.3.4 Coal-to-Liquids</w:t>
      </w:r>
    </w:p>
    <w:p>
      <w:pPr>
        <w:spacing w:after="120"/>
      </w:pPr>
      <w:r>
        <w:rPr>
          <w:rFonts w:ascii="Arial" w:cs="Arial" w:eastAsia="Arial" w:hAnsi="Arial"/>
          <w:color w:val="333333"/>
          <w:sz w:val="22"/>
          <w:szCs w:val="22"/>
        </w:rPr>
        <w:t xml:space="preserve">Fischer-Tropsch process produces high-purity CO₂ from AGR at multiple pressures (160, 265, 300 psia). Very large CO₂ volume (~65M t/yr at reference scale of 50,000 BPD). COC $5.6/t — lowest of any source due to massive scale and high inlet pressures reducing compression costs. No domestic CTL plants currently exist; greenfield only. Detailed nuances to be defined.</w:t>
      </w:r>
    </w:p>
    <w:p>
      <w:pPr>
        <w:pStyle w:val="Heading3"/>
        <w:spacing w:before="200" w:after="120"/>
      </w:pPr>
      <w:r>
        <w:rPr>
          <w:rFonts w:ascii="Arial" w:cs="Arial" w:eastAsia="Arial" w:hAnsi="Arial"/>
          <w:b/>
          <w:bCs/>
          <w:color w:val="2D5B9E"/>
          <w:sz w:val="22"/>
          <w:szCs w:val="22"/>
        </w:rPr>
        <w:t xml:space="preserve">5.3.5 Gas-to-Liquids</w:t>
      </w:r>
    </w:p>
    <w:p>
      <w:pPr>
        <w:spacing w:after="120"/>
      </w:pPr>
      <w:r>
        <w:rPr>
          <w:rFonts w:ascii="Arial" w:cs="Arial" w:eastAsia="Arial" w:hAnsi="Arial"/>
          <w:color w:val="333333"/>
          <w:sz w:val="22"/>
          <w:szCs w:val="22"/>
        </w:rPr>
        <w:t xml:space="preserve">Similar to CTL but from natural gas feedstock. High-purity CO₂ from AGR at 265 psia. NETL reference: 50,000 BPD, 1,579,952 t CO₂/yr, COC $6.4/t greenfield. No domestic GTL plants currently exist; greenfield only. Detailed nuances to be defined.</w:t>
      </w:r>
    </w:p>
    <w:p>
      <w:r>
        <w:br w:type="page"/>
      </w:r>
    </w:p>
    <w:p>
      <w:pPr>
        <w:pStyle w:val="Heading2"/>
        <w:spacing w:before="240" w:after="140"/>
      </w:pPr>
      <w:r>
        <w:rPr>
          <w:rFonts w:ascii="Arial" w:cs="Arial" w:eastAsia="Arial" w:hAnsi="Arial"/>
          <w:b/>
          <w:bCs/>
          <w:color w:val="1A1A2E"/>
          <w:sz w:val="26"/>
          <w:szCs w:val="26"/>
        </w:rPr>
        <w:t xml:space="preserve">5.4 Power Plants</w:t>
      </w:r>
    </w:p>
    <w:p>
      <w:pPr>
        <w:pStyle w:val="Heading3"/>
        <w:spacing w:before="200" w:after="120"/>
      </w:pPr>
      <w:r>
        <w:rPr>
          <w:rFonts w:ascii="Arial" w:cs="Arial" w:eastAsia="Arial" w:hAnsi="Arial"/>
          <w:b/>
          <w:bCs/>
          <w:color w:val="2D5B9E"/>
          <w:sz w:val="22"/>
          <w:szCs w:val="22"/>
        </w:rPr>
        <w:t xml:space="preserve">5.4.1 NGCC</w:t>
      </w:r>
    </w:p>
    <w:p>
      <w:pPr>
        <w:spacing w:after="120"/>
      </w:pPr>
      <w:r>
        <w:rPr>
          <w:rFonts w:ascii="Arial" w:cs="Arial" w:eastAsia="Arial" w:hAnsi="Arial"/>
          <w:color w:val="333333"/>
          <w:sz w:val="22"/>
          <w:szCs w:val="22"/>
        </w:rPr>
        <w:t xml:space="preserve">Natural gas combined cycle plants burn natural gas in a combustion turbine, then use the hot exhaust to generate steam in a heat recovery steam generator (HRSG) for a steam turbine. The flue gas exits the HRSG at about 4% CO₂ concentration — the lowest of any point source in the model. This low concentration means large absorber columns and high energy penalty per tonne captured.</w:t>
      </w:r>
    </w:p>
    <w:p>
      <w:pPr>
        <w:pStyle w:val="ListParagraph"/>
        <w:numPr>
          <w:ilvl w:val="0"/>
          <w:numId w:val="2"/>
        </w:numPr>
        <w:spacing w:after="60"/>
      </w:pPr>
      <w:r>
        <w:rPr>
          <w:rFonts w:ascii="Arial" w:cs="Arial" w:eastAsia="Arial" w:hAnsi="Arial"/>
          <w:b/>
          <w:bCs/>
          <w:color w:val="CC0000"/>
          <w:sz w:val="22"/>
          <w:szCs w:val="22"/>
        </w:rPr>
        <w:t xml:space="preserve">CRITICAL — Capacity Basis Fix: </w:t>
      </w:r>
      <w:r>
        <w:rPr>
          <w:rFonts w:ascii="Arial" w:cs="Arial" w:eastAsia="Arial" w:hAnsi="Arial"/>
          <w:color w:val="333333"/>
          <w:sz w:val="22"/>
          <w:szCs w:val="22"/>
        </w:rPr>
        <w:t xml:space="preserve">Plant capacity must be gross output WITHOUT capture (740 MW for F-frame, 1,009 MW for H-frame), not net output after capture (641/878 MW). The NETL report confirms identical natural gas feed flow with and without capture. CO₂ production is determined by fuel flow, which is set by gross combustion output. Using net-after-capture inflates the size ratio by ~9–15%. This was a known bug in the previous model.</w:t>
      </w:r>
    </w:p>
    <w:p>
      <w:pPr>
        <w:pStyle w:val="ListParagraph"/>
        <w:numPr>
          <w:ilvl w:val="0"/>
          <w:numId w:val="2"/>
        </w:numPr>
        <w:spacing w:after="60"/>
      </w:pPr>
      <w:r>
        <w:rPr>
          <w:rFonts w:ascii="Arial" w:cs="Arial" w:eastAsia="Arial" w:hAnsi="Arial"/>
          <w:b/>
          <w:bCs/>
          <w:color w:val="333333"/>
          <w:sz w:val="22"/>
          <w:szCs w:val="22"/>
        </w:rPr>
        <w:t xml:space="preserve">Turbine Frame Selection: </w:t>
      </w:r>
      <w:r>
        <w:rPr>
          <w:rFonts w:ascii="Arial" w:cs="Arial" w:eastAsia="Arial" w:hAnsi="Arial"/>
          <w:color w:val="333333"/>
          <w:sz w:val="22"/>
          <w:szCs w:val="22"/>
        </w:rPr>
        <w:t xml:space="preserve">Two NETL-anchored presets plus a custom option. The frame determines the default MW and heat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800"/>
        <w:gridCol w:w="2560"/>
      </w:tblGrid>
      <w:tr>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Frame</w:t>
            </w:r>
          </w:p>
        </w:tc>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Gross MW</w:t>
            </w:r>
          </w:p>
        </w:tc>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Heat Rate</w:t>
            </w:r>
          </w:p>
        </w:tc>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NETL Case</w:t>
            </w:r>
          </w:p>
        </w:tc>
        <w:tc>
          <w:tcPr>
            <w:tcW w:type="dxa" w:w="25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F-Frame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740 MW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5.822 MMBtu/MWh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B31A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Workhorse of the US fleet. GE 7FA, Siemens SGT6-5000F. Built 2000s–2010s. Most existing NGCC plants.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H-Frame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1,009 MW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5.511 MMBtu/MWh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B32A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Next generation. GE 7HA, Siemens SGT6-9000HL. Built 2010s–present. More efficient, larger. Lower LCOC per tonne.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Custom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User-defined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User-defined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Scaled from nearest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Covers E-frame (~500 MW, older), J-frame (~1,200 MW, newest), or any non-standard plant.</w:t>
            </w:r>
          </w:p>
        </w:tc>
      </w:tr>
    </w:tbl>
    <w:p>
      <w:pPr>
        <w:spacing w:after="120"/>
      </w:pPr>
      <w:r>
        <w:rPr>
          <w:rFonts w:ascii="Arial" w:cs="Arial" w:eastAsia="Arial" w:hAnsi="Arial"/>
          <w:color w:val="333333"/>
          <w:sz w:val="22"/>
          <w:szCs w:val="22"/>
        </w:rPr>
        <w:t xml:space="preserve">All MW and heat rate values are user-overridable regardless of frame selection. The H-frame produces more total CO₂ (bigger plant) but less CO₂ per MWh (more efficient), giving better capture economies of scale.</w:t>
      </w:r>
    </w:p>
    <w:p>
      <w:pPr>
        <w:pStyle w:val="ListParagraph"/>
        <w:numPr>
          <w:ilvl w:val="0"/>
          <w:numId w:val="2"/>
        </w:numPr>
        <w:spacing w:after="60"/>
      </w:pPr>
      <w:r>
        <w:rPr>
          <w:rFonts w:ascii="Arial" w:cs="Arial" w:eastAsia="Arial" w:hAnsi="Arial"/>
          <w:b/>
          <w:bCs/>
          <w:color w:val="333333"/>
          <w:sz w:val="22"/>
          <w:szCs w:val="22"/>
        </w:rPr>
        <w:t xml:space="preserve">NETL Reference Data: </w:t>
      </w:r>
      <w:r>
        <w:rPr>
          <w:rFonts w:ascii="Arial" w:cs="Arial" w:eastAsia="Arial" w:hAnsi="Arial"/>
          <w:color w:val="333333"/>
          <w:sz w:val="22"/>
          <w:szCs w:val="22"/>
        </w:rPr>
        <w:t xml:space="preserve">DOE/NETL-2023/3848 Rev 3. F-frame: 2,161,745 t CO₂/yr at 85% CF. H-frame: 2,892,332 t CO₂/yr at 85% CF. Variants at 90%, 95%, and 97% capture rate. Both retrofit and greenfield. CANSOLV post-combustion capture. Dec 2018$, LA baseline.</w:t>
      </w:r>
    </w:p>
    <w:p>
      <w:pPr>
        <w:pStyle w:val="ListParagraph"/>
        <w:numPr>
          <w:ilvl w:val="0"/>
          <w:numId w:val="2"/>
        </w:numPr>
        <w:spacing w:after="60"/>
      </w:pPr>
      <w:r>
        <w:rPr>
          <w:rFonts w:ascii="Arial" w:cs="Arial" w:eastAsia="Arial" w:hAnsi="Arial"/>
          <w:b/>
          <w:bCs/>
          <w:color w:val="333333"/>
          <w:sz w:val="22"/>
          <w:szCs w:val="22"/>
        </w:rPr>
        <w:t xml:space="preserve">Parasitic Load and MPC: </w:t>
      </w:r>
      <w:r>
        <w:rPr>
          <w:rFonts w:ascii="Arial" w:cs="Arial" w:eastAsia="Arial" w:hAnsi="Arial"/>
          <w:color w:val="333333"/>
          <w:sz w:val="22"/>
          <w:szCs w:val="22"/>
        </w:rPr>
        <w:t xml:space="preserve">Adding capture reduces net electrical output through two mechanisms: (1) steam extracted from the LP turbine crossover for solvent regeneration, and (2) auxiliary electrical load for compressor, fans, and pumps. The F-frame drops from 740 to 641 MW net (99 MW lost). NETL accounts for this as Makeup Power Cost (MPC) = lost MW × 8,760 × CF × projected sales price (default $30/MWh). MPC is placed in the Purchased Power LCOC component. For retrofit cases, the lost output includes an additional off-design efficiency penalty because the steam turbine operates at conditions it wasn’t designed for. MPC treatment details parked for further discussion.</w:t>
      </w:r>
    </w:p>
    <w:p>
      <w:pPr>
        <w:pStyle w:val="ListParagraph"/>
        <w:numPr>
          <w:ilvl w:val="0"/>
          <w:numId w:val="2"/>
        </w:numPr>
        <w:spacing w:after="60"/>
      </w:pPr>
      <w:r>
        <w:rPr>
          <w:rFonts w:ascii="Arial" w:cs="Arial" w:eastAsia="Arial" w:hAnsi="Arial"/>
          <w:b/>
          <w:bCs/>
          <w:color w:val="333333"/>
          <w:sz w:val="22"/>
          <w:szCs w:val="22"/>
        </w:rPr>
        <w:t xml:space="preserve">CO₂ Production Formula: </w:t>
      </w:r>
      <w:r>
        <w:rPr>
          <w:rFonts w:ascii="Arial" w:cs="Arial" w:eastAsia="Arial" w:hAnsi="Arial"/>
          <w:color w:val="333333"/>
          <w:sz w:val="22"/>
          <w:szCs w:val="22"/>
        </w:rPr>
        <w:t xml:space="preserve">MW gross × CF × 8,760 hours × heat rate (MMBtu/MWh) × emission factor (0.05306 t CO₂/MMBtu for natural gas). Heat rates are calibrated to the gross-without-capture MW basis so that MW × HR produces the correct fuel flow matching the NETL reference.</w:t>
      </w:r>
    </w:p>
    <w:p>
      <w:pPr>
        <w:pStyle w:val="ListParagraph"/>
        <w:numPr>
          <w:ilvl w:val="0"/>
          <w:numId w:val="2"/>
        </w:numPr>
        <w:spacing w:after="60"/>
      </w:pPr>
      <w:r>
        <w:rPr>
          <w:rFonts w:ascii="Arial" w:cs="Arial" w:eastAsia="Arial" w:hAnsi="Arial"/>
          <w:b/>
          <w:bCs/>
          <w:color w:val="333333"/>
          <w:sz w:val="22"/>
          <w:szCs w:val="22"/>
        </w:rPr>
        <w:t xml:space="preserve">Multi-Unit Plants: </w:t>
      </w:r>
      <w:r>
        <w:rPr>
          <w:rFonts w:ascii="Arial" w:cs="Arial" w:eastAsia="Arial" w:hAnsi="Arial"/>
          <w:color w:val="333333"/>
          <w:sz w:val="22"/>
          <w:szCs w:val="22"/>
        </w:rPr>
        <w:t xml:space="preserve">Default: modeled as one capture system (user enters total plant MW). Toggle available to specify number of units for plants with 2x1 or 3x1 configurations, allowing the model to account for separate capture trains if needed.</w:t>
      </w:r>
    </w:p>
    <w:p>
      <w:pPr>
        <w:pStyle w:val="ListParagraph"/>
        <w:numPr>
          <w:ilvl w:val="0"/>
          <w:numId w:val="2"/>
        </w:numPr>
        <w:spacing w:after="60"/>
      </w:pPr>
      <w:r>
        <w:rPr>
          <w:rFonts w:ascii="Arial" w:cs="Arial" w:eastAsia="Arial" w:hAnsi="Arial"/>
          <w:b/>
          <w:bCs/>
          <w:color w:val="333333"/>
          <w:sz w:val="22"/>
          <w:szCs w:val="22"/>
        </w:rPr>
        <w:t xml:space="preserve">Retrofit vs Greenfield: </w:t>
      </w:r>
      <w:r>
        <w:rPr>
          <w:rFonts w:ascii="Arial" w:cs="Arial" w:eastAsia="Arial" w:hAnsi="Arial"/>
          <w:color w:val="333333"/>
          <w:sz w:val="22"/>
          <w:szCs w:val="22"/>
        </w:rPr>
        <w:t xml:space="preserve">Both modeled. RDF = 1.09 for NGCC retrofit (NETL default). Greenfield RDF = 1.0. Retrofit involves tie-ins to existing HRSG for flue gas ducting and existing steam cycle for steam extraction. Greenfield allows optimized steam cycle design. Off-design steam turbine penalty applies only to retrofit.</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US NGCC plants range from ~200 MW to ~1,200 MW per unit. F-frame reference (740 MW) covers plants from ~220 MW to ~850 MW (0.3x–1.15x). H-frame reference (1,009 MW) covers plants from ~850 MW to ~1,200 MW (0.84x–1.19x). Model auto-selects nearest reference based on MW input. No train-based approach needed — the full fleet is within normal scaling range of the two references.</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(MW gross) → annual output (MWh = MW × CF × 8,760) → CO₂ produced (MWh × heat rate × emission factor) → CO₂ captured (× capture rate). User can enter MW, or CO₂ produced/captured directly.</w:t>
      </w:r>
    </w:p>
    <w:p>
      <w:pPr>
        <w:pStyle w:val="Heading3"/>
        <w:spacing w:before="200" w:after="120"/>
      </w:pPr>
      <w:r>
        <w:rPr>
          <w:rFonts w:ascii="Arial" w:cs="Arial" w:eastAsia="Arial" w:hAnsi="Arial"/>
          <w:b/>
          <w:bCs/>
          <w:color w:val="2D5B9E"/>
          <w:sz w:val="22"/>
          <w:szCs w:val="22"/>
        </w:rPr>
        <w:t xml:space="preserve">5.4.1a Parked Questions — NGCC</w:t>
      </w:r>
    </w:p>
    <w:p>
      <w:pPr>
        <w:pStyle w:val="ListParagraph"/>
        <w:numPr>
          <w:ilvl w:val="0"/>
          <w:numId w:val="2"/>
        </w:numPr>
        <w:spacing w:after="60"/>
      </w:pPr>
      <w:r>
        <w:rPr>
          <w:rFonts w:ascii="Arial" w:cs="Arial" w:eastAsia="Arial" w:hAnsi="Arial"/>
          <w:color w:val="333333"/>
          <w:sz w:val="22"/>
          <w:szCs w:val="22"/>
        </w:rPr>
        <w:t xml:space="preserve">MPC treatment — show as separate line item or keep in purchased power LCOC component?</w:t>
      </w:r>
    </w:p>
    <w:p>
      <w:pPr>
        <w:pStyle w:val="Heading3"/>
        <w:spacing w:before="200" w:after="120"/>
      </w:pPr>
      <w:r>
        <w:rPr>
          <w:rFonts w:ascii="Arial" w:cs="Arial" w:eastAsia="Arial" w:hAnsi="Arial"/>
          <w:b/>
          <w:bCs/>
          <w:color w:val="2D5B9E"/>
          <w:sz w:val="22"/>
          <w:szCs w:val="22"/>
        </w:rPr>
        <w:t xml:space="preserve">5.4.2 Coal</w:t>
      </w:r>
    </w:p>
    <w:p>
      <w:pPr>
        <w:spacing w:after="120"/>
      </w:pPr>
      <w:r>
        <w:rPr>
          <w:rFonts w:ascii="Arial" w:cs="Arial" w:eastAsia="Arial" w:hAnsi="Arial"/>
          <w:color w:val="333333"/>
          <w:sz w:val="22"/>
          <w:szCs w:val="22"/>
        </w:rPr>
        <w:t xml:space="preserve">Coal power plants burn pulverized coal (PC) in a boiler to generate steam for a steam turbine. The flue gas contains 12–14% CO₂ — about 3x the concentration of NGCC — which is favorable for capture (smaller absorber, lower energy penalty per tonne). However, the gas is significantly dirtier than NGCC, requiring extensive pre-treatment.</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Supercritical PC, NETL Baseline Vol. 1 Rev 4a (October 2022). Case B12A (without capture): 580 MW gross, 550 MW net. Case B12B (with capture at 90%): 642 MW gross, 550 MW net. Both greenfield designs sized to the same 550 MW net output. Illinois #6 bituminous coal. CANSOLV post-combustion capture. Variants at 90% and 95% capture. Dec 2018$.</w:t>
      </w:r>
    </w:p>
    <w:p>
      <w:pPr>
        <w:pStyle w:val="ListParagraph"/>
        <w:numPr>
          <w:ilvl w:val="0"/>
          <w:numId w:val="2"/>
        </w:numPr>
        <w:spacing w:after="60"/>
      </w:pPr>
      <w:r>
        <w:rPr>
          <w:rFonts w:ascii="Arial" w:cs="Arial" w:eastAsia="Arial" w:hAnsi="Arial"/>
          <w:b/>
          <w:bCs/>
          <w:color w:val="CC0000"/>
          <w:sz w:val="22"/>
          <w:szCs w:val="22"/>
        </w:rPr>
        <w:t xml:space="preserve">CRITICAL — Capacity Basis (Different from NGCC): </w:t>
      </w:r>
      <w:r>
        <w:rPr>
          <w:rFonts w:ascii="Arial" w:cs="Arial" w:eastAsia="Arial" w:hAnsi="Arial"/>
          <w:color w:val="333333"/>
          <w:sz w:val="22"/>
          <w:szCs w:val="22"/>
        </w:rPr>
        <w:t xml:space="preserve">For coal, NETL uses a different design approach than NGCC. Greenfield coal cases are sized to a constant NET output (550 MW), with the boiler oversized in the capture case to compensate for parasitic load. This means:</w:t>
      </w:r>
    </w:p>
    <w:p>
      <w:pPr>
        <w:pStyle w:val="ListParagraph"/>
        <w:numPr>
          <w:ilvl w:val="0"/>
          <w:numId w:val="2"/>
        </w:numPr>
        <w:spacing w:after="60"/>
      </w:pPr>
      <w:r>
        <w:rPr>
          <w:rFonts w:ascii="Arial" w:cs="Arial" w:eastAsia="Arial" w:hAnsi="Arial"/>
          <w:color w:val="333333"/>
          <w:sz w:val="22"/>
          <w:szCs w:val="22"/>
        </w:rPr>
        <w:t xml:space="preserve">Greenfield: user inputs desired net MW. The model sizes the boiler (and CO₂ production) accordingly. Reference is 550 MW net.</w:t>
      </w:r>
    </w:p>
    <w:p>
      <w:pPr>
        <w:pStyle w:val="ListParagraph"/>
        <w:numPr>
          <w:ilvl w:val="0"/>
          <w:numId w:val="2"/>
        </w:numPr>
        <w:spacing w:after="60"/>
      </w:pPr>
      <w:r>
        <w:rPr>
          <w:rFonts w:ascii="Arial" w:cs="Arial" w:eastAsia="Arial" w:hAnsi="Arial"/>
          <w:color w:val="333333"/>
          <w:sz w:val="22"/>
          <w:szCs w:val="22"/>
        </w:rPr>
        <w:t xml:space="preserve">Retrofit: user inputs existing plant gross MW (boiler is fixed, adding capture reduces net output — same logic as NGCC retrofit). Reference from the PC Retrofit study (Buchheit et al. 2023).</w:t>
      </w:r>
    </w:p>
    <w:p>
      <w:pPr>
        <w:spacing w:after="120"/>
      </w:pPr>
      <w:r>
        <w:rPr>
          <w:rFonts w:ascii="Arial" w:cs="Arial" w:eastAsia="Arial" w:hAnsi="Arial"/>
          <w:color w:val="333333"/>
          <w:sz w:val="22"/>
          <w:szCs w:val="22"/>
        </w:rPr>
        <w:t xml:space="preserve">The tooltip explains this distinction. Retrofit follows NGCC logic; greenfield follows the constant-net-output design approach.</w:t>
      </w:r>
    </w:p>
    <w:p>
      <w:pPr>
        <w:pStyle w:val="ListParagraph"/>
        <w:numPr>
          <w:ilvl w:val="0"/>
          <w:numId w:val="2"/>
        </w:numPr>
        <w:spacing w:after="60"/>
      </w:pPr>
      <w:r>
        <w:rPr>
          <w:rFonts w:ascii="Arial" w:cs="Arial" w:eastAsia="Arial" w:hAnsi="Arial"/>
          <w:b/>
          <w:bCs/>
          <w:color w:val="333333"/>
          <w:sz w:val="22"/>
          <w:szCs w:val="22"/>
        </w:rPr>
        <w:t xml:space="preserve">Single Configuration with Adjustable Heat Rate: </w:t>
      </w:r>
      <w:r>
        <w:rPr>
          <w:rFonts w:ascii="Arial" w:cs="Arial" w:eastAsia="Arial" w:hAnsi="Arial"/>
          <w:color w:val="333333"/>
          <w:sz w:val="22"/>
          <w:szCs w:val="22"/>
        </w:rPr>
        <w:t xml:space="preserve">One coal option (supercritical PC). Default heat rate ~8,800 BTU/kWh (HHV basis, Illinois #6 bituminous). User-overridable to reflect different coal types: PRB sub-bituminous (~9,500–10,000), lignite (~10,500–11,000), or plant-specific data. No separate coal type selector — heat rate adjustment captures the main impact. IGCC excluded (only one US plant exists).</w:t>
      </w:r>
    </w:p>
    <w:p>
      <w:pPr>
        <w:pStyle w:val="ListParagraph"/>
        <w:numPr>
          <w:ilvl w:val="0"/>
          <w:numId w:val="2"/>
        </w:numPr>
        <w:spacing w:after="60"/>
      </w:pPr>
      <w:r>
        <w:rPr>
          <w:rFonts w:ascii="Arial" w:cs="Arial" w:eastAsia="Arial" w:hAnsi="Arial"/>
          <w:b/>
          <w:bCs/>
          <w:color w:val="333333"/>
          <w:sz w:val="22"/>
          <w:szCs w:val="22"/>
        </w:rPr>
        <w:t xml:space="preserve">Pre-Treatment — Default On: </w:t>
      </w:r>
      <w:r>
        <w:rPr>
          <w:rFonts w:ascii="Arial" w:cs="Arial" w:eastAsia="Arial" w:hAnsi="Arial"/>
          <w:color w:val="333333"/>
          <w:sz w:val="22"/>
          <w:szCs w:val="22"/>
        </w:rPr>
        <w:t xml:space="preserve">Coal combustion produces SO₂, NOₓ, particulates, mercury, and trace metals. SO₂ causes irreversible amine solvent degradation. Most modern coal plants have existing FGD, SCR, and baghouse/ESP, but a polishing FGD step is typically still needed to get SO₂ below ~10 ppm for amine contact. The NETL study includes FGD polishing. Higher solvent degradation rates than NGCC increase variable O&amp;M (solvent makeup, reclaimer operation).</w:t>
      </w:r>
    </w:p>
    <w:p>
      <w:pPr>
        <w:pStyle w:val="ListParagraph"/>
        <w:numPr>
          <w:ilvl w:val="0"/>
          <w:numId w:val="2"/>
        </w:numPr>
        <w:spacing w:after="60"/>
      </w:pPr>
      <w:r>
        <w:rPr>
          <w:rFonts w:ascii="Arial" w:cs="Arial" w:eastAsia="Arial" w:hAnsi="Arial"/>
          <w:b/>
          <w:bCs/>
          <w:color w:val="333333"/>
          <w:sz w:val="22"/>
          <w:szCs w:val="22"/>
        </w:rPr>
        <w:t xml:space="preserve">Coal Type Context: </w:t>
      </w:r>
      <w:r>
        <w:rPr>
          <w:rFonts w:ascii="Arial" w:cs="Arial" w:eastAsia="Arial" w:hAnsi="Arial"/>
          <w:color w:val="333333"/>
          <w:sz w:val="22"/>
          <w:szCs w:val="22"/>
        </w:rPr>
        <w:t xml:space="preserve">Illinois #6 bituminous is the NETL standard reference (~40% of US coal consumption). PRB sub-bituminous is actually the most commonly burned US coal (~45% of consumption) — lower heating value, very low sulfur, higher moisture. Lignite (~10%) has the lowest heating value. The main capture impact is through heat rate (more fuel per MWh = more CO₂) and SO₂ levels (affects pre-treatment costs). Users adjust heat rate to model different coals.</w:t>
      </w:r>
    </w:p>
    <w:p>
      <w:pPr>
        <w:pStyle w:val="ListParagraph"/>
        <w:numPr>
          <w:ilvl w:val="0"/>
          <w:numId w:val="2"/>
        </w:numPr>
        <w:spacing w:after="60"/>
      </w:pPr>
      <w:r>
        <w:rPr>
          <w:rFonts w:ascii="Arial" w:cs="Arial" w:eastAsia="Arial" w:hAnsi="Arial"/>
          <w:b/>
          <w:bCs/>
          <w:color w:val="333333"/>
          <w:sz w:val="22"/>
          <w:szCs w:val="22"/>
        </w:rPr>
        <w:t xml:space="preserve">MPC and Steam Extraction: </w:t>
      </w:r>
      <w:r>
        <w:rPr>
          <w:rFonts w:ascii="Arial" w:cs="Arial" w:eastAsia="Arial" w:hAnsi="Arial"/>
          <w:color w:val="333333"/>
          <w:sz w:val="22"/>
          <w:szCs w:val="22"/>
        </w:rPr>
        <w:t xml:space="preserve">Same concept as NGCC — steam extracted from the LP turbine for solvent regeneration, plus auxiliary electrical load. MPC = lost MW × 8,760 × CF × projected sales price. The coal steam cycle is different from NGCC (Rankine cycle only, no gas turbine). Off-design penalty applies for retrofit.</w:t>
      </w:r>
    </w:p>
    <w:p>
      <w:pPr>
        <w:pStyle w:val="ListParagraph"/>
        <w:numPr>
          <w:ilvl w:val="0"/>
          <w:numId w:val="2"/>
        </w:numPr>
        <w:spacing w:after="60"/>
      </w:pPr>
      <w:r>
        <w:rPr>
          <w:rFonts w:ascii="Arial" w:cs="Arial" w:eastAsia="Arial" w:hAnsi="Arial"/>
          <w:b/>
          <w:bCs/>
          <w:color w:val="333333"/>
          <w:sz w:val="22"/>
          <w:szCs w:val="22"/>
        </w:rPr>
        <w:t xml:space="preserve">Remaining Plant Life: </w:t>
      </w:r>
      <w:r>
        <w:rPr>
          <w:rFonts w:ascii="Arial" w:cs="Arial" w:eastAsia="Arial" w:hAnsi="Arial"/>
          <w:color w:val="333333"/>
          <w:sz w:val="22"/>
          <w:szCs w:val="22"/>
        </w:rPr>
        <w:t xml:space="preserve">Most US coal plants are aging, with many scheduled for retirement. Default project life for coal retrofit is 20 years (vs. 30 for NGCC and most industrial sources). This shorter life significantly increases LCOC — at 10% WACC, 20-year Annuity Factor is 0.1175 vs 0.1061 for 30 years (11% higher capital per tonne). The tooltip explains that users should set project life to reflect the actual remaining useful life of the host plant. Some plants are getting life extensions specifically for 45Q capture economics.</w:t>
      </w:r>
    </w:p>
    <w:p>
      <w:pPr>
        <w:pStyle w:val="ListParagraph"/>
        <w:numPr>
          <w:ilvl w:val="0"/>
          <w:numId w:val="2"/>
        </w:numPr>
        <w:spacing w:after="60"/>
      </w:pPr>
      <w:r>
        <w:rPr>
          <w:rFonts w:ascii="Arial" w:cs="Arial" w:eastAsia="Arial" w:hAnsi="Arial"/>
          <w:b/>
          <w:bCs/>
          <w:color w:val="333333"/>
          <w:sz w:val="22"/>
          <w:szCs w:val="22"/>
        </w:rPr>
        <w:t xml:space="preserve">CO₂ Production Formula: </w:t>
      </w:r>
      <w:r>
        <w:rPr>
          <w:rFonts w:ascii="Arial" w:cs="Arial" w:eastAsia="Arial" w:hAnsi="Arial"/>
          <w:color w:val="333333"/>
          <w:sz w:val="22"/>
          <w:szCs w:val="22"/>
        </w:rPr>
        <w:t xml:space="preserve">Same as NGCC: MW × CF × 8,760 × heat rate × emission factor (0.09552 t CO₂/MMBtu for bituminous coal). Coal produces roughly 1.8x more CO₂ per MMBtu than natural gas.</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US coal plants range from ~100 MW to ~1,300 MW (single unit). NETL reference at 550 MW net is mid-range. Standard six-tenths scaling applies across the fleet. Most coal capture projects are on 300–800 MW units.</w:t>
      </w:r>
    </w:p>
    <w:p>
      <w:pPr>
        <w:pStyle w:val="ListParagraph"/>
        <w:numPr>
          <w:ilvl w:val="0"/>
          <w:numId w:val="2"/>
        </w:numPr>
        <w:spacing w:after="60"/>
      </w:pPr>
      <w:r>
        <w:rPr>
          <w:rFonts w:ascii="Arial" w:cs="Arial" w:eastAsia="Arial" w:hAnsi="Arial"/>
          <w:b/>
          <w:bCs/>
          <w:color w:val="333333"/>
          <w:sz w:val="22"/>
          <w:szCs w:val="22"/>
        </w:rPr>
        <w:t xml:space="preserve">Declining Fleet Context: </w:t>
      </w:r>
      <w:r>
        <w:rPr>
          <w:rFonts w:ascii="Arial" w:cs="Arial" w:eastAsia="Arial" w:hAnsi="Arial"/>
          <w:color w:val="333333"/>
          <w:sz w:val="22"/>
          <w:szCs w:val="22"/>
        </w:rPr>
        <w:t xml:space="preserve">US coal fleet has shrunk from ~300 GW (2010) to ~170 GW (2024) with continued retirements expected. The addressable market for coal CCS is shrinking. This is noted in the UI as context but does not affect calculations.</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For greenfield: net MW → gross MW (model sizes boiler) → MWh → CO₂ produced (via heat rate × EF) → CO₂ captured. For retrofit: gross MW → MWh → CO₂ produced → CO₂ captured. User can enter MW or CO₂ directly.</w:t>
      </w:r>
    </w:p>
    <w:p>
      <w:pPr>
        <w:pStyle w:val="Heading3"/>
        <w:spacing w:before="200" w:after="120"/>
      </w:pPr>
      <w:r>
        <w:rPr>
          <w:rFonts w:ascii="Arial" w:cs="Arial" w:eastAsia="Arial" w:hAnsi="Arial"/>
          <w:b/>
          <w:bCs/>
          <w:color w:val="2D5B9E"/>
          <w:sz w:val="22"/>
          <w:szCs w:val="22"/>
        </w:rPr>
        <w:t xml:space="preserve">5.4.3 Biomass / BECCS</w:t>
      </w:r>
    </w:p>
    <w:p>
      <w:pPr>
        <w:spacing w:after="120"/>
      </w:pPr>
      <w:r>
        <w:rPr>
          <w:rFonts w:ascii="Arial" w:cs="Arial" w:eastAsia="Arial" w:hAnsi="Arial"/>
          <w:color w:val="333333"/>
          <w:sz w:val="22"/>
          <w:szCs w:val="22"/>
        </w:rPr>
        <w:t xml:space="preserve">Biomass power plants burn organic material (wood chips, forest residues, agricultural waste, energy crops) to generate steam for a steam turbine. Structurally identical to coal PC: boiler → steam → turbine → generator. Flue gas contains 10–15% CO₂, similar to coal. But because the carbon is biogenic (absorbed from atmosphere during growth), capturing and storing it achieves negative emissions — net removal of CO₂ from the atmosphere. This is BECCS (Bioenergy with Carbon Capture and Storage).</w:t>
      </w:r>
    </w:p>
    <w:p>
      <w:pPr>
        <w:pStyle w:val="ListParagraph"/>
        <w:numPr>
          <w:ilvl w:val="0"/>
          <w:numId w:val="2"/>
        </w:numPr>
        <w:spacing w:after="60"/>
      </w:pPr>
      <w:r>
        <w:rPr>
          <w:rFonts w:ascii="Arial" w:cs="Arial" w:eastAsia="Arial" w:hAnsi="Arial"/>
          <w:b/>
          <w:bCs/>
          <w:color w:val="333333"/>
          <w:sz w:val="22"/>
          <w:szCs w:val="22"/>
        </w:rPr>
        <w:t xml:space="preserve">Reference Cost Data: </w:t>
      </w:r>
      <w:r>
        <w:rPr>
          <w:rFonts w:ascii="Arial" w:cs="Arial" w:eastAsia="Arial" w:hAnsi="Arial"/>
          <w:color w:val="333333"/>
          <w:sz w:val="22"/>
          <w:szCs w:val="22"/>
        </w:rPr>
        <w:t xml:space="preserve">NETL biomass-specific data is thinner than coal or NGCC. The model uses the coal PC reference as the structural basis (same equipment accounts, same cost methodology) adjusted for biomass-specific parameters: smaller scale, different heat rate, different contaminants, different fuel cost. This is a Tier 2 estimate. Validated against published BECCS literature ($40–120/tonne from ORNL, ScienceDirect reviews, IEA). If the model produces LCOC within this range for typical biomass plants, the calibration is correct.</w:t>
      </w:r>
    </w:p>
    <w:p>
      <w:pPr>
        <w:pStyle w:val="ListParagraph"/>
        <w:numPr>
          <w:ilvl w:val="0"/>
          <w:numId w:val="2"/>
        </w:numPr>
        <w:spacing w:after="60"/>
      </w:pPr>
      <w:r>
        <w:rPr>
          <w:rFonts w:ascii="Arial" w:cs="Arial" w:eastAsia="Arial" w:hAnsi="Arial"/>
          <w:b/>
          <w:bCs/>
          <w:color w:val="333333"/>
          <w:sz w:val="22"/>
          <w:szCs w:val="22"/>
        </w:rPr>
        <w:t xml:space="preserve">Dedicated Biomass vs Cofiring: </w:t>
      </w:r>
      <w:r>
        <w:rPr>
          <w:rFonts w:ascii="Arial" w:cs="Arial" w:eastAsia="Arial" w:hAnsi="Arial"/>
          <w:color w:val="333333"/>
          <w:sz w:val="22"/>
          <w:szCs w:val="22"/>
        </w:rPr>
        <w:t xml:space="preserve">Default is dedicated biomass (100% biomass fuel). All CO₂ is biogenic — the entire captured volume qualifies as CDR/negative emissions. Cofiring toggle available: when enabled, the user inputs a biomass percentage (5–20% by energy) for a coal plant cofiring biomass. The model tracks the biogenic/fossil CO₂ split — only the biomass fraction qualifies as CDR, the remainder is fossil avoidance. Cofiring scale is determined by the host coal plant’s MW.</w:t>
      </w:r>
    </w:p>
    <w:p>
      <w:pPr>
        <w:pStyle w:val="ListParagraph"/>
        <w:numPr>
          <w:ilvl w:val="0"/>
          <w:numId w:val="2"/>
        </w:numPr>
        <w:spacing w:after="60"/>
      </w:pPr>
      <w:r>
        <w:rPr>
          <w:rFonts w:ascii="Arial" w:cs="Arial" w:eastAsia="Arial" w:hAnsi="Arial"/>
          <w:b/>
          <w:bCs/>
          <w:color w:val="333333"/>
          <w:sz w:val="22"/>
          <w:szCs w:val="22"/>
        </w:rPr>
        <w:t xml:space="preserve">CDR/BECCS Classification: </w:t>
      </w:r>
      <w:r>
        <w:rPr>
          <w:rFonts w:ascii="Arial" w:cs="Arial" w:eastAsia="Arial" w:hAnsi="Arial"/>
          <w:color w:val="333333"/>
          <w:sz w:val="22"/>
          <w:szCs w:val="22"/>
        </w:rPr>
        <w:t xml:space="preserve">Flagged as CDR/BECCS eligible. Default revenue credit is standard 45Q ($85/t). User can optionally enable premium CDR credits at voluntary market rates ($150–400/t) for the biogenic fraction. For dedicated biomass, 100% of captured CO₂ qualifies. For cofiring, only the biomass fraction qualifies.</w:t>
      </w:r>
    </w:p>
    <w:p>
      <w:pPr>
        <w:pStyle w:val="ListParagraph"/>
        <w:numPr>
          <w:ilvl w:val="0"/>
          <w:numId w:val="2"/>
        </w:numPr>
        <w:spacing w:after="60"/>
      </w:pPr>
      <w:r>
        <w:rPr>
          <w:rFonts w:ascii="Arial" w:cs="Arial" w:eastAsia="Arial" w:hAnsi="Arial"/>
          <w:b/>
          <w:bCs/>
          <w:color w:val="333333"/>
          <w:sz w:val="22"/>
          <w:szCs w:val="22"/>
        </w:rPr>
        <w:t xml:space="preserve">Negative Emissions Accounting: </w:t>
      </w:r>
      <w:r>
        <w:rPr>
          <w:rFonts w:ascii="Arial" w:cs="Arial" w:eastAsia="Arial" w:hAnsi="Arial"/>
          <w:color w:val="333333"/>
          <w:sz w:val="22"/>
          <w:szCs w:val="22"/>
        </w:rPr>
        <w:t xml:space="preserve">The physical CO₂ produced per MWh is real — the combustion releases actual CO₂ molecules regardless of biogenic origin. The capture system sees real CO₂ and must be sized for the actual flow. The ‘zero emission factor’ in the emission factor table reflects lifecycle accounting convention (biogenic carbon neutral). The model calculates actual CO₂ produced (for equipment sizing) while labeling it biogenic (for credit purposes).</w:t>
      </w:r>
    </w:p>
    <w:p>
      <w:pPr>
        <w:pStyle w:val="ListParagraph"/>
        <w:numPr>
          <w:ilvl w:val="0"/>
          <w:numId w:val="2"/>
        </w:numPr>
        <w:spacing w:after="60"/>
      </w:pPr>
      <w:r>
        <w:rPr>
          <w:rFonts w:ascii="Arial" w:cs="Arial" w:eastAsia="Arial" w:hAnsi="Arial"/>
          <w:b/>
          <w:bCs/>
          <w:color w:val="333333"/>
          <w:sz w:val="22"/>
          <w:szCs w:val="22"/>
        </w:rPr>
        <w:t xml:space="preserve">Plant Scale: </w:t>
      </w:r>
      <w:r>
        <w:rPr>
          <w:rFonts w:ascii="Arial" w:cs="Arial" w:eastAsia="Arial" w:hAnsi="Arial"/>
          <w:color w:val="333333"/>
          <w:sz w:val="22"/>
          <w:szCs w:val="22"/>
        </w:rPr>
        <w:t xml:space="preserve">Default 50 MW for dedicated biomass. Most US biomass plants are 20–50 MW, located near fuel sources (sawmills, paper mills, agricultural processing). Some larger plants at 50–100 MW. The 200 MW previously in the model is at the extreme high end (Drax-scale, UK). BECCS literature typically models 50–100 MW for dedicated biomass. Strong economies of scale from 20 to 100 MW, flattening above 100 MW.</w:t>
      </w:r>
    </w:p>
    <w:p>
      <w:pPr>
        <w:pStyle w:val="ListParagraph"/>
        <w:numPr>
          <w:ilvl w:val="0"/>
          <w:numId w:val="2"/>
        </w:numPr>
        <w:spacing w:after="60"/>
      </w:pPr>
      <w:r>
        <w:rPr>
          <w:rFonts w:ascii="Arial" w:cs="Arial" w:eastAsia="Arial" w:hAnsi="Arial"/>
          <w:b/>
          <w:bCs/>
          <w:color w:val="333333"/>
          <w:sz w:val="22"/>
          <w:szCs w:val="22"/>
        </w:rPr>
        <w:t xml:space="preserve">Fuel Type: </w:t>
      </w:r>
      <w:r>
        <w:rPr>
          <w:rFonts w:ascii="Arial" w:cs="Arial" w:eastAsia="Arial" w:hAnsi="Arial"/>
          <w:color w:val="333333"/>
          <w:sz w:val="22"/>
          <w:szCs w:val="22"/>
        </w:rPr>
        <w:t xml:space="preserve">Default wood chips with adjustable heat rate and fuel price. User can change to reflect wood pellets, agricultural residue, energy crops, or other feedstocks. Heating value is significantly lower than coal — ~8,000–9,000 BTU/lb dry wood vs ~12,000 for bituminous coal. High moisture content (30–50% as-received) further reduces effective heating value. This means higher heat rate (more fuel per MWh) and more total fuel tonnage than a same-MW coal plant.</w:t>
      </w:r>
    </w:p>
    <w:p>
      <w:pPr>
        <w:pStyle w:val="ListParagraph"/>
        <w:numPr>
          <w:ilvl w:val="0"/>
          <w:numId w:val="2"/>
        </w:numPr>
        <w:spacing w:after="60"/>
      </w:pPr>
      <w:r>
        <w:rPr>
          <w:rFonts w:ascii="Arial" w:cs="Arial" w:eastAsia="Arial" w:hAnsi="Arial"/>
          <w:b/>
          <w:bCs/>
          <w:color w:val="333333"/>
          <w:sz w:val="22"/>
          <w:szCs w:val="22"/>
        </w:rPr>
        <w:t xml:space="preserve">Different Contaminant Profile from Coal: </w:t>
      </w:r>
      <w:r>
        <w:rPr>
          <w:rFonts w:ascii="Arial" w:cs="Arial" w:eastAsia="Arial" w:hAnsi="Arial"/>
          <w:color w:val="333333"/>
          <w:sz w:val="22"/>
          <w:szCs w:val="22"/>
        </w:rPr>
        <w:t xml:space="preserve">Biomass flue gas contains potassium (K), sodium (Na), chlorine (Cl), and silicon compounds rather than coal’s heavy sulfur and mercury load. SO₂ is generally lower (biomass has less sulfur). HCl may be higher depending on feedstock, especially agricultural residues and straw.</w:t>
      </w:r>
    </w:p>
    <w:p>
      <w:pPr>
        <w:pStyle w:val="ListParagraph"/>
        <w:numPr>
          <w:ilvl w:val="0"/>
          <w:numId w:val="2"/>
        </w:numPr>
        <w:spacing w:after="60"/>
      </w:pPr>
      <w:r>
        <w:rPr>
          <w:rFonts w:ascii="Arial" w:cs="Arial" w:eastAsia="Arial" w:hAnsi="Arial"/>
          <w:b/>
          <w:bCs/>
          <w:color w:val="333333"/>
          <w:sz w:val="22"/>
          <w:szCs w:val="22"/>
        </w:rPr>
        <w:t xml:space="preserve">Pre-Treatment — Default Off: </w:t>
      </w:r>
      <w:r>
        <w:rPr>
          <w:rFonts w:ascii="Arial" w:cs="Arial" w:eastAsia="Arial" w:hAnsi="Arial"/>
          <w:color w:val="333333"/>
          <w:sz w:val="22"/>
          <w:szCs w:val="22"/>
        </w:rPr>
        <w:t xml:space="preserve">Biomass has very low sulfur, so SO₂ polishing for amine solvent protection is usually not needed. Toggle available to add HCl/alkali pre-treatment scrubbing for plants burning high-chlorine feedstocks (straw, agricultural residues). The tooltip explains when it’s needed.</w:t>
      </w:r>
    </w:p>
    <w:p>
      <w:pPr>
        <w:pStyle w:val="ListParagraph"/>
        <w:numPr>
          <w:ilvl w:val="0"/>
          <w:numId w:val="2"/>
        </w:numPr>
        <w:spacing w:after="60"/>
      </w:pPr>
      <w:r>
        <w:rPr>
          <w:rFonts w:ascii="Arial" w:cs="Arial" w:eastAsia="Arial" w:hAnsi="Arial"/>
          <w:b/>
          <w:bCs/>
          <w:color w:val="333333"/>
          <w:sz w:val="22"/>
          <w:szCs w:val="22"/>
        </w:rPr>
        <w:t xml:space="preserve">Steam Extraction: </w:t>
      </w:r>
      <w:r>
        <w:rPr>
          <w:rFonts w:ascii="Arial" w:cs="Arial" w:eastAsia="Arial" w:hAnsi="Arial"/>
          <w:color w:val="333333"/>
          <w:sz w:val="22"/>
          <w:szCs w:val="22"/>
        </w:rPr>
        <w:t xml:space="preserve">Same concept as coal — steam extracted from LP turbine for solvent regeneration. MPC applies. At smaller biomass plant scale, the parasitic load is a larger fraction of total output.</w:t>
      </w:r>
    </w:p>
    <w:p>
      <w:pPr>
        <w:pStyle w:val="ListParagraph"/>
        <w:numPr>
          <w:ilvl w:val="0"/>
          <w:numId w:val="2"/>
        </w:numPr>
        <w:spacing w:after="60"/>
      </w:pPr>
      <w:r>
        <w:rPr>
          <w:rFonts w:ascii="Arial" w:cs="Arial" w:eastAsia="Arial" w:hAnsi="Arial"/>
          <w:b/>
          <w:bCs/>
          <w:color w:val="333333"/>
          <w:sz w:val="22"/>
          <w:szCs w:val="22"/>
        </w:rPr>
        <w:t xml:space="preserve">Both Greenfield and Retrofit: </w:t>
      </w:r>
      <w:r>
        <w:rPr>
          <w:rFonts w:ascii="Arial" w:cs="Arial" w:eastAsia="Arial" w:hAnsi="Arial"/>
          <w:color w:val="333333"/>
          <w:sz w:val="22"/>
          <w:szCs w:val="22"/>
        </w:rPr>
        <w:t xml:space="preserve">Dedicated biomass can be either new-build or retrofit of an existing biomass plant. Coal-to-biomass conversion with capture (like Drax) is modeled through the cofiring toggle at 100% biomass.</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(MW) → annual output (MWh = MW × CF × 8,760) → CO₂ produced (MWh × heat rate × physical emission factor) → CO₂ captured (× capture rate). All captured CO₂ labeled biogenic for dedicated biomass. For cofiring, biogenic fraction = biomass % by energy.</w:t>
      </w:r>
    </w:p>
    <w:p>
      <w:r>
        <w:br w:type="page"/>
      </w:r>
    </w:p>
    <w:p>
      <w:pPr>
        <w:pStyle w:val="Heading2"/>
        <w:spacing w:before="240" w:after="140"/>
      </w:pPr>
      <w:r>
        <w:rPr>
          <w:rFonts w:ascii="Arial" w:cs="Arial" w:eastAsia="Arial" w:hAnsi="Arial"/>
          <w:b/>
          <w:bCs/>
          <w:color w:val="1A1A2E"/>
          <w:sz w:val="26"/>
          <w:szCs w:val="26"/>
        </w:rPr>
        <w:t xml:space="preserve">5.5 Industrial Sources</w:t>
      </w:r>
    </w:p>
    <w:p>
      <w:pPr>
        <w:pStyle w:val="Heading3"/>
        <w:spacing w:before="200" w:after="120"/>
      </w:pPr>
      <w:r>
        <w:rPr>
          <w:rFonts w:ascii="Arial" w:cs="Arial" w:eastAsia="Arial" w:hAnsi="Arial"/>
          <w:b/>
          <w:bCs/>
          <w:color w:val="2D5B9E"/>
          <w:sz w:val="22"/>
          <w:szCs w:val="22"/>
        </w:rPr>
        <w:t xml:space="preserve">5.5.1 Cement</w:t>
      </w:r>
    </w:p>
    <w:p>
      <w:pPr>
        <w:spacing w:after="120"/>
      </w:pPr>
      <w:r>
        <w:rPr>
          <w:rFonts w:ascii="Arial" w:cs="Arial" w:eastAsia="Arial" w:hAnsi="Arial"/>
          <w:color w:val="333333"/>
          <w:sz w:val="22"/>
          <w:szCs w:val="22"/>
        </w:rPr>
        <w:t xml:space="preserve">Cement production generates CO₂ from two mechanisms mixed in a single kiln exhaust stream. Calcination decomposes limestone (CaCO₃ → CaO + CO₂), producing ~60% of total CO₂ — this is a process emission that cannot be eliminated by switching fuels. Fuel combustion in the kiln (~1,450°C) produces the remaining ~40%. The combined flue gas has 20–25% CO₂ concentration, which is favorable for capture compared to power plants.</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1.3M tonnes cement/yr, 1,213,802 t CO₂/yr. Post-combustion capture using CANSOLV on the kiln exhaust. Variants at 90% and 99% capture rates. LA baseline.</w:t>
      </w:r>
    </w:p>
    <w:p>
      <w:pPr>
        <w:pStyle w:val="ListParagraph"/>
        <w:numPr>
          <w:ilvl w:val="0"/>
          <w:numId w:val="2"/>
        </w:numPr>
        <w:spacing w:after="60"/>
      </w:pPr>
      <w:r>
        <w:rPr>
          <w:rFonts w:ascii="Arial" w:cs="Arial" w:eastAsia="Arial" w:hAnsi="Arial"/>
          <w:b/>
          <w:bCs/>
          <w:color w:val="333333"/>
          <w:sz w:val="22"/>
          <w:szCs w:val="22"/>
        </w:rPr>
        <w:t xml:space="preserve">New NG Boiler for Steam: </w:t>
      </w:r>
      <w:r>
        <w:rPr>
          <w:rFonts w:ascii="Arial" w:cs="Arial" w:eastAsia="Arial" w:hAnsi="Arial"/>
          <w:color w:val="333333"/>
          <w:sz w:val="22"/>
          <w:szCs w:val="22"/>
        </w:rPr>
        <w:t xml:space="preserve">Cement plants don’t generate steam as part of their process (the kiln is a dry rotary process). Solvent regeneration requires an entirely new NG-fired boiler. This boiler adds significant CAPEX (Account 8) and NG fuel cost becomes one of the largest OPEX components. The boiler itself produces additional CO₂ from combustion.</w:t>
      </w:r>
    </w:p>
    <w:p>
      <w:pPr>
        <w:pStyle w:val="ListParagraph"/>
        <w:numPr>
          <w:ilvl w:val="0"/>
          <w:numId w:val="2"/>
        </w:numPr>
        <w:spacing w:after="60"/>
      </w:pPr>
      <w:r>
        <w:rPr>
          <w:rFonts w:ascii="Arial" w:cs="Arial" w:eastAsia="Arial" w:hAnsi="Arial"/>
          <w:b/>
          <w:bCs/>
          <w:color w:val="333333"/>
          <w:sz w:val="22"/>
          <w:szCs w:val="22"/>
        </w:rPr>
        <w:t xml:space="preserve">Boiler CO₂ Accounting: </w:t>
      </w:r>
      <w:r>
        <w:rPr>
          <w:rFonts w:ascii="Arial" w:cs="Arial" w:eastAsia="Arial" w:hAnsi="Arial"/>
          <w:color w:val="333333"/>
          <w:sz w:val="22"/>
          <w:szCs w:val="22"/>
        </w:rPr>
        <w:t xml:space="preserve">The capture system is sized to include the boiler’s own CO₂ (per NETL). This means the total CO₂ being captured is larger than the kiln exhaust alone. The effective CO₂ available = kiln emissions + boiler emissions.</w:t>
      </w:r>
    </w:p>
    <w:p>
      <w:pPr>
        <w:pStyle w:val="ListParagraph"/>
        <w:numPr>
          <w:ilvl w:val="0"/>
          <w:numId w:val="2"/>
        </w:numPr>
        <w:spacing w:after="60"/>
      </w:pPr>
      <w:r>
        <w:rPr>
          <w:rFonts w:ascii="Arial" w:cs="Arial" w:eastAsia="Arial" w:hAnsi="Arial"/>
          <w:b/>
          <w:bCs/>
          <w:color w:val="333333"/>
          <w:sz w:val="22"/>
          <w:szCs w:val="22"/>
        </w:rPr>
        <w:t xml:space="preserve">Boiler Capture Scope Toggle: </w:t>
      </w:r>
      <w:r>
        <w:rPr>
          <w:rFonts w:ascii="Arial" w:cs="Arial" w:eastAsia="Arial" w:hAnsi="Arial"/>
          <w:color w:val="333333"/>
          <w:sz w:val="22"/>
          <w:szCs w:val="22"/>
        </w:rPr>
        <w:t xml:space="preserve">Toggle for whether the NG boiler’s own flue gas is captured or vented. When captured (default, matching NETL), the capture system is sized for kiln + boiler CO₂. When vented, the capture system is smaller but the facility’s effective capture rate is lower because boiler emissions escape.</w:t>
      </w:r>
    </w:p>
    <w:p>
      <w:pPr>
        <w:pStyle w:val="ListParagraph"/>
        <w:numPr>
          <w:ilvl w:val="0"/>
          <w:numId w:val="2"/>
        </w:numPr>
        <w:spacing w:after="60"/>
      </w:pPr>
      <w:r>
        <w:rPr>
          <w:rFonts w:ascii="Arial" w:cs="Arial" w:eastAsia="Arial" w:hAnsi="Arial"/>
          <w:b/>
          <w:bCs/>
          <w:color w:val="333333"/>
          <w:sz w:val="22"/>
          <w:szCs w:val="22"/>
        </w:rPr>
        <w:t xml:space="preserve">Pre-Treatment Toggle: </w:t>
      </w:r>
      <w:r>
        <w:rPr>
          <w:rFonts w:ascii="Arial" w:cs="Arial" w:eastAsia="Arial" w:hAnsi="Arial"/>
          <w:color w:val="333333"/>
          <w:sz w:val="22"/>
          <w:szCs w:val="22"/>
        </w:rPr>
        <w:t xml:space="preserve">Default off (matching NETL base case). When enabled, adds a polishing FGD scrubber to CAPEX and caustic/limestone chemical costs to OPEX. Needed if kiln exhaust SO₂ exceeds ~10 ppm (amine solvents degrade rapidly with SO₂ exposure). Some plants with alkaline raw materials naturally absorb SO₂ in the kiln. Plants with existing FGD can leave this off. Plants burning high-sulfur fuels or processing high-sulfur raw materials should enable it.</w:t>
      </w:r>
    </w:p>
    <w:p>
      <w:pPr>
        <w:pStyle w:val="ListParagraph"/>
        <w:numPr>
          <w:ilvl w:val="0"/>
          <w:numId w:val="2"/>
        </w:numPr>
        <w:spacing w:after="60"/>
      </w:pPr>
      <w:r>
        <w:rPr>
          <w:rFonts w:ascii="Arial" w:cs="Arial" w:eastAsia="Arial" w:hAnsi="Arial"/>
          <w:b/>
          <w:bCs/>
          <w:color w:val="333333"/>
          <w:sz w:val="22"/>
          <w:szCs w:val="22"/>
        </w:rPr>
        <w:t xml:space="preserve">Kiln Type: </w:t>
      </w:r>
      <w:r>
        <w:rPr>
          <w:rFonts w:ascii="Arial" w:cs="Arial" w:eastAsia="Arial" w:hAnsi="Arial"/>
          <w:color w:val="333333"/>
          <w:sz w:val="22"/>
          <w:szCs w:val="22"/>
        </w:rPr>
        <w:t xml:space="preserve">Default modern dry process with preheater/precalciner (matching NETL). Most US cement plants use this configuration. Older wet process or semi-dry kilns have different energy efficiency and flue gas characteristics but are not separately modeled.</w:t>
      </w:r>
    </w:p>
    <w:p>
      <w:pPr>
        <w:pStyle w:val="ListParagraph"/>
        <w:numPr>
          <w:ilvl w:val="0"/>
          <w:numId w:val="2"/>
        </w:numPr>
        <w:spacing w:after="60"/>
      </w:pPr>
      <w:r>
        <w:rPr>
          <w:rFonts w:ascii="Arial" w:cs="Arial" w:eastAsia="Arial" w:hAnsi="Arial"/>
          <w:b/>
          <w:bCs/>
          <w:color w:val="333333"/>
          <w:sz w:val="22"/>
          <w:szCs w:val="22"/>
        </w:rPr>
        <w:t xml:space="preserve">Fuel Mix: </w:t>
      </w:r>
      <w:r>
        <w:rPr>
          <w:rFonts w:ascii="Arial" w:cs="Arial" w:eastAsia="Arial" w:hAnsi="Arial"/>
          <w:color w:val="333333"/>
          <w:sz w:val="22"/>
          <w:szCs w:val="22"/>
        </w:rPr>
        <w:t xml:space="preserve">Default to NETL assumption. Many cement plants co-fire waste-derived fuels (tires, biomass, RDF, waste oils) at 30–50%+ of thermal energy. This affects the combustion emission factor and could introduce a biogenic CO₂ fraction if biomass is used. User-overridable.</w:t>
      </w:r>
    </w:p>
    <w:p>
      <w:pPr>
        <w:pStyle w:val="ListParagraph"/>
        <w:numPr>
          <w:ilvl w:val="0"/>
          <w:numId w:val="2"/>
        </w:numPr>
        <w:spacing w:after="60"/>
      </w:pPr>
      <w:r>
        <w:rPr>
          <w:rFonts w:ascii="Arial" w:cs="Arial" w:eastAsia="Arial" w:hAnsi="Arial"/>
          <w:b/>
          <w:bCs/>
          <w:color w:val="333333"/>
          <w:sz w:val="22"/>
          <w:szCs w:val="22"/>
        </w:rPr>
        <w:t xml:space="preserve">Clinker-to-Cement Ratio: </w:t>
      </w:r>
      <w:r>
        <w:rPr>
          <w:rFonts w:ascii="Arial" w:cs="Arial" w:eastAsia="Arial" w:hAnsi="Arial"/>
          <w:color w:val="333333"/>
          <w:sz w:val="22"/>
          <w:szCs w:val="22"/>
        </w:rPr>
        <w:t xml:space="preserve">Default 0.90 (typical US Portland cement, Type I/II). User-overridable. Calcination CO₂ scales linearly with clinker ratio — at 0.90, calcination is ~0.50 t CO₂/t cement; at 0.75 (blended cement), it’s ~0.42 t CO₂/t cement. Combustion CO₂ also changes slightly (less clinker = less kiln heat). Industry is trending toward lower clinker ratios as a decarbonization strategy.</w:t>
      </w:r>
    </w:p>
    <w:p>
      <w:pPr>
        <w:pStyle w:val="ListParagraph"/>
        <w:numPr>
          <w:ilvl w:val="0"/>
          <w:numId w:val="2"/>
        </w:numPr>
        <w:spacing w:after="60"/>
      </w:pPr>
      <w:r>
        <w:rPr>
          <w:rFonts w:ascii="Arial" w:cs="Arial" w:eastAsia="Arial" w:hAnsi="Arial"/>
          <w:b/>
          <w:bCs/>
          <w:color w:val="333333"/>
          <w:sz w:val="22"/>
          <w:szCs w:val="22"/>
        </w:rPr>
        <w:t xml:space="preserve">No Separate Capture Scope Toggle: </w:t>
      </w:r>
      <w:r>
        <w:rPr>
          <w:rFonts w:ascii="Arial" w:cs="Arial" w:eastAsia="Arial" w:hAnsi="Arial"/>
          <w:color w:val="333333"/>
          <w:sz w:val="22"/>
          <w:szCs w:val="22"/>
        </w:rPr>
        <w:t xml:space="preserve">Unlike ammonia where process and combustion CO₂ are in separate streams, in cement both mix in the kiln exhaust. Post-combustion capture addresses the combined stream — you cannot capture calcination CO₂ without also capturing combustion CO₂. The only scope question is the boiler (above).</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~0.93 t CO₂/t cement total, split ~0.55 calcination (59%) and ~0.38 combustion (41%). Calcination factor depends on clinker ratio and limestone composition. Combustion factor depends on fuel type and kiln efficiency. Both user-overridable.</w:t>
      </w:r>
    </w:p>
    <w:p>
      <w:pPr>
        <w:pStyle w:val="ListParagraph"/>
        <w:numPr>
          <w:ilvl w:val="0"/>
          <w:numId w:val="2"/>
        </w:numPr>
        <w:spacing w:after="60"/>
      </w:pPr>
      <w:r>
        <w:rPr>
          <w:rFonts w:ascii="Arial" w:cs="Arial" w:eastAsia="Arial" w:hAnsi="Arial"/>
          <w:b/>
          <w:bCs/>
          <w:color w:val="333333"/>
          <w:sz w:val="22"/>
          <w:szCs w:val="22"/>
        </w:rPr>
        <w:t xml:space="preserve">Capacity Range: </w:t>
      </w:r>
      <w:r>
        <w:rPr>
          <w:rFonts w:ascii="Arial" w:cs="Arial" w:eastAsia="Arial" w:hAnsi="Arial"/>
          <w:color w:val="333333"/>
          <w:sz w:val="22"/>
          <w:szCs w:val="22"/>
        </w:rPr>
        <w:t xml:space="preserve">US cement plants range from ~0.3M to ~4M+ tonnes cement/yr. NETL reference at 1.3M is mid-range. Standard six-tenths scaling within 0.3x–3.0x reference. Train-based approach above 3x (rare — few plants exceed 4M t/yr).</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(t cement/yr) → annual output (× CF) → CO₂ produced (× emission factor, adjusted for clinker ratio) → CO₂ captured (× capture rate). Boiler CO₂ added if boiler capture is enabled. User can enter any one value.</w:t>
      </w:r>
    </w:p>
    <w:p>
      <w:pPr>
        <w:pStyle w:val="ListParagraph"/>
        <w:numPr>
          <w:ilvl w:val="0"/>
          <w:numId w:val="2"/>
        </w:numPr>
        <w:spacing w:after="60"/>
      </w:pPr>
      <w:r>
        <w:rPr>
          <w:rFonts w:ascii="Arial" w:cs="Arial" w:eastAsia="Arial" w:hAnsi="Arial"/>
          <w:b/>
          <w:bCs/>
          <w:color w:val="333333"/>
          <w:sz w:val="22"/>
          <w:szCs w:val="22"/>
        </w:rPr>
        <w:t xml:space="preserve">OPEX Drivers: </w:t>
      </w:r>
      <w:r>
        <w:rPr>
          <w:rFonts w:ascii="Arial" w:cs="Arial" w:eastAsia="Arial" w:hAnsi="Arial"/>
          <w:color w:val="333333"/>
          <w:sz w:val="22"/>
          <w:szCs w:val="22"/>
        </w:rPr>
        <w:t xml:space="preserve">Purchased power and purchased natural gas (for the boiler) are the dominant OPEX components. The NG fuel cost for the boiler is often the single largest OPEX line item for cement capture. Electricity prices and gas prices have outsized impact on LCOC for this source.</w:t>
      </w:r>
    </w:p>
    <w:p>
      <w:pPr>
        <w:pStyle w:val="Heading3"/>
        <w:spacing w:before="200" w:after="120"/>
      </w:pPr>
      <w:r>
        <w:rPr>
          <w:rFonts w:ascii="Arial" w:cs="Arial" w:eastAsia="Arial" w:hAnsi="Arial"/>
          <w:b/>
          <w:bCs/>
          <w:color w:val="2D5B9E"/>
          <w:sz w:val="22"/>
          <w:szCs w:val="22"/>
        </w:rPr>
        <w:t xml:space="preserve">5.5.2 Steel &amp; Iron</w:t>
      </w:r>
    </w:p>
    <w:p>
      <w:pPr>
        <w:spacing w:after="120"/>
      </w:pPr>
      <w:r>
        <w:rPr>
          <w:rFonts w:ascii="Arial" w:cs="Arial" w:eastAsia="Arial" w:hAnsi="Arial"/>
          <w:color w:val="333333"/>
          <w:sz w:val="22"/>
          <w:szCs w:val="22"/>
        </w:rPr>
        <w:t xml:space="preserve">Steel is one of the most complex industrial sources due to multiple CO₂ streams with different characteristics scattered across a facility that can span several square miles. The model includes two sub-types with fundamentally different capture economics.</w:t>
      </w:r>
    </w:p>
    <w:p>
      <w:pPr>
        <w:pStyle w:val="Heading3"/>
        <w:spacing w:before="200" w:after="120"/>
      </w:pPr>
      <w:r>
        <w:rPr>
          <w:rFonts w:ascii="Arial" w:cs="Arial" w:eastAsia="Arial" w:hAnsi="Arial"/>
          <w:b/>
          <w:bCs/>
          <w:color w:val="2D5B9E"/>
          <w:sz w:val="22"/>
          <w:szCs w:val="22"/>
        </w:rPr>
        <w:t xml:space="preserve">5.5.2a BF-BOF (Blast Furnace — Basic Oxygen Furnace)</w:t>
      </w:r>
    </w:p>
    <w:p>
      <w:pPr>
        <w:spacing w:after="120"/>
      </w:pPr>
      <w:r>
        <w:rPr>
          <w:rFonts w:ascii="Arial" w:cs="Arial" w:eastAsia="Arial" w:hAnsi="Arial"/>
          <w:color w:val="333333"/>
          <w:sz w:val="22"/>
          <w:szCs w:val="22"/>
        </w:rPr>
        <w:t xml:space="preserve">Traditional integrated steelmaking. Iron ore is reduced with coke in a blast furnace, then refined in a basic oxygen furnace. Produces ~1.8–2.0 t CO₂/t steel. CO₂ is generated at 8–10+ different process points: blast furnace stoves, coke oven underfiring, slab reheating furnaces, sinter plant, lime kilns, BOF gas, and the on-site power plant. Full facility decarbonization via post-combustion capture is impractical due to the number of dispersed exhaust points.</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2.54M t steel/yr, 1,299,514 t CO₂/yr captured (at 90%). Two separate capture trains on the two largest, most practical capture points. Variants at 90% and 99% capture rates. LA baseline.</w:t>
      </w:r>
    </w:p>
    <w:p>
      <w:pPr>
        <w:pStyle w:val="ListParagraph"/>
        <w:numPr>
          <w:ilvl w:val="0"/>
          <w:numId w:val="2"/>
        </w:numPr>
        <w:spacing w:after="60"/>
      </w:pPr>
      <w:r>
        <w:rPr>
          <w:rFonts w:ascii="Arial" w:cs="Arial" w:eastAsia="Arial" w:hAnsi="Arial"/>
          <w:b/>
          <w:bCs/>
          <w:color w:val="333333"/>
          <w:sz w:val="22"/>
          <w:szCs w:val="22"/>
        </w:rPr>
        <w:t xml:space="preserve">Stream Selection — Three Options: </w:t>
      </w:r>
      <w:r>
        <w:rPr>
          <w:rFonts w:ascii="Arial" w:cs="Arial" w:eastAsia="Arial" w:hAnsi="Arial"/>
          <w:color w:val="333333"/>
          <w:sz w:val="22"/>
          <w:szCs w:val="22"/>
        </w:rPr>
        <w:t xml:space="preserve">User selects which streams to capture, similar to ammonia’s capture scope:</w:t>
      </w:r>
    </w:p>
    <w:p>
      <w:pPr>
        <w:pStyle w:val="ListParagraph"/>
        <w:numPr>
          <w:ilvl w:val="0"/>
          <w:numId w:val="2"/>
        </w:numPr>
        <w:spacing w:after="60"/>
      </w:pPr>
      <w:r>
        <w:rPr>
          <w:rFonts w:ascii="Arial" w:cs="Arial" w:eastAsia="Arial" w:hAnsi="Arial"/>
          <w:color w:val="333333"/>
          <w:sz w:val="22"/>
          <w:szCs w:val="22"/>
        </w:rPr>
        <w:t xml:space="preserve">Train 1 only (COG/BFS) — Power plant stack where blast furnace gas and coke oven gas are burned for electricity. ~24% CO₂. Larger stream.</w:t>
      </w:r>
    </w:p>
    <w:p>
      <w:pPr>
        <w:pStyle w:val="ListParagraph"/>
        <w:numPr>
          <w:ilvl w:val="0"/>
          <w:numId w:val="2"/>
        </w:numPr>
        <w:spacing w:after="60"/>
      </w:pPr>
      <w:r>
        <w:rPr>
          <w:rFonts w:ascii="Arial" w:cs="Arial" w:eastAsia="Arial" w:hAnsi="Arial"/>
          <w:color w:val="333333"/>
          <w:sz w:val="22"/>
          <w:szCs w:val="22"/>
        </w:rPr>
        <w:t xml:space="preserve">Train 2 only (COG PPS) — Coke oven gas processing plant stack. ~27% CO₂. Smaller stream.</w:t>
      </w:r>
    </w:p>
    <w:p>
      <w:pPr>
        <w:pStyle w:val="ListParagraph"/>
        <w:numPr>
          <w:ilvl w:val="0"/>
          <w:numId w:val="2"/>
        </w:numPr>
        <w:spacing w:after="60"/>
      </w:pPr>
      <w:r>
        <w:rPr>
          <w:rFonts w:ascii="Arial" w:cs="Arial" w:eastAsia="Arial" w:hAnsi="Arial"/>
          <w:color w:val="333333"/>
          <w:sz w:val="22"/>
          <w:szCs w:val="22"/>
        </w:rPr>
        <w:t xml:space="preserve">Both trains (default, matching NETL) — Two parallel capture systems, each with own absorber, stripper, and reboiler. Shared compression and balance of plant.</w:t>
      </w:r>
    </w:p>
    <w:p>
      <w:pPr>
        <w:pStyle w:val="ListParagraph"/>
        <w:numPr>
          <w:ilvl w:val="0"/>
          <w:numId w:val="2"/>
        </w:numPr>
        <w:spacing w:after="60"/>
      </w:pPr>
      <w:r>
        <w:rPr>
          <w:rFonts w:ascii="Arial" w:cs="Arial" w:eastAsia="Arial" w:hAnsi="Arial"/>
          <w:b/>
          <w:bCs/>
          <w:color w:val="333333"/>
          <w:sz w:val="22"/>
          <w:szCs w:val="22"/>
        </w:rPr>
        <w:t xml:space="preserve">Two Parallel Capture Systems: </w:t>
      </w:r>
      <w:r>
        <w:rPr>
          <w:rFonts w:ascii="Arial" w:cs="Arial" w:eastAsia="Arial" w:hAnsi="Arial"/>
          <w:color w:val="333333"/>
          <w:sz w:val="22"/>
          <w:szCs w:val="22"/>
        </w:rPr>
        <w:t xml:space="preserve">Unlike most sources with one capture train, BF-BOF steel requires two separate amine systems because the exhaust points are physically separate within the mill. Each train has its own absorber, stripper, and reboiler. They share the compression train and some BOP. CAPEX scales differently from single-train sources.</w:t>
      </w:r>
    </w:p>
    <w:p>
      <w:pPr>
        <w:pStyle w:val="ListParagraph"/>
        <w:numPr>
          <w:ilvl w:val="0"/>
          <w:numId w:val="2"/>
        </w:numPr>
        <w:spacing w:after="60"/>
      </w:pPr>
      <w:r>
        <w:rPr>
          <w:rFonts w:ascii="Arial" w:cs="Arial" w:eastAsia="Arial" w:hAnsi="Arial"/>
          <w:b/>
          <w:bCs/>
          <w:color w:val="333333"/>
          <w:sz w:val="22"/>
          <w:szCs w:val="22"/>
        </w:rPr>
        <w:t xml:space="preserve">New NG Boiler for Steam: </w:t>
      </w:r>
      <w:r>
        <w:rPr>
          <w:rFonts w:ascii="Arial" w:cs="Arial" w:eastAsia="Arial" w:hAnsi="Arial"/>
          <w:color w:val="333333"/>
          <w:sz w:val="22"/>
          <w:szCs w:val="22"/>
        </w:rPr>
        <w:t xml:space="preserve">Same as cement — steel mills don’t have a steam cycle suitable for solvent regeneration. New NG boiler required. Boiler CO₂ capture toggle applies (captured vs. vented). NG fuel cost is a major OPEX driver.</w:t>
      </w:r>
    </w:p>
    <w:p>
      <w:pPr>
        <w:pStyle w:val="ListParagraph"/>
        <w:numPr>
          <w:ilvl w:val="0"/>
          <w:numId w:val="2"/>
        </w:numPr>
        <w:spacing w:after="60"/>
      </w:pPr>
      <w:r>
        <w:rPr>
          <w:rFonts w:ascii="Arial" w:cs="Arial" w:eastAsia="Arial" w:hAnsi="Arial"/>
          <w:b/>
          <w:bCs/>
          <w:color w:val="333333"/>
          <w:sz w:val="22"/>
          <w:szCs w:val="22"/>
        </w:rPr>
        <w:t xml:space="preserve">Pre-Treatment — Default On: </w:t>
      </w:r>
      <w:r>
        <w:rPr>
          <w:rFonts w:ascii="Arial" w:cs="Arial" w:eastAsia="Arial" w:hAnsi="Arial"/>
          <w:color w:val="333333"/>
          <w:sz w:val="22"/>
          <w:szCs w:val="22"/>
        </w:rPr>
        <w:t xml:space="preserve">Steel mill gas streams contain sulfur compounds, particulates, tars, ammonia, cyanides, and heavy metals. Extensive pre-treatment is required before amine contact. Most mills already have gas cleaning for their internal fuel gas network, but additional polishing is typically needed for the capture system. Pre-treatment CAPEX and chemical OPEX included by default.</w:t>
      </w:r>
    </w:p>
    <w:p>
      <w:pPr>
        <w:pStyle w:val="ListParagraph"/>
        <w:numPr>
          <w:ilvl w:val="0"/>
          <w:numId w:val="2"/>
        </w:numPr>
        <w:spacing w:after="60"/>
      </w:pPr>
      <w:r>
        <w:rPr>
          <w:rFonts w:ascii="Arial" w:cs="Arial" w:eastAsia="Arial" w:hAnsi="Arial"/>
          <w:b/>
          <w:bCs/>
          <w:color w:val="333333"/>
          <w:sz w:val="22"/>
          <w:szCs w:val="22"/>
        </w:rPr>
        <w:t xml:space="preserve">Retrofit Only: </w:t>
      </w:r>
      <w:r>
        <w:rPr>
          <w:rFonts w:ascii="Arial" w:cs="Arial" w:eastAsia="Arial" w:hAnsi="Arial"/>
          <w:color w:val="333333"/>
          <w:sz w:val="22"/>
          <w:szCs w:val="22"/>
        </w:rPr>
        <w:t xml:space="preserve">No new BF-BOF plants are being planned in the US. The existing fleet is concentrated in the Great Lakes (IN, OH, PA) and Gulf Coast (AL, TX). All capture would be retrofit on existing, aging facilities.</w:t>
      </w:r>
    </w:p>
    <w:p>
      <w:pPr>
        <w:pStyle w:val="ListParagraph"/>
        <w:numPr>
          <w:ilvl w:val="0"/>
          <w:numId w:val="2"/>
        </w:numPr>
        <w:spacing w:after="60"/>
      </w:pPr>
      <w:r>
        <w:rPr>
          <w:rFonts w:ascii="Arial" w:cs="Arial" w:eastAsia="Arial" w:hAnsi="Arial"/>
          <w:b/>
          <w:bCs/>
          <w:color w:val="333333"/>
          <w:sz w:val="22"/>
          <w:szCs w:val="22"/>
        </w:rPr>
        <w:t xml:space="preserve">Facility Decarbonization: </w:t>
      </w:r>
      <w:r>
        <w:rPr>
          <w:rFonts w:ascii="Arial" w:cs="Arial" w:eastAsia="Arial" w:hAnsi="Arial"/>
          <w:color w:val="333333"/>
          <w:sz w:val="22"/>
          <w:szCs w:val="22"/>
        </w:rPr>
        <w:t xml:space="preserve">The two NETL capture trains address only a fraction of total plant emissions because CO₂ is released at many other uncaptured exhaust points (blast furnace stoves, slab reheating furnaces, sinter plant, lime kilns, etc.). Exact percentage to be verified against NETL total plant emission data.</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~1.8–2.0 t CO₂/t steel (total BF-BOF facility). The NETL captured streams represent ~1.47 t CO₂/t steel at the reference. Remainder is from uncaptured exhaust points.</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(t steel/yr) → annual output (× CF) → CO₂ produced (× emission factor for selected streams) → CO₂ captured (× capture rate). User can enter any one value.</w:t>
      </w:r>
    </w:p>
    <w:p>
      <w:pPr>
        <w:pStyle w:val="Heading3"/>
        <w:spacing w:before="200" w:after="120"/>
      </w:pPr>
      <w:r>
        <w:rPr>
          <w:rFonts w:ascii="Arial" w:cs="Arial" w:eastAsia="Arial" w:hAnsi="Arial"/>
          <w:b/>
          <w:bCs/>
          <w:color w:val="2D5B9E"/>
          <w:sz w:val="22"/>
          <w:szCs w:val="22"/>
        </w:rPr>
        <w:t xml:space="preserve">5.5.2b EAF (Electric Arc Furnace)</w:t>
      </w:r>
    </w:p>
    <w:p>
      <w:pPr>
        <w:spacing w:after="120"/>
      </w:pPr>
      <w:r>
        <w:rPr>
          <w:rFonts w:ascii="Arial" w:cs="Arial" w:eastAsia="Arial" w:hAnsi="Arial"/>
          <w:color w:val="333333"/>
          <w:sz w:val="22"/>
          <w:szCs w:val="22"/>
        </w:rPr>
        <w:t xml:space="preserve">Newer, cleaner steelmaking route. Scrap steel is melted in an electric arc furnace — no blast furnace, no coke, no iron ore reduction. About 70% of US steel plants are EAF (Nucor, Steel Dynamics, CMC). Produces ~0.3–0.5 t CO₂/t steel, roughly 75–80% less than BF-BOF.</w:t>
      </w:r>
    </w:p>
    <w:p>
      <w:pPr>
        <w:pStyle w:val="ListParagraph"/>
        <w:numPr>
          <w:ilvl w:val="0"/>
          <w:numId w:val="2"/>
        </w:numPr>
        <w:spacing w:after="60"/>
      </w:pPr>
      <w:r>
        <w:rPr>
          <w:rFonts w:ascii="Arial" w:cs="Arial" w:eastAsia="Arial" w:hAnsi="Arial"/>
          <w:b/>
          <w:bCs/>
          <w:color w:val="333333"/>
          <w:sz w:val="22"/>
          <w:szCs w:val="22"/>
        </w:rPr>
        <w:t xml:space="preserve">CO₂ Sources: </w:t>
      </w:r>
      <w:r>
        <w:rPr>
          <w:rFonts w:ascii="Arial" w:cs="Arial" w:eastAsia="Arial" w:hAnsi="Arial"/>
          <w:color w:val="333333"/>
          <w:sz w:val="22"/>
          <w:szCs w:val="22"/>
        </w:rPr>
        <w:t xml:space="preserve">Graphite electrode oxidation (~0.05 t/t), lime calcination (~0.05–0.10 t/t), and natural gas combustion for preheating, ladle furnaces, and downstream processing (~0.15–0.25 t/t). CO₂ is dilute and intermittent (batch process with 40–60 min tap-to-tap cycles).</w:t>
      </w:r>
    </w:p>
    <w:p>
      <w:pPr>
        <w:pStyle w:val="ListParagraph"/>
        <w:numPr>
          <w:ilvl w:val="0"/>
          <w:numId w:val="2"/>
        </w:numPr>
        <w:spacing w:after="60"/>
      </w:pPr>
      <w:r>
        <w:rPr>
          <w:rFonts w:ascii="Arial" w:cs="Arial" w:eastAsia="Arial" w:hAnsi="Arial"/>
          <w:b/>
          <w:bCs/>
          <w:color w:val="333333"/>
          <w:sz w:val="22"/>
          <w:szCs w:val="22"/>
        </w:rPr>
        <w:t xml:space="preserve">No NETL Reference: </w:t>
      </w:r>
      <w:r>
        <w:rPr>
          <w:rFonts w:ascii="Arial" w:cs="Arial" w:eastAsia="Arial" w:hAnsi="Arial"/>
          <w:color w:val="333333"/>
          <w:sz w:val="22"/>
          <w:szCs w:val="22"/>
        </w:rPr>
        <w:t xml:space="preserve">The NETL industrial sources study does not cover EAF. Cost data would need to be sourced from literature or parameterized. This is a Tier 2/3 estimate with higher uncertainty.</w:t>
      </w:r>
    </w:p>
    <w:p>
      <w:pPr>
        <w:pStyle w:val="ListParagraph"/>
        <w:numPr>
          <w:ilvl w:val="0"/>
          <w:numId w:val="2"/>
        </w:numPr>
        <w:spacing w:after="60"/>
      </w:pPr>
      <w:r>
        <w:rPr>
          <w:rFonts w:ascii="Arial" w:cs="Arial" w:eastAsia="Arial" w:hAnsi="Arial"/>
          <w:b/>
          <w:bCs/>
          <w:color w:val="333333"/>
          <w:sz w:val="22"/>
          <w:szCs w:val="22"/>
        </w:rPr>
        <w:t xml:space="preserve">Capture Challenges: </w:t>
      </w:r>
      <w:r>
        <w:rPr>
          <w:rFonts w:ascii="Arial" w:cs="Arial" w:eastAsia="Arial" w:hAnsi="Arial"/>
          <w:color w:val="333333"/>
          <w:sz w:val="22"/>
          <w:szCs w:val="22"/>
        </w:rPr>
        <w:t xml:space="preserve">Lower CO₂ volume per plant, dilute and intermittent stream, batch operation creates variable flow. Capture from EAF is significantly more expensive per tonne than BF-BOF due to these challenges.</w:t>
      </w:r>
    </w:p>
    <w:p>
      <w:pPr>
        <w:pStyle w:val="Heading3"/>
        <w:spacing w:before="200" w:after="120"/>
      </w:pPr>
      <w:r>
        <w:rPr>
          <w:rFonts w:ascii="Arial" w:cs="Arial" w:eastAsia="Arial" w:hAnsi="Arial"/>
          <w:b/>
          <w:bCs/>
          <w:color w:val="2D5B9E"/>
          <w:sz w:val="22"/>
          <w:szCs w:val="22"/>
        </w:rPr>
        <w:t xml:space="preserve">5.5.2c Parked Questions — Steel</w:t>
      </w:r>
    </w:p>
    <w:p>
      <w:pPr>
        <w:pStyle w:val="ListParagraph"/>
        <w:numPr>
          <w:ilvl w:val="0"/>
          <w:numId w:val="2"/>
        </w:numPr>
        <w:spacing w:after="60"/>
      </w:pPr>
      <w:r>
        <w:rPr>
          <w:rFonts w:ascii="Arial" w:cs="Arial" w:eastAsia="Arial" w:hAnsi="Arial"/>
          <w:color w:val="333333"/>
          <w:sz w:val="22"/>
          <w:szCs w:val="22"/>
        </w:rPr>
        <w:t xml:space="preserve">Facility decarbonization % for BF-BOF — verify total plant emissions from NETL data</w:t>
      </w:r>
    </w:p>
    <w:p>
      <w:pPr>
        <w:pStyle w:val="ListParagraph"/>
        <w:numPr>
          <w:ilvl w:val="0"/>
          <w:numId w:val="2"/>
        </w:numPr>
        <w:spacing w:after="60"/>
      </w:pPr>
      <w:r>
        <w:rPr>
          <w:rFonts w:ascii="Arial" w:cs="Arial" w:eastAsia="Arial" w:hAnsi="Arial"/>
          <w:color w:val="333333"/>
          <w:sz w:val="22"/>
          <w:szCs w:val="22"/>
        </w:rPr>
        <w:t xml:space="preserve">DRI/HBI (natural gas-based direct reduced iron) as a third sub-type — NG-DRI plants exist and produce capturable CO₂ (~1.0–1.2 t/t steel). Model as separate pathway or note as context?</w:t>
      </w:r>
    </w:p>
    <w:p>
      <w:pPr>
        <w:pStyle w:val="ListParagraph"/>
        <w:numPr>
          <w:ilvl w:val="0"/>
          <w:numId w:val="2"/>
        </w:numPr>
        <w:spacing w:after="60"/>
      </w:pPr>
      <w:r>
        <w:rPr>
          <w:rFonts w:ascii="Arial" w:cs="Arial" w:eastAsia="Arial" w:hAnsi="Arial"/>
          <w:color w:val="333333"/>
          <w:sz w:val="22"/>
          <w:szCs w:val="22"/>
        </w:rPr>
        <w:t xml:space="preserve">RDF default for BF-BOF — suggested 1.15 given extreme site congestion, to be confirmed</w:t>
      </w:r>
    </w:p>
    <w:p>
      <w:pPr>
        <w:pStyle w:val="ListParagraph"/>
        <w:numPr>
          <w:ilvl w:val="0"/>
          <w:numId w:val="2"/>
        </w:numPr>
        <w:spacing w:after="60"/>
      </w:pPr>
      <w:r>
        <w:rPr>
          <w:rFonts w:ascii="Arial" w:cs="Arial" w:eastAsia="Arial" w:hAnsi="Arial"/>
          <w:color w:val="333333"/>
          <w:sz w:val="22"/>
          <w:szCs w:val="22"/>
        </w:rPr>
        <w:t xml:space="preserve">EAF detailed cost structure, reference data, and parameters — to be sourced</w:t>
      </w:r>
    </w:p>
    <w:p>
      <w:pPr>
        <w:pStyle w:val="Heading3"/>
        <w:spacing w:before="200" w:after="120"/>
      </w:pPr>
      <w:r>
        <w:rPr>
          <w:rFonts w:ascii="Arial" w:cs="Arial" w:eastAsia="Arial" w:hAnsi="Arial"/>
          <w:b/>
          <w:bCs/>
          <w:color w:val="2D5B9E"/>
          <w:sz w:val="22"/>
          <w:szCs w:val="22"/>
        </w:rPr>
        <w:t xml:space="preserve">5.5.3 Refinery Hydrogen</w:t>
      </w:r>
    </w:p>
    <w:p>
      <w:pPr>
        <w:spacing w:after="120"/>
      </w:pPr>
      <w:r>
        <w:rPr>
          <w:rFonts w:ascii="Arial" w:cs="Arial" w:eastAsia="Arial" w:hAnsi="Arial"/>
          <w:color w:val="333333"/>
          <w:sz w:val="22"/>
          <w:szCs w:val="22"/>
        </w:rPr>
        <w:t xml:space="preserve">Covered under Hydrogen Production (Section 5.2).</w:t>
      </w:r>
    </w:p>
    <w:p>
      <w:pPr>
        <w:pStyle w:val="Heading3"/>
        <w:spacing w:before="200" w:after="120"/>
      </w:pPr>
      <w:r>
        <w:rPr>
          <w:rFonts w:ascii="Arial" w:cs="Arial" w:eastAsia="Arial" w:hAnsi="Arial"/>
          <w:b/>
          <w:bCs/>
          <w:color w:val="2D5B9E"/>
          <w:sz w:val="22"/>
          <w:szCs w:val="22"/>
        </w:rPr>
        <w:t xml:space="preserve">5.5.4 Pulp &amp; Paper</w:t>
      </w:r>
    </w:p>
    <w:p>
      <w:pPr>
        <w:spacing w:after="120"/>
      </w:pPr>
      <w:r>
        <w:rPr>
          <w:rFonts w:ascii="Arial" w:cs="Arial" w:eastAsia="Arial" w:hAnsi="Arial"/>
          <w:color w:val="333333"/>
          <w:sz w:val="22"/>
          <w:szCs w:val="22"/>
        </w:rPr>
        <w:t xml:space="preserve">Kraft pulp mills generate CO₂ from two main sources: the recovery boiler (burns black liquor, a biomass byproduct of pulping) and the lime kiln (calcines limestone for chemical recovery). The recovery boiler CO₂ is biogenic, making pulp/paper capture a BECCS/CDR pathway.</w:t>
      </w:r>
    </w:p>
    <w:p>
      <w:pPr>
        <w:pStyle w:val="ListParagraph"/>
        <w:numPr>
          <w:ilvl w:val="0"/>
          <w:numId w:val="2"/>
        </w:numPr>
        <w:spacing w:after="60"/>
      </w:pPr>
      <w:r>
        <w:rPr>
          <w:rFonts w:ascii="Arial" w:cs="Arial" w:eastAsia="Arial" w:hAnsi="Arial"/>
          <w:b/>
          <w:bCs/>
          <w:color w:val="333333"/>
          <w:sz w:val="22"/>
          <w:szCs w:val="22"/>
        </w:rPr>
        <w:t xml:space="preserve">NETL Reference: </w:t>
      </w:r>
      <w:r>
        <w:rPr>
          <w:rFonts w:ascii="Arial" w:cs="Arial" w:eastAsia="Arial" w:hAnsi="Arial"/>
          <w:color w:val="333333"/>
          <w:sz w:val="22"/>
          <w:szCs w:val="22"/>
        </w:rPr>
        <w:t xml:space="preserve">0.4M tonnes market pulp/yr. Variants at 90% and 99% capture, both retrofit and greenfield. CO₂ captured from recovery boiler flue gas (~12–15% CO₂) and lime kiln exhaust (~20–25% CO₂). LA baseline.</w:t>
      </w:r>
    </w:p>
    <w:p>
      <w:pPr>
        <w:pStyle w:val="ListParagraph"/>
        <w:numPr>
          <w:ilvl w:val="0"/>
          <w:numId w:val="2"/>
        </w:numPr>
        <w:spacing w:after="60"/>
      </w:pPr>
      <w:r>
        <w:rPr>
          <w:rFonts w:ascii="Arial" w:cs="Arial" w:eastAsia="Arial" w:hAnsi="Arial"/>
          <w:b/>
          <w:bCs/>
          <w:color w:val="333333"/>
          <w:sz w:val="22"/>
          <w:szCs w:val="22"/>
        </w:rPr>
        <w:t xml:space="preserve">Biogenic vs Fossil CO₂ Split: </w:t>
      </w:r>
      <w:r>
        <w:rPr>
          <w:rFonts w:ascii="Arial" w:cs="Arial" w:eastAsia="Arial" w:hAnsi="Arial"/>
          <w:color w:val="333333"/>
          <w:sz w:val="22"/>
          <w:szCs w:val="22"/>
        </w:rPr>
        <w:t xml:space="preserve">The model tracks biogenic and fossil CO₂ fractions separately. The recovery boiler burns black liquor (biomass) — its CO₂ is biogenic (~60–70% of total plant CO₂). The lime kiln produces mixed CO₂: calcination CO₂ is from limestone (mineral origin) and combustion CO₂ depends on fuel type. Auxiliary boilers depend on fuel. Total biogenic fraction is typically 50–70% depending on the mill’s fuel mix. The split matters for CDR credit eligibility and LCFS CI scoring.</w:t>
      </w:r>
    </w:p>
    <w:p>
      <w:pPr>
        <w:pStyle w:val="ListParagraph"/>
        <w:numPr>
          <w:ilvl w:val="0"/>
          <w:numId w:val="2"/>
        </w:numPr>
        <w:spacing w:after="60"/>
      </w:pPr>
      <w:r>
        <w:rPr>
          <w:rFonts w:ascii="Arial" w:cs="Arial" w:eastAsia="Arial" w:hAnsi="Arial"/>
          <w:b/>
          <w:bCs/>
          <w:color w:val="333333"/>
          <w:sz w:val="22"/>
          <w:szCs w:val="22"/>
        </w:rPr>
        <w:t xml:space="preserve">Stream Selection — Three Options: </w:t>
      </w:r>
      <w:r>
        <w:rPr>
          <w:rFonts w:ascii="Arial" w:cs="Arial" w:eastAsia="Arial" w:hAnsi="Arial"/>
          <w:color w:val="333333"/>
          <w:sz w:val="22"/>
          <w:szCs w:val="22"/>
        </w:rPr>
        <w:t xml:space="preserve">Similar to steel and ammonia:</w:t>
      </w:r>
    </w:p>
    <w:p>
      <w:pPr>
        <w:pStyle w:val="ListParagraph"/>
        <w:numPr>
          <w:ilvl w:val="0"/>
          <w:numId w:val="2"/>
        </w:numPr>
        <w:spacing w:after="60"/>
      </w:pPr>
      <w:r>
        <w:rPr>
          <w:rFonts w:ascii="Arial" w:cs="Arial" w:eastAsia="Arial" w:hAnsi="Arial"/>
          <w:color w:val="333333"/>
          <w:sz w:val="22"/>
          <w:szCs w:val="22"/>
        </w:rPr>
        <w:t xml:space="preserve">Recovery boiler only — largest stream, predominantly biogenic CO₂. Most valuable for CDR credits.</w:t>
      </w:r>
    </w:p>
    <w:p>
      <w:pPr>
        <w:pStyle w:val="ListParagraph"/>
        <w:numPr>
          <w:ilvl w:val="0"/>
          <w:numId w:val="2"/>
        </w:numPr>
        <w:spacing w:after="60"/>
      </w:pPr>
      <w:r>
        <w:rPr>
          <w:rFonts w:ascii="Arial" w:cs="Arial" w:eastAsia="Arial" w:hAnsi="Arial"/>
          <w:color w:val="333333"/>
          <w:sz w:val="22"/>
          <w:szCs w:val="22"/>
        </w:rPr>
        <w:t xml:space="preserve">Lime kiln only — smaller stream, mixed biogenic/fossil CO₂. Higher CO₂ concentration (~20–25%).</w:t>
      </w:r>
    </w:p>
    <w:p>
      <w:pPr>
        <w:pStyle w:val="ListParagraph"/>
        <w:numPr>
          <w:ilvl w:val="0"/>
          <w:numId w:val="2"/>
        </w:numPr>
        <w:spacing w:after="60"/>
      </w:pPr>
      <w:r>
        <w:rPr>
          <w:rFonts w:ascii="Arial" w:cs="Arial" w:eastAsia="Arial" w:hAnsi="Arial"/>
          <w:color w:val="333333"/>
          <w:sz w:val="22"/>
          <w:szCs w:val="22"/>
        </w:rPr>
        <w:t xml:space="preserve">Both streams (default, matching NETL) — two capture points, maximizes total CO₂ captured.</w:t>
      </w:r>
    </w:p>
    <w:p>
      <w:pPr>
        <w:pStyle w:val="ListParagraph"/>
        <w:numPr>
          <w:ilvl w:val="0"/>
          <w:numId w:val="2"/>
        </w:numPr>
        <w:spacing w:after="60"/>
      </w:pPr>
      <w:r>
        <w:rPr>
          <w:rFonts w:ascii="Arial" w:cs="Arial" w:eastAsia="Arial" w:hAnsi="Arial"/>
          <w:b/>
          <w:bCs/>
          <w:color w:val="333333"/>
          <w:sz w:val="22"/>
          <w:szCs w:val="22"/>
        </w:rPr>
        <w:t xml:space="preserve">CDR/BECCS Classification: </w:t>
      </w:r>
      <w:r>
        <w:rPr>
          <w:rFonts w:ascii="Arial" w:cs="Arial" w:eastAsia="Arial" w:hAnsi="Arial"/>
          <w:color w:val="333333"/>
          <w:sz w:val="22"/>
          <w:szCs w:val="22"/>
        </w:rPr>
        <w:t xml:space="preserve">The model flags the biogenic fraction of captured CO₂ as eligible for CDR/BECCS treatment. Default revenue credit is standard 45Q ($85/t), not CDR premium. User can optionally enable CDR credits at premium voluntary market rates ($150–400/t) for the biogenic fraction. The fossil fraction remains at standard avoidance credit rates.</w:t>
      </w:r>
    </w:p>
    <w:p>
      <w:pPr>
        <w:pStyle w:val="ListParagraph"/>
        <w:numPr>
          <w:ilvl w:val="0"/>
          <w:numId w:val="2"/>
        </w:numPr>
        <w:spacing w:after="60"/>
      </w:pPr>
      <w:r>
        <w:rPr>
          <w:rFonts w:ascii="Arial" w:cs="Arial" w:eastAsia="Arial" w:hAnsi="Arial"/>
          <w:b/>
          <w:bCs/>
          <w:color w:val="333333"/>
          <w:sz w:val="22"/>
          <w:szCs w:val="22"/>
        </w:rPr>
        <w:t xml:space="preserve">Steam Availability: </w:t>
      </w:r>
      <w:r>
        <w:rPr>
          <w:rFonts w:ascii="Arial" w:cs="Arial" w:eastAsia="Arial" w:hAnsi="Arial"/>
          <w:color w:val="333333"/>
          <w:sz w:val="22"/>
          <w:szCs w:val="22"/>
        </w:rPr>
        <w:t xml:space="preserve">Kraft mills have abundant steam from the recovery boiler, unlike cement and steel. The recovery boiler produces high-pressure steam that drives a turbine generator and provides process steam. Surplus steam may be available for capture solvent regeneration, potentially eliminating the need for a new NG boiler. However, extracting steam reduces electricity generation and process steam availability (similar to power plant MPC). Parked: default steam assumption needs research.</w:t>
      </w:r>
    </w:p>
    <w:p>
      <w:pPr>
        <w:pStyle w:val="ListParagraph"/>
        <w:numPr>
          <w:ilvl w:val="0"/>
          <w:numId w:val="2"/>
        </w:numPr>
        <w:spacing w:after="60"/>
      </w:pPr>
      <w:r>
        <w:rPr>
          <w:rFonts w:ascii="Arial" w:cs="Arial" w:eastAsia="Arial" w:hAnsi="Arial"/>
          <w:b/>
          <w:bCs/>
          <w:color w:val="333333"/>
          <w:sz w:val="22"/>
          <w:szCs w:val="22"/>
        </w:rPr>
        <w:t xml:space="preserve">Lime Kiln Fuel Type: </w:t>
      </w:r>
      <w:r>
        <w:rPr>
          <w:rFonts w:ascii="Arial" w:cs="Arial" w:eastAsia="Arial" w:hAnsi="Arial"/>
          <w:color w:val="333333"/>
          <w:sz w:val="22"/>
          <w:szCs w:val="22"/>
        </w:rPr>
        <w:t xml:space="preserve">Default natural gas (most common in US kraft mills). User-overridable to pet coke or biomass. Affects the fossil/biogenic CO₂ split for the lime kiln stream. Biomass-fired lime kilns would make the lime kiln combustion CO₂ biogenic (but the calcination CO₂ remains mineral-origin).</w:t>
      </w:r>
    </w:p>
    <w:p>
      <w:pPr>
        <w:pStyle w:val="ListParagraph"/>
        <w:numPr>
          <w:ilvl w:val="0"/>
          <w:numId w:val="2"/>
        </w:numPr>
        <w:spacing w:after="60"/>
      </w:pPr>
      <w:r>
        <w:rPr>
          <w:rFonts w:ascii="Arial" w:cs="Arial" w:eastAsia="Arial" w:hAnsi="Arial"/>
          <w:b/>
          <w:bCs/>
          <w:color w:val="333333"/>
          <w:sz w:val="22"/>
          <w:szCs w:val="22"/>
        </w:rPr>
        <w:t xml:space="preserve">Plant Type: </w:t>
      </w:r>
      <w:r>
        <w:rPr>
          <w:rFonts w:ascii="Arial" w:cs="Arial" w:eastAsia="Arial" w:hAnsi="Arial"/>
          <w:color w:val="333333"/>
          <w:sz w:val="22"/>
          <w:szCs w:val="22"/>
        </w:rPr>
        <w:t xml:space="preserve">Default market pulp mill (matching NETL reference). No toggle for integrated pulp and paper — integrated mills are larger with different energy profiles but the capture economics are structurally similar.</w:t>
      </w:r>
    </w:p>
    <w:p>
      <w:pPr>
        <w:pStyle w:val="ListParagraph"/>
        <w:numPr>
          <w:ilvl w:val="0"/>
          <w:numId w:val="2"/>
        </w:numPr>
        <w:spacing w:after="60"/>
      </w:pPr>
      <w:r>
        <w:rPr>
          <w:rFonts w:ascii="Arial" w:cs="Arial" w:eastAsia="Arial" w:hAnsi="Arial"/>
          <w:b/>
          <w:bCs/>
          <w:color w:val="333333"/>
          <w:sz w:val="22"/>
          <w:szCs w:val="22"/>
        </w:rPr>
        <w:t xml:space="preserve">Both Greenfield and Retrofit: </w:t>
      </w:r>
      <w:r>
        <w:rPr>
          <w:rFonts w:ascii="Arial" w:cs="Arial" w:eastAsia="Arial" w:hAnsi="Arial"/>
          <w:color w:val="333333"/>
          <w:sz w:val="22"/>
          <w:szCs w:val="22"/>
        </w:rPr>
        <w:t xml:space="preserve">Unlike BF-BOF steel (retrofit only) or CTL (greenfield only), pulp mills can be either. The NETL study provides both variants.</w:t>
      </w:r>
    </w:p>
    <w:p>
      <w:pPr>
        <w:pStyle w:val="ListParagraph"/>
        <w:numPr>
          <w:ilvl w:val="0"/>
          <w:numId w:val="2"/>
        </w:numPr>
        <w:spacing w:after="60"/>
      </w:pPr>
      <w:r>
        <w:rPr>
          <w:rFonts w:ascii="Arial" w:cs="Arial" w:eastAsia="Arial" w:hAnsi="Arial"/>
          <w:b/>
          <w:bCs/>
          <w:color w:val="333333"/>
          <w:sz w:val="22"/>
          <w:szCs w:val="22"/>
        </w:rPr>
        <w:t xml:space="preserve">Emission Factor: </w:t>
      </w:r>
      <w:r>
        <w:rPr>
          <w:rFonts w:ascii="Arial" w:cs="Arial" w:eastAsia="Arial" w:hAnsi="Arial"/>
          <w:color w:val="333333"/>
          <w:sz w:val="22"/>
          <w:szCs w:val="22"/>
        </w:rPr>
        <w:t xml:space="preserve">~2.5 t CO₂/t pulp (total facility). Split between recovery boiler (biogenic, ~60–70%), lime kiln (mixed, ~15–25%), and auxiliary systems (~10–15%). User-overridable.</w:t>
      </w:r>
    </w:p>
    <w:p>
      <w:pPr>
        <w:pStyle w:val="ListParagraph"/>
        <w:numPr>
          <w:ilvl w:val="0"/>
          <w:numId w:val="2"/>
        </w:numPr>
        <w:spacing w:after="60"/>
      </w:pPr>
      <w:r>
        <w:rPr>
          <w:rFonts w:ascii="Arial" w:cs="Arial" w:eastAsia="Arial" w:hAnsi="Arial"/>
          <w:b/>
          <w:bCs/>
          <w:color w:val="333333"/>
          <w:sz w:val="22"/>
          <w:szCs w:val="22"/>
        </w:rPr>
        <w:t xml:space="preserve">Back-Solve Logic: </w:t>
      </w:r>
      <w:r>
        <w:rPr>
          <w:rFonts w:ascii="Arial" w:cs="Arial" w:eastAsia="Arial" w:hAnsi="Arial"/>
          <w:color w:val="333333"/>
          <w:sz w:val="22"/>
          <w:szCs w:val="22"/>
        </w:rPr>
        <w:t xml:space="preserve">Plant capacity (t pulp/yr) → annual output (× CF) → CO₂ produced (× emission factor for selected streams) → CO₂ captured (× capture rate). Biogenic/fossil split calculated based on stream selection and fuel type. User can enter any one value.</w:t>
      </w:r>
    </w:p>
    <w:p>
      <w:pPr>
        <w:pStyle w:val="Heading3"/>
        <w:spacing w:before="200" w:after="120"/>
      </w:pPr>
      <w:r>
        <w:rPr>
          <w:rFonts w:ascii="Arial" w:cs="Arial" w:eastAsia="Arial" w:hAnsi="Arial"/>
          <w:b/>
          <w:bCs/>
          <w:color w:val="2D5B9E"/>
          <w:sz w:val="22"/>
          <w:szCs w:val="22"/>
        </w:rPr>
        <w:t xml:space="preserve">5.5.5 Parked Questions — Pulp &amp; Paper</w:t>
      </w:r>
    </w:p>
    <w:p>
      <w:pPr>
        <w:pStyle w:val="ListParagraph"/>
        <w:numPr>
          <w:ilvl w:val="0"/>
          <w:numId w:val="2"/>
        </w:numPr>
        <w:spacing w:after="60"/>
      </w:pPr>
      <w:r>
        <w:rPr>
          <w:rFonts w:ascii="Arial" w:cs="Arial" w:eastAsia="Arial" w:hAnsi="Arial"/>
          <w:color w:val="333333"/>
          <w:sz w:val="22"/>
          <w:szCs w:val="22"/>
        </w:rPr>
        <w:t xml:space="preserve">Steam availability default — does a typical kraft mill have surplus steam for capture, or is a new boiler needed? Needs research on typical mill steam balances.</w:t>
      </w:r>
    </w:p>
    <w:p>
      <w:r>
        <w:br w:type="page"/>
      </w:r>
    </w:p>
    <w:p>
      <w:pPr>
        <w:pStyle w:val="Heading2"/>
        <w:spacing w:before="240" w:after="140"/>
      </w:pPr>
      <w:r>
        <w:rPr>
          <w:rFonts w:ascii="Arial" w:cs="Arial" w:eastAsia="Arial" w:hAnsi="Arial"/>
          <w:b/>
          <w:bCs/>
          <w:color w:val="1A1A2E"/>
          <w:sz w:val="26"/>
          <w:szCs w:val="26"/>
        </w:rPr>
        <w:t xml:space="preserve">5.6 CDR (Carbon Dioxide Removal)</w:t>
      </w:r>
    </w:p>
    <w:p>
      <w:pPr>
        <w:pStyle w:val="Heading3"/>
        <w:spacing w:before="200" w:after="120"/>
      </w:pPr>
      <w:r>
        <w:rPr>
          <w:rFonts w:ascii="Arial" w:cs="Arial" w:eastAsia="Arial" w:hAnsi="Arial"/>
          <w:b/>
          <w:bCs/>
          <w:color w:val="2D5B9E"/>
          <w:sz w:val="22"/>
          <w:szCs w:val="22"/>
        </w:rPr>
        <w:t xml:space="preserve">5.6.1 DAC — Direct Air Capture</w:t>
      </w:r>
    </w:p>
    <w:p>
      <w:pPr>
        <w:spacing w:after="120"/>
      </w:pPr>
      <w:r>
        <w:rPr>
          <w:rFonts w:ascii="Arial" w:cs="Arial" w:eastAsia="Arial" w:hAnsi="Arial"/>
          <w:color w:val="333333"/>
          <w:sz w:val="22"/>
          <w:szCs w:val="22"/>
        </w:rPr>
        <w:t xml:space="preserve">DAC removes CO₂ directly from ambient air at ~420 ppm (0.04%) — roughly 100x more dilute than NGCC and 300x more dilute than cement. The extreme dilution requires enormous air volumes and significant energy input. DAC is pure CDR: every tonne captured is a tonne permanently removed from the atmosphere. Two technology configurations are available as a selector within the single DAC source.</w:t>
      </w:r>
    </w:p>
    <w:p>
      <w:pPr>
        <w:pStyle w:val="ListParagraph"/>
        <w:numPr>
          <w:ilvl w:val="0"/>
          <w:numId w:val="2"/>
        </w:numPr>
        <w:spacing w:after="60"/>
      </w:pPr>
      <w:r>
        <w:rPr>
          <w:rFonts w:ascii="Arial" w:cs="Arial" w:eastAsia="Arial" w:hAnsi="Arial"/>
          <w:b/>
          <w:bCs/>
          <w:color w:val="333333"/>
          <w:sz w:val="22"/>
          <w:szCs w:val="22"/>
        </w:rPr>
        <w:t xml:space="preserve">Technology A — Solid Sorbent (Climeworks/Global Thermostat style): </w:t>
      </w:r>
      <w:r>
        <w:rPr>
          <w:rFonts w:ascii="Arial" w:cs="Arial" w:eastAsia="Arial" w:hAnsi="Arial"/>
          <w:color w:val="333333"/>
          <w:sz w:val="22"/>
          <w:szCs w:val="22"/>
        </w:rPr>
        <w:t xml:space="preserve">Air passes over a solid amine-functionalized sorbent that binds CO₂ at ambient temperature. When saturated, the sorbent is heated to 80–120°C to release CO₂ (temperature swing adsorption). Low regeneration temperature means waste heat, geothermal, or heat pumps can supply energy. Modular design — capacity added by deploying more contactor units. Higher sorbent replacement cost, lower energy cost. Climeworks operates Orca (4,000 t/yr) and Mammoth (36,000 t/yr) in Iceland.</w:t>
      </w:r>
    </w:p>
    <w:p>
      <w:pPr>
        <w:pStyle w:val="ListParagraph"/>
        <w:numPr>
          <w:ilvl w:val="0"/>
          <w:numId w:val="2"/>
        </w:numPr>
        <w:spacing w:after="60"/>
      </w:pPr>
      <w:r>
        <w:rPr>
          <w:rFonts w:ascii="Arial" w:cs="Arial" w:eastAsia="Arial" w:hAnsi="Arial"/>
          <w:b/>
          <w:bCs/>
          <w:color w:val="333333"/>
          <w:sz w:val="22"/>
          <w:szCs w:val="22"/>
        </w:rPr>
        <w:t xml:space="preserve">Technology B — Liquid Solvent (Carbon Engineering/Occidental style): </w:t>
      </w:r>
      <w:r>
        <w:rPr>
          <w:rFonts w:ascii="Arial" w:cs="Arial" w:eastAsia="Arial" w:hAnsi="Arial"/>
          <w:color w:val="333333"/>
          <w:sz w:val="22"/>
          <w:szCs w:val="22"/>
        </w:rPr>
        <w:t xml:space="preserve">Air passes through a large contactor where KOH solution absorbs CO₂ to form K₂CO₃. The carbonate is reacted with Ca(OH)₂ to form CaCO₃ pellets, which are calcined at ~900°C in an oxy-fired kiln to release pure CO₂ and regenerate CaO. Requires ASU for oxygen supply. Higher CAPEX, higher energy input (NG for calciner), but lower solvent cost and proven at larger individual unit scale. 1PointFive (Occidental) is building STRATOS in Texas at 500,000 t/yr.</w:t>
      </w:r>
    </w:p>
    <w:p>
      <w:pPr>
        <w:pStyle w:val="ListParagraph"/>
        <w:numPr>
          <w:ilvl w:val="0"/>
          <w:numId w:val="2"/>
        </w:numPr>
        <w:spacing w:after="60"/>
      </w:pPr>
      <w:r>
        <w:rPr>
          <w:rFonts w:ascii="Arial" w:cs="Arial" w:eastAsia="Arial" w:hAnsi="Arial"/>
          <w:b/>
          <w:bCs/>
          <w:color w:val="333333"/>
          <w:sz w:val="22"/>
          <w:szCs w:val="22"/>
        </w:rPr>
        <w:t xml:space="preserve">Fundamentally Different Equipment: </w:t>
      </w:r>
      <w:r>
        <w:rPr>
          <w:rFonts w:ascii="Arial" w:cs="Arial" w:eastAsia="Arial" w:hAnsi="Arial"/>
          <w:color w:val="333333"/>
          <w:sz w:val="22"/>
          <w:szCs w:val="22"/>
        </w:rPr>
        <w:t xml:space="preserve">DAC does not use the traditional NETL account framework (no absorber column, no stripper in the traditional sense, no flue gas ductwork). Equipment: air contactors (dominant CAPEX item), fans/blowers (major power consumer), sorbent/solvent regeneration system, CO₂ compression, and balance of plant. Cost structure sourced from IEAGHG and literature rather than NETL equipment accounts.</w:t>
      </w:r>
    </w:p>
    <w:p>
      <w:pPr>
        <w:pStyle w:val="ListParagraph"/>
        <w:numPr>
          <w:ilvl w:val="0"/>
          <w:numId w:val="2"/>
        </w:numPr>
        <w:spacing w:after="60"/>
      </w:pPr>
      <w:r>
        <w:rPr>
          <w:rFonts w:ascii="Arial" w:cs="Arial" w:eastAsia="Arial" w:hAnsi="Arial"/>
          <w:b/>
          <w:bCs/>
          <w:color w:val="333333"/>
          <w:sz w:val="22"/>
          <w:szCs w:val="22"/>
        </w:rPr>
        <w:t xml:space="preserve">Reference Cost Data: </w:t>
      </w:r>
      <w:r>
        <w:rPr>
          <w:rFonts w:ascii="Arial" w:cs="Arial" w:eastAsia="Arial" w:hAnsi="Arial"/>
          <w:color w:val="333333"/>
          <w:sz w:val="22"/>
          <w:szCs w:val="22"/>
        </w:rPr>
        <w:t xml:space="preserve">IEAGHG Global Assessment of DAC Costs (2024) as primary anchor — most comprehensive published study, covers both configurations, provides component-level breakdowns, peer-reviewed. Supplemented by NETL DAC TEA presentation and Joule (2024) paper on DAC cost projections for learning curve calibration. Tier 2/3 confidence. FOAK costs: $350–700/t solid sorbent, $250–500/t liquid solvent. DOE target: $100/t by 2030.</w:t>
      </w:r>
    </w:p>
    <w:p>
      <w:pPr>
        <w:pStyle w:val="ListParagraph"/>
        <w:numPr>
          <w:ilvl w:val="0"/>
          <w:numId w:val="2"/>
        </w:numPr>
        <w:spacing w:after="60"/>
      </w:pPr>
      <w:r>
        <w:rPr>
          <w:rFonts w:ascii="Arial" w:cs="Arial" w:eastAsia="Arial" w:hAnsi="Arial"/>
          <w:b/>
          <w:bCs/>
          <w:color w:val="333333"/>
          <w:sz w:val="22"/>
          <w:szCs w:val="22"/>
        </w:rPr>
        <w:t xml:space="preserve">FOAK vs NOAK: </w:t>
      </w:r>
      <w:r>
        <w:rPr>
          <w:rFonts w:ascii="Arial" w:cs="Arial" w:eastAsia="Arial" w:hAnsi="Arial"/>
          <w:color w:val="333333"/>
          <w:sz w:val="22"/>
          <w:szCs w:val="22"/>
        </w:rPr>
        <w:t xml:space="preserve">Handled through the learning rate mechanism already in the model. DAC has the highest learning rates of any source (7%/yr solid sorbent, 5%/yr liquid solvent). The COD year input drives the cost reduction — a project at COD 2030 benefits from more learning than COD 2026. No separate FOAK/NOAK toggle needed.</w:t>
      </w:r>
    </w:p>
    <w:p>
      <w:pPr>
        <w:pStyle w:val="ListParagraph"/>
        <w:numPr>
          <w:ilvl w:val="0"/>
          <w:numId w:val="2"/>
        </w:numPr>
        <w:spacing w:after="60"/>
      </w:pPr>
      <w:r>
        <w:rPr>
          <w:rFonts w:ascii="Arial" w:cs="Arial" w:eastAsia="Arial" w:hAnsi="Arial"/>
          <w:b/>
          <w:bCs/>
          <w:color w:val="333333"/>
          <w:sz w:val="22"/>
          <w:szCs w:val="22"/>
        </w:rPr>
        <w:t xml:space="preserve">Energy Source — Default Natural Gas: </w:t>
      </w:r>
      <w:r>
        <w:rPr>
          <w:rFonts w:ascii="Arial" w:cs="Arial" w:eastAsia="Arial" w:hAnsi="Arial"/>
          <w:color w:val="333333"/>
          <w:sz w:val="22"/>
          <w:szCs w:val="22"/>
        </w:rPr>
        <w:t xml:space="preserve">For solid sorbent: NG provides the low-grade heat for regeneration. Alternatives (waste heat, electric heat pump) available as user overrides — they affect both OPEX and lifecycle carbon intensity. For liquid solvent: NG for the calciner is essentially required (900°C calcination). ASU electricity is the other major energy cost. Default NG for both configurations. Energy source choice affects CDR credit quality — NG combustion produces fossil CO₂ that partially offsets the captured atmospheric CO₂.</w:t>
      </w:r>
    </w:p>
    <w:p>
      <w:pPr>
        <w:pStyle w:val="ListParagraph"/>
        <w:numPr>
          <w:ilvl w:val="0"/>
          <w:numId w:val="2"/>
        </w:numPr>
        <w:spacing w:after="60"/>
      </w:pPr>
      <w:r>
        <w:rPr>
          <w:rFonts w:ascii="Arial" w:cs="Arial" w:eastAsia="Arial" w:hAnsi="Arial"/>
          <w:b/>
          <w:bCs/>
          <w:color w:val="333333"/>
          <w:sz w:val="22"/>
          <w:szCs w:val="22"/>
        </w:rPr>
        <w:t xml:space="preserve">No Back-Solve Chain: </w:t>
      </w:r>
      <w:r>
        <w:rPr>
          <w:rFonts w:ascii="Arial" w:cs="Arial" w:eastAsia="Arial" w:hAnsi="Arial"/>
          <w:color w:val="333333"/>
          <w:sz w:val="22"/>
          <w:szCs w:val="22"/>
        </w:rPr>
        <w:t xml:space="preserve">Unlike every other source, DAC has no ‘plant capacity’ in production terms. The capacity IS the CO₂ captured. User enters tonnes CO₂/year directly. No emission factor, no product output conversion.</w:t>
      </w:r>
    </w:p>
    <w:p>
      <w:pPr>
        <w:pStyle w:val="ListParagraph"/>
        <w:numPr>
          <w:ilvl w:val="0"/>
          <w:numId w:val="2"/>
        </w:numPr>
        <w:spacing w:after="60"/>
      </w:pPr>
      <w:r>
        <w:rPr>
          <w:rFonts w:ascii="Arial" w:cs="Arial" w:eastAsia="Arial" w:hAnsi="Arial"/>
          <w:b/>
          <w:bCs/>
          <w:color w:val="333333"/>
          <w:sz w:val="22"/>
          <w:szCs w:val="22"/>
        </w:rPr>
        <w:t xml:space="preserve">45Q at $180/tonne: </w:t>
      </w:r>
      <w:r>
        <w:rPr>
          <w:rFonts w:ascii="Arial" w:cs="Arial" w:eastAsia="Arial" w:hAnsi="Arial"/>
          <w:color w:val="333333"/>
          <w:sz w:val="22"/>
          <w:szCs w:val="22"/>
        </w:rPr>
        <w:t xml:space="preserve">DAC qualifies for the enhanced 45Q rate ($180/t vs $85 for point sources). This is the default revenue credit. At $180/t, even FOAK DAC plants can approach breakeven depending on the configuration and energy costs. 12-year credit duration.</w:t>
      </w:r>
    </w:p>
    <w:p>
      <w:pPr>
        <w:pStyle w:val="ListParagraph"/>
        <w:numPr>
          <w:ilvl w:val="0"/>
          <w:numId w:val="2"/>
        </w:numPr>
        <w:spacing w:after="60"/>
      </w:pPr>
      <w:r>
        <w:rPr>
          <w:rFonts w:ascii="Arial" w:cs="Arial" w:eastAsia="Arial" w:hAnsi="Arial"/>
          <w:b/>
          <w:bCs/>
          <w:color w:val="333333"/>
          <w:sz w:val="22"/>
          <w:szCs w:val="22"/>
        </w:rPr>
        <w:t xml:space="preserve">CDR Credit Stacking: </w:t>
      </w:r>
      <w:r>
        <w:rPr>
          <w:rFonts w:ascii="Arial" w:cs="Arial" w:eastAsia="Arial" w:hAnsi="Arial"/>
          <w:color w:val="333333"/>
          <w:sz w:val="22"/>
          <w:szCs w:val="22"/>
        </w:rPr>
        <w:t xml:space="preserve">Optional toggle to add voluntary CDR credits on top of 45Q (for the portion not claimed under 45Q, or after the 12-year 45Q period expires). DAC voluntary removal credits trade at $400–600/t to corporate buyers (Microsoft, Stripe, Shopify, etc.). The voluntary market is small but growing.</w:t>
      </w:r>
    </w:p>
    <w:p>
      <w:pPr>
        <w:pStyle w:val="ListParagraph"/>
        <w:numPr>
          <w:ilvl w:val="0"/>
          <w:numId w:val="2"/>
        </w:numPr>
        <w:spacing w:after="60"/>
      </w:pPr>
      <w:r>
        <w:rPr>
          <w:rFonts w:ascii="Arial" w:cs="Arial" w:eastAsia="Arial" w:hAnsi="Arial"/>
          <w:b/>
          <w:bCs/>
          <w:color w:val="333333"/>
          <w:sz w:val="22"/>
          <w:szCs w:val="22"/>
        </w:rPr>
        <w:t xml:space="preserve">Capacity Range — Solid Sorbent: </w:t>
      </w:r>
      <w:r>
        <w:rPr>
          <w:rFonts w:ascii="Arial" w:cs="Arial" w:eastAsia="Arial" w:hAnsi="Arial"/>
          <w:color w:val="333333"/>
          <w:sz w:val="22"/>
          <w:szCs w:val="22"/>
        </w:rPr>
        <w:t xml:space="preserve">4,000 to 1,000,000 t/yr. Modular scaling — add contactor units. Scaling exponent ~0.85–0.95 (nearly linear because it’s modular, with modest savings from shared infrastructure and procurement volume). No meaningful upper limit, just more modules.</w:t>
      </w:r>
    </w:p>
    <w:p>
      <w:pPr>
        <w:pStyle w:val="ListParagraph"/>
        <w:numPr>
          <w:ilvl w:val="0"/>
          <w:numId w:val="2"/>
        </w:numPr>
        <w:spacing w:after="60"/>
      </w:pPr>
      <w:r>
        <w:rPr>
          <w:rFonts w:ascii="Arial" w:cs="Arial" w:eastAsia="Arial" w:hAnsi="Arial"/>
          <w:b/>
          <w:bCs/>
          <w:color w:val="333333"/>
          <w:sz w:val="22"/>
          <w:szCs w:val="22"/>
        </w:rPr>
        <w:t xml:space="preserve">Capacity Range — Liquid Solvent: </w:t>
      </w:r>
      <w:r>
        <w:rPr>
          <w:rFonts w:ascii="Arial" w:cs="Arial" w:eastAsia="Arial" w:hAnsi="Arial"/>
          <w:color w:val="333333"/>
          <w:sz w:val="22"/>
          <w:szCs w:val="22"/>
        </w:rPr>
        <w:t xml:space="preserve">100,000 to 1,000,000 t/yr. Minimum economic scale is higher (calciner, ASU, contactor are large capital items). Six-tenths scaling within a train up to ~500,000 t/yr. Above that, multiple trains with shared infrastructure.</w:t>
      </w:r>
    </w:p>
    <w:p>
      <w:pPr>
        <w:pStyle w:val="ListParagraph"/>
        <w:numPr>
          <w:ilvl w:val="0"/>
          <w:numId w:val="2"/>
        </w:numPr>
        <w:spacing w:after="60"/>
      </w:pPr>
      <w:r>
        <w:rPr>
          <w:rFonts w:ascii="Arial" w:cs="Arial" w:eastAsia="Arial" w:hAnsi="Arial"/>
          <w:b/>
          <w:bCs/>
          <w:color w:val="333333"/>
          <w:sz w:val="22"/>
          <w:szCs w:val="22"/>
        </w:rPr>
        <w:t xml:space="preserve">Reference Scale: </w:t>
      </w:r>
      <w:r>
        <w:rPr>
          <w:rFonts w:ascii="Arial" w:cs="Arial" w:eastAsia="Arial" w:hAnsi="Arial"/>
          <w:color w:val="333333"/>
          <w:sz w:val="22"/>
          <w:szCs w:val="22"/>
        </w:rPr>
        <w:t xml:space="preserve">Default 100,000 t CO₂/yr for both configurations, matching existing model and NETL reference. TX baseline. This is the scale most first-commercial DAC projects are targeting.</w:t>
      </w:r>
    </w:p>
    <w:p>
      <w:pPr>
        <w:pStyle w:val="ListParagraph"/>
        <w:numPr>
          <w:ilvl w:val="0"/>
          <w:numId w:val="2"/>
        </w:numPr>
        <w:spacing w:after="60"/>
      </w:pPr>
      <w:r>
        <w:rPr>
          <w:rFonts w:ascii="Arial" w:cs="Arial" w:eastAsia="Arial" w:hAnsi="Arial"/>
          <w:b/>
          <w:bCs/>
          <w:color w:val="333333"/>
          <w:sz w:val="22"/>
          <w:szCs w:val="22"/>
        </w:rPr>
        <w:t xml:space="preserve">Location Economics: </w:t>
      </w:r>
      <w:r>
        <w:rPr>
          <w:rFonts w:ascii="Arial" w:cs="Arial" w:eastAsia="Arial" w:hAnsi="Arial"/>
          <w:color w:val="333333"/>
          <w:sz w:val="22"/>
          <w:szCs w:val="22"/>
        </w:rPr>
        <w:t xml:space="preserve">DAC can be sited anywhere (feedstock is air). Sited for optimal economics: near cheap energy, geological storage, pipeline infrastructure, and favorable policy. Texas and Louisiana dominate US DAC project announcements due to low electricity prices, abundant NG, extensive CO₂ pipeline networks, proven Gulf Coast geological storage, and state incentives.</w:t>
      </w:r>
    </w:p>
    <w:p>
      <w:pPr>
        <w:pStyle w:val="ListParagraph"/>
        <w:numPr>
          <w:ilvl w:val="0"/>
          <w:numId w:val="2"/>
        </w:numPr>
        <w:spacing w:after="60"/>
      </w:pPr>
      <w:r>
        <w:rPr>
          <w:rFonts w:ascii="Arial" w:cs="Arial" w:eastAsia="Arial" w:hAnsi="Arial"/>
          <w:b/>
          <w:bCs/>
          <w:color w:val="333333"/>
          <w:sz w:val="22"/>
          <w:szCs w:val="22"/>
        </w:rPr>
        <w:t xml:space="preserve">Water Consumption: </w:t>
      </w:r>
      <w:r>
        <w:rPr>
          <w:rFonts w:ascii="Arial" w:cs="Arial" w:eastAsia="Arial" w:hAnsi="Arial"/>
          <w:color w:val="333333"/>
          <w:sz w:val="22"/>
          <w:szCs w:val="22"/>
        </w:rPr>
        <w:t xml:space="preserve">Noted as a consideration but does not directly affect LCOC. Some solid sorbent designs co-adsorb water. Liquid solvent uses water in contactor and cooling. In arid locations (West Texas), water availability can be a siting constraint.</w:t>
      </w:r>
    </w:p>
    <w:p>
      <w:pPr>
        <w:pStyle w:val="Heading3"/>
        <w:spacing w:before="200" w:after="120"/>
      </w:pPr>
      <w:r>
        <w:rPr>
          <w:rFonts w:ascii="Arial" w:cs="Arial" w:eastAsia="Arial" w:hAnsi="Arial"/>
          <w:b/>
          <w:bCs/>
          <w:color w:val="2D5B9E"/>
          <w:sz w:val="22"/>
          <w:szCs w:val="22"/>
        </w:rPr>
        <w:t xml:space="preserve">5.6.2 DOC — Direct Ocean Capture</w:t>
      </w:r>
    </w:p>
    <w:p>
      <w:pPr>
        <w:spacing w:after="120"/>
      </w:pPr>
      <w:r>
        <w:rPr>
          <w:rFonts w:ascii="Arial" w:cs="Arial" w:eastAsia="Arial" w:hAnsi="Arial"/>
          <w:color w:val="333333"/>
          <w:sz w:val="22"/>
          <w:szCs w:val="22"/>
        </w:rPr>
        <w:t xml:space="preserve">Direct ocean capture removes dissolved CO₂ from seawater via electrodialysis or other electrochemical methods. As CO₂ is removed from the water, the ocean absorbs more from the atmosphere to re-equilibrate, achieving net atmospheric CO₂ removal. Emerging technology with very limited cost data. Modeled at 100,000 t CO₂/yr reference, TX baseline. DOC Electrodialysis technology in the model with 9%/yr learning rate. Tier 3 confidence — highest uncertainty of any source. Detailed nuances to be defined as the technology matures.</w:t>
      </w:r>
    </w:p>
    <w:p>
      <w:r>
        <w:br w:type="page"/>
      </w:r>
    </w:p>
    <w:p>
      <w:pPr>
        <w:pStyle w:val="Heading1"/>
        <w:spacing w:before="360" w:after="160"/>
      </w:pPr>
      <w:r>
        <w:rPr>
          <w:rFonts w:ascii="Arial" w:cs="Arial" w:eastAsia="Arial" w:hAnsi="Arial"/>
          <w:b/>
          <w:bCs/>
          <w:color w:val="1B6B4A"/>
          <w:sz w:val="32"/>
          <w:szCs w:val="32"/>
        </w:rPr>
        <w:t xml:space="preserve">6. Calculation Walkthrough by Source</w:t>
      </w:r>
    </w:p>
    <w:p>
      <w:pPr>
        <w:spacing w:after="120"/>
      </w:pPr>
      <w:r>
        <w:rPr>
          <w:rFonts w:ascii="Arial" w:cs="Arial" w:eastAsia="Arial" w:hAnsi="Arial"/>
          <w:color w:val="333333"/>
          <w:sz w:val="22"/>
          <w:szCs w:val="22"/>
        </w:rPr>
        <w:t xml:space="preserve">Each source below walks through the complete LCOC calculation from raw inputs to final $/tonne. The universal formula is the same for all:</w:t>
      </w:r>
    </w:p>
    <w:p>
      <w:pPr>
        <w:spacing w:after="80"/>
        <w:jc w:val="center"/>
      </w:pPr>
      <w:r>
        <w:rPr>
          <w:rFonts w:ascii="Arial" w:cs="Arial" w:eastAsia="Arial" w:hAnsi="Arial"/>
          <w:b/>
          <w:bCs/>
          <w:color w:val="1B6B4A"/>
          <w:sz w:val="22"/>
          <w:szCs w:val="22"/>
        </w:rPr>
        <w:t xml:space="preserve">LCOC = Capital + Fixed O&amp;M + Variable O&amp;M + Power Cost + Fuel Cost</w:t>
      </w:r>
    </w:p>
    <w:p>
      <w:pPr>
        <w:spacing w:after="160"/>
        <w:jc w:val="center"/>
      </w:pPr>
      <w:r>
        <w:rPr>
          <w:rFonts w:ascii="Arial" w:cs="Arial" w:eastAsia="Arial" w:hAnsi="Arial"/>
          <w:color w:val="666666"/>
          <w:sz w:val="22"/>
          <w:szCs w:val="22"/>
        </w:rPr>
        <w:t xml:space="preserve">All ÷ Annual CO₂ Captured (t/yr)</w:t>
      </w:r>
    </w:p>
    <w:p>
      <w:pPr>
        <w:pStyle w:val="Heading2"/>
        <w:spacing w:before="240" w:after="140"/>
      </w:pPr>
      <w:r>
        <w:rPr>
          <w:rFonts w:ascii="Arial" w:cs="Arial" w:eastAsia="Arial" w:hAnsi="Arial"/>
          <w:b/>
          <w:bCs/>
          <w:color w:val="1A1A2E"/>
          <w:sz w:val="26"/>
          <w:szCs w:val="26"/>
        </w:rPr>
        <w:t xml:space="preserve">6.1 Ammonia (SMR — Syngas CO₂ Only)</w:t>
      </w:r>
    </w:p>
    <w:p>
      <w:pPr>
        <w:spacing w:after="120"/>
      </w:pPr>
      <w:r>
        <w:rPr>
          <w:rFonts w:ascii="Arial" w:cs="Arial" w:eastAsia="Arial" w:hAnsi="Arial"/>
          <w:color w:val="333333"/>
          <w:sz w:val="22"/>
          <w:szCs w:val="22"/>
        </w:rPr>
        <w:t xml:space="preserve">High-purity capture. Compression + dehydration only. Cheapest capture pathway for ammonia.</w:t>
      </w:r>
    </w:p>
    <w:p>
      <w:pPr>
        <w:spacing w:after="40"/>
      </w:pPr>
      <w:r>
        <w:rPr>
          <w:rFonts w:ascii="Arial" w:cs="Arial" w:eastAsia="Arial" w:hAnsi="Arial"/>
          <w:b/>
          <w:bCs/>
          <w:color w:val="1B6B4A"/>
          <w:sz w:val="22"/>
          <w:szCs w:val="22"/>
        </w:rPr>
        <w:t xml:space="preserve">Complete Calculation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
        <w:gridCol w:w="1100"/>
        <w:gridCol w:w="400"/>
        <w:gridCol w:w="1100"/>
        <w:gridCol w:w="400"/>
        <w:gridCol w:w="900"/>
        <w:gridCol w:w="400"/>
        <w:gridCol w:w="1100"/>
        <w:gridCol w:w="400"/>
        <w:gridCol w:w="1000"/>
        <w:gridCol w:w="400"/>
        <w:gridCol w:w="900"/>
        <w:gridCol w:w="400"/>
        <w:gridCol w:w="800"/>
        <w:gridCol w:w="400"/>
        <w:gridCol w:w="800"/>
      </w:tblGrid>
      <w:tr>
        <w:tc>
          <w:tcPr>
            <w:tcW w:type="dxa" w:w="9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Size Ratio</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Adjustments</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CAPEX</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Capital</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Fixed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Var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Power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99999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9. Fuel=$0</w:t>
            </w:r>
          </w:p>
        </w:tc>
      </w:tr>
    </w:tbl>
    <w:p>
      <w:pPr>
        <w:spacing w:after="20"/>
      </w:pPr>
      <w:r>
        <w:rPr>
          <w:rFonts w:ascii="Arial" w:cs="Arial" w:eastAsia="Arial" w:hAnsi="Arial"/>
          <w:b/>
          <w:bCs/>
          <w:color w:val="666666"/>
          <w:sz w:val="18"/>
          <w:szCs w:val="18"/>
        </w:rPr>
        <w:t xml:space="preserve">CO₂ Derivation: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
        <w:gridCol w:w="500"/>
        <w:gridCol w:w="400"/>
        <w:gridCol w:w="1100"/>
        <w:gridCol w:w="400"/>
        <w:gridCol w:w="700"/>
        <w:gridCol w:w="400"/>
        <w:gridCol w:w="1000"/>
        <w:gridCol w:w="400"/>
        <w:gridCol w:w="600"/>
        <w:gridCol w:w="400"/>
        <w:gridCol w:w="900"/>
        <w:gridCol w:w="400"/>
        <w:gridCol w:w="900"/>
        <w:gridCol w:w="400"/>
        <w:gridCol w:w="900"/>
      </w:tblGrid>
      <w:tr>
        <w:tc>
          <w:tcPr>
            <w:tcW w:type="dxa" w:w="1100"/>
            <w:tcBorders>
              <w:top w:val="single" w:color="CCCCCC" w:sz="1"/>
              <w:left w:val="single" w:color="CCCCCC" w:sz="1"/>
              <w:bottom w:val="single" w:color="CCCCCC" w:sz="1"/>
              <w:right w:val="single" w:color="CCCCCC" w:sz="1"/>
            </w:tcBorders>
            <w:shd w:fill="7BA3CC"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Plant Cap
(t NH₃/yr)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5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 CF</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7BA3CC"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Output
(t NH₃)</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7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 1.868</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Total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6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 0.66</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Syngas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E8F0F8"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×(1-Urea%)
× CR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CO₂
Captured</w:t>
            </w:r>
          </w:p>
        </w:tc>
      </w:tr>
    </w:tbl>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 (Four Entry Points)</w:t>
      </w:r>
    </w:p>
    <w:p>
      <w:pPr>
        <w:spacing w:after="120"/>
      </w:pPr>
      <w:r>
        <w:rPr>
          <w:rFonts w:ascii="Arial" w:cs="Arial" w:eastAsia="Arial" w:hAnsi="Arial"/>
          <w:color w:val="333333"/>
          <w:sz w:val="22"/>
          <w:szCs w:val="22"/>
        </w:rPr>
        <w:t xml:space="preserve">The user enters ONE of four values. The model calculates the other three. All paths arrive at the same set of values.</w:t>
      </w:r>
    </w:p>
    <w:p>
      <w:pPr>
        <w:spacing w:after="120"/>
      </w:pPr>
      <w:r>
        <w:rPr>
          <w:rFonts w:ascii="Arial" w:cs="Arial" w:eastAsia="Arial" w:hAnsi="Arial"/>
          <w:b/>
          <w:bCs/>
          <w:color w:val="2D5B9E"/>
          <w:sz w:val="22"/>
          <w:szCs w:val="22"/>
        </w:rPr>
        <w:t xml:space="preserve">Entry Point A — Plant Capacity (most common): </w:t>
      </w:r>
    </w:p>
    <w:p>
      <w:pPr>
        <w:spacing w:after="80"/>
        <w:ind w:left="360"/>
      </w:pPr>
      <w:r>
        <w:rPr>
          <w:rFonts w:ascii="Arial" w:cs="Arial" w:eastAsia="Arial" w:hAnsi="Arial"/>
          <w:b/>
          <w:bCs/>
          <w:color w:val="2D5B9E"/>
          <w:sz w:val="20"/>
          <w:szCs w:val="20"/>
        </w:rPr>
        <w:t xml:space="preserve">Annual Output = Plant Capacity × CF = 500,000 × 0.85 = 425,000 t NH₃/yr</w:t>
      </w:r>
    </w:p>
    <w:p>
      <w:pPr>
        <w:spacing w:after="80"/>
        <w:ind w:left="360"/>
      </w:pPr>
      <w:r>
        <w:rPr>
          <w:rFonts w:ascii="Arial" w:cs="Arial" w:eastAsia="Arial" w:hAnsi="Arial"/>
          <w:b/>
          <w:bCs/>
          <w:color w:val="2D5B9E"/>
          <w:sz w:val="20"/>
          <w:szCs w:val="20"/>
        </w:rPr>
        <w:t xml:space="preserve">Total CO₂ Produced = Annual Output × 1.868 = 425,000 × 1.868 = 793,900 t/yr</w:t>
      </w:r>
    </w:p>
    <w:p>
      <w:pPr>
        <w:spacing w:after="80"/>
        <w:ind w:left="360"/>
      </w:pPr>
      <w:r>
        <w:rPr>
          <w:rFonts w:ascii="Arial" w:cs="Arial" w:eastAsia="Arial" w:hAnsi="Arial"/>
          <w:b/>
          <w:bCs/>
          <w:color w:val="2D5B9E"/>
          <w:sz w:val="20"/>
          <w:szCs w:val="20"/>
        </w:rPr>
        <w:t xml:space="preserve">Syngas CO₂ = Total CO₂ × 0.66 = 793,900 × 0.66 = 523,974 t/yr</w:t>
      </w:r>
    </w:p>
    <w:p>
      <w:pPr>
        <w:spacing w:after="80"/>
        <w:ind w:left="360"/>
      </w:pPr>
      <w:r>
        <w:rPr>
          <w:rFonts w:ascii="Arial" w:cs="Arial" w:eastAsia="Arial" w:hAnsi="Arial"/>
          <w:b/>
          <w:bCs/>
          <w:color w:val="2D5B9E"/>
          <w:sz w:val="20"/>
          <w:szCs w:val="20"/>
        </w:rPr>
        <w:t xml:space="preserve">CO₂ Available = Syngas CO₂ × (1 – Urea%) = 523,974 × 1.0 = 523,974 t/yr</w:t>
      </w:r>
    </w:p>
    <w:p>
      <w:pPr>
        <w:spacing w:after="80"/>
        <w:ind w:left="360"/>
      </w:pPr>
      <w:r>
        <w:rPr>
          <w:rFonts w:ascii="Arial" w:cs="Arial" w:eastAsia="Arial" w:hAnsi="Arial"/>
          <w:b/>
          <w:bCs/>
          <w:color w:val="2D5B9E"/>
          <w:sz w:val="20"/>
          <w:szCs w:val="20"/>
        </w:rPr>
        <w:t xml:space="preserve">CO₂ Captured = CO₂ Available × Capture Rate = 523,974 × 0.90 = 471,577 t/yr</w:t>
      </w:r>
    </w:p>
    <w:p>
      <w:pPr>
        <w:spacing w:after="120"/>
      </w:pPr>
      <w:r>
        <w:rPr>
          <w:rFonts w:ascii="Arial" w:cs="Arial" w:eastAsia="Arial" w:hAnsi="Arial"/>
          <w:b/>
          <w:bCs/>
          <w:color w:val="2D5B9E"/>
          <w:sz w:val="22"/>
          <w:szCs w:val="22"/>
        </w:rPr>
        <w:t xml:space="preserve">Entry Point B — Annual Output: </w:t>
      </w:r>
    </w:p>
    <w:p>
      <w:pPr>
        <w:spacing w:after="80"/>
        <w:ind w:left="360"/>
      </w:pPr>
      <w:r>
        <w:rPr>
          <w:rFonts w:ascii="Arial" w:cs="Arial" w:eastAsia="Arial" w:hAnsi="Arial"/>
          <w:b/>
          <w:bCs/>
          <w:color w:val="2D5B9E"/>
          <w:sz w:val="20"/>
          <w:szCs w:val="20"/>
        </w:rPr>
        <w:t xml:space="preserve">Annual Output = 425,000 (entered directly)</w:t>
      </w:r>
    </w:p>
    <w:p>
      <w:pPr>
        <w:spacing w:after="80"/>
        <w:ind w:left="360"/>
      </w:pPr>
      <w:r>
        <w:rPr>
          <w:rFonts w:ascii="Arial" w:cs="Arial" w:eastAsia="Arial" w:hAnsi="Arial"/>
          <w:b/>
          <w:bCs/>
          <w:color w:val="2D5B9E"/>
          <w:sz w:val="20"/>
          <w:szCs w:val="20"/>
        </w:rPr>
        <w:t xml:space="preserve">Plant Capacity = Annual Output ÷ CF = 425,000 ÷ 0.85 = 500,000 t NH₃/yr</w:t>
      </w:r>
    </w:p>
    <w:p>
      <w:pPr>
        <w:spacing w:after="120"/>
      </w:pPr>
      <w:r>
        <w:rPr>
          <w:rFonts w:ascii="Arial" w:cs="Arial" w:eastAsia="Arial" w:hAnsi="Arial"/>
          <w:color w:val="333333"/>
          <w:sz w:val="22"/>
          <w:szCs w:val="22"/>
        </w:rPr>
        <w:t xml:space="preserve">Then forward through Total CO₂ → Syngas CO₂ → CO₂ Captured as in Entry Point A.</w:t>
      </w:r>
    </w:p>
    <w:p>
      <w:pPr>
        <w:spacing w:after="120"/>
      </w:pPr>
      <w:r>
        <w:rPr>
          <w:rFonts w:ascii="Arial" w:cs="Arial" w:eastAsia="Arial" w:hAnsi="Arial"/>
          <w:b/>
          <w:bCs/>
          <w:color w:val="2D5B9E"/>
          <w:sz w:val="22"/>
          <w:szCs w:val="22"/>
        </w:rPr>
        <w:t xml:space="preserve">Entry Point C — CO₂ Produced (total plant): </w:t>
      </w:r>
    </w:p>
    <w:p>
      <w:pPr>
        <w:spacing w:after="80"/>
        <w:ind w:left="360"/>
      </w:pPr>
      <w:r>
        <w:rPr>
          <w:rFonts w:ascii="Arial" w:cs="Arial" w:eastAsia="Arial" w:hAnsi="Arial"/>
          <w:b/>
          <w:bCs/>
          <w:color w:val="2D5B9E"/>
          <w:sz w:val="20"/>
          <w:szCs w:val="20"/>
        </w:rPr>
        <w:t xml:space="preserve">Total CO₂ = 793,900 (entered directly)</w:t>
      </w:r>
    </w:p>
    <w:p>
      <w:pPr>
        <w:spacing w:after="80"/>
        <w:ind w:left="360"/>
      </w:pPr>
      <w:r>
        <w:rPr>
          <w:rFonts w:ascii="Arial" w:cs="Arial" w:eastAsia="Arial" w:hAnsi="Arial"/>
          <w:b/>
          <w:bCs/>
          <w:color w:val="2D5B9E"/>
          <w:sz w:val="20"/>
          <w:szCs w:val="20"/>
        </w:rPr>
        <w:t xml:space="preserve">Annual Output = Total CO₂ ÷ 1.868 = 793,900 ÷ 1.868 = 425,000 t NH₃/yr</w:t>
      </w:r>
    </w:p>
    <w:p>
      <w:pPr>
        <w:spacing w:after="80"/>
        <w:ind w:left="360"/>
      </w:pPr>
      <w:r>
        <w:rPr>
          <w:rFonts w:ascii="Arial" w:cs="Arial" w:eastAsia="Arial" w:hAnsi="Arial"/>
          <w:b/>
          <w:bCs/>
          <w:color w:val="2D5B9E"/>
          <w:sz w:val="20"/>
          <w:szCs w:val="20"/>
        </w:rPr>
        <w:t xml:space="preserve">Plant Capacity = 425,000 ÷ 0.85 = 500,000 t NH₃/yr</w:t>
      </w:r>
    </w:p>
    <w:p>
      <w:pPr>
        <w:spacing w:after="80"/>
        <w:ind w:left="360"/>
      </w:pPr>
      <w:r>
        <w:rPr>
          <w:rFonts w:ascii="Arial" w:cs="Arial" w:eastAsia="Arial" w:hAnsi="Arial"/>
          <w:b/>
          <w:bCs/>
          <w:color w:val="2D5B9E"/>
          <w:sz w:val="20"/>
          <w:szCs w:val="20"/>
        </w:rPr>
        <w:t xml:space="preserve">Syngas CO₂ = 793,900 × 0.66 = 523,974 t/yr</w:t>
      </w:r>
    </w:p>
    <w:p>
      <w:pPr>
        <w:spacing w:after="80"/>
        <w:ind w:left="360"/>
      </w:pPr>
      <w:r>
        <w:rPr>
          <w:rFonts w:ascii="Arial" w:cs="Arial" w:eastAsia="Arial" w:hAnsi="Arial"/>
          <w:b/>
          <w:bCs/>
          <w:color w:val="2D5B9E"/>
          <w:sz w:val="20"/>
          <w:szCs w:val="20"/>
        </w:rPr>
        <w:t xml:space="preserve">CO₂ Captured = 523,974 × (1 – Urea%) × CR = 471,577 t/yr</w:t>
      </w:r>
    </w:p>
    <w:p>
      <w:pPr>
        <w:spacing w:after="120"/>
      </w:pPr>
      <w:r>
        <w:rPr>
          <w:rFonts w:ascii="Arial" w:cs="Arial" w:eastAsia="Arial" w:hAnsi="Arial"/>
          <w:b/>
          <w:bCs/>
          <w:color w:val="2D5B9E"/>
          <w:sz w:val="22"/>
          <w:szCs w:val="22"/>
        </w:rPr>
        <w:t xml:space="preserve">Entry Point D — CO₂ Captured (target volume): </w:t>
      </w:r>
    </w:p>
    <w:p>
      <w:pPr>
        <w:spacing w:after="80"/>
        <w:ind w:left="360"/>
      </w:pPr>
      <w:r>
        <w:rPr>
          <w:rFonts w:ascii="Arial" w:cs="Arial" w:eastAsia="Arial" w:hAnsi="Arial"/>
          <w:b/>
          <w:bCs/>
          <w:color w:val="2D5B9E"/>
          <w:sz w:val="20"/>
          <w:szCs w:val="20"/>
        </w:rPr>
        <w:t xml:space="preserve">CO₂ Captured = 471,577 (entered directly)</w:t>
      </w:r>
    </w:p>
    <w:p>
      <w:pPr>
        <w:spacing w:after="80"/>
        <w:ind w:left="360"/>
      </w:pPr>
      <w:r>
        <w:rPr>
          <w:rFonts w:ascii="Arial" w:cs="Arial" w:eastAsia="Arial" w:hAnsi="Arial"/>
          <w:b/>
          <w:bCs/>
          <w:color w:val="2D5B9E"/>
          <w:sz w:val="20"/>
          <w:szCs w:val="20"/>
        </w:rPr>
        <w:t xml:space="preserve">CO₂ Available = CO₂ Captured ÷ CR = 471,577 ÷ 0.90 = 523,974 t/yr</w:t>
      </w:r>
    </w:p>
    <w:p>
      <w:pPr>
        <w:spacing w:after="80"/>
        <w:ind w:left="360"/>
      </w:pPr>
      <w:r>
        <w:rPr>
          <w:rFonts w:ascii="Arial" w:cs="Arial" w:eastAsia="Arial" w:hAnsi="Arial"/>
          <w:b/>
          <w:bCs/>
          <w:color w:val="2D5B9E"/>
          <w:sz w:val="20"/>
          <w:szCs w:val="20"/>
        </w:rPr>
        <w:t xml:space="preserve">Syngas CO₂ = CO₂ Available ÷ (1 – Urea%) = 523,974 ÷ 1.0 = 523,974 t/yr</w:t>
      </w:r>
    </w:p>
    <w:p>
      <w:pPr>
        <w:spacing w:after="80"/>
        <w:ind w:left="360"/>
      </w:pPr>
      <w:r>
        <w:rPr>
          <w:rFonts w:ascii="Arial" w:cs="Arial" w:eastAsia="Arial" w:hAnsi="Arial"/>
          <w:b/>
          <w:bCs/>
          <w:color w:val="2D5B9E"/>
          <w:sz w:val="20"/>
          <w:szCs w:val="20"/>
        </w:rPr>
        <w:t xml:space="preserve">Total CO₂ = Syngas CO₂ ÷ 0.66 = 523,974 ÷ 0.66 = 793,900 t/yr</w:t>
      </w:r>
    </w:p>
    <w:p>
      <w:pPr>
        <w:spacing w:after="80"/>
        <w:ind w:left="360"/>
      </w:pPr>
      <w:r>
        <w:rPr>
          <w:rFonts w:ascii="Arial" w:cs="Arial" w:eastAsia="Arial" w:hAnsi="Arial"/>
          <w:b/>
          <w:bCs/>
          <w:color w:val="2D5B9E"/>
          <w:sz w:val="20"/>
          <w:szCs w:val="20"/>
        </w:rPr>
        <w:t xml:space="preserve">Annual Output = 793,900 ÷ 1.868 = 425,000 t NH₃/yr</w:t>
      </w:r>
    </w:p>
    <w:p>
      <w:pPr>
        <w:spacing w:after="80"/>
        <w:ind w:left="360"/>
      </w:pPr>
      <w:r>
        <w:rPr>
          <w:rFonts w:ascii="Arial" w:cs="Arial" w:eastAsia="Arial" w:hAnsi="Arial"/>
          <w:b/>
          <w:bCs/>
          <w:color w:val="2D5B9E"/>
          <w:sz w:val="20"/>
          <w:szCs w:val="20"/>
        </w:rPr>
        <w:t xml:space="preserve">Plant Capacity = 425,000 ÷ 0.85 = 500,000 t NH₃/yr</w:t>
      </w:r>
    </w:p>
    <w:p>
      <w:pPr>
        <w:spacing w:after="120"/>
      </w:pPr>
      <w:r>
        <w:rPr>
          <w:rFonts w:ascii="Arial" w:cs="Arial" w:eastAsia="Arial" w:hAnsi="Arial"/>
          <w:color w:val="333333"/>
          <w:sz w:val="22"/>
          <w:szCs w:val="22"/>
        </w:rPr>
        <w:t xml:space="preserve">All four fields display in the UI. The entered value is locked; derived values auto-update. Size ratio always uses Plant Capacity regardless of entry point.</w:t>
      </w:r>
    </w:p>
    <w:p>
      <w:pPr>
        <w:spacing w:after="120"/>
      </w:pPr>
      <w:r>
        <w:rPr>
          <w:rFonts w:ascii="Arial" w:cs="Arial" w:eastAsia="Arial" w:hAnsi="Arial"/>
          <w:b/>
          <w:bCs/>
          <w:color w:val="666666"/>
          <w:sz w:val="22"/>
          <w:szCs w:val="22"/>
        </w:rPr>
        <w:t xml:space="preserve">Facility Decarbonization: </w:t>
      </w:r>
    </w:p>
    <w:p>
      <w:pPr>
        <w:spacing w:after="80"/>
        <w:ind w:left="360"/>
      </w:pPr>
      <w:r>
        <w:rPr>
          <w:rFonts w:ascii="Arial" w:cs="Arial" w:eastAsia="Arial" w:hAnsi="Arial"/>
          <w:b/>
          <w:bCs/>
          <w:color w:val="2D5B9E"/>
          <w:sz w:val="20"/>
          <w:szCs w:val="20"/>
        </w:rPr>
        <w:t xml:space="preserve">Facility Decarb = CO₂ Captured ÷ Total CO₂ = 471,577 ÷ 793,900 = 59.4%</w:t>
      </w:r>
    </w:p>
    <w:p>
      <w:pPr>
        <w:spacing w:after="120"/>
      </w:pPr>
      <w:r>
        <w:rPr>
          <w:rFonts w:ascii="Arial" w:cs="Arial" w:eastAsia="Arial" w:hAnsi="Arial"/>
          <w:b/>
          <w:bCs/>
          <w:color w:val="333333"/>
          <w:sz w:val="22"/>
          <w:szCs w:val="22"/>
        </w:rPr>
        <w:t xml:space="preserve">Documented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Constant</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Derivation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Total 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1.868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Derived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syngas EF (1.233) ÷ syngas split (0.66)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Syngas EF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1.233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direct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413,164 t CO₂ ÷ (394,000 t NH₃ × 0.85 CF)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Syngas Split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KBR via NETL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Process CO₂ from reforming reaction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Flue Gas Split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KBR via NETL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Combustion CO₂ from reformer furnace (remainder)</w:t>
            </w:r>
          </w:p>
        </w:tc>
      </w:tr>
    </w:tbl>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 &amp; CAPEX Scaling</w:t>
      </w:r>
    </w:p>
    <w:p>
      <w:pPr>
        <w:spacing w:after="80"/>
        <w:ind w:left="360"/>
      </w:pPr>
      <w:r>
        <w:rPr>
          <w:rFonts w:ascii="Arial" w:cs="Arial" w:eastAsia="Arial" w:hAnsi="Arial"/>
          <w:b/>
          <w:bCs/>
          <w:color w:val="2D5B9E"/>
          <w:sz w:val="20"/>
          <w:szCs w:val="20"/>
        </w:rPr>
        <w:t xml:space="preserve">sR = Plant Capacity ÷ 394,000 t NH₃/yr (NETL reference)</w:t>
      </w:r>
    </w:p>
    <w:p>
      <w:pPr>
        <w:spacing w:after="120"/>
      </w:pPr>
      <w:r>
        <w:rPr>
          <w:rFonts w:ascii="Arial" w:cs="Arial" w:eastAsia="Arial" w:hAnsi="Arial"/>
          <w:color w:val="333333"/>
          <w:sz w:val="22"/>
          <w:szCs w:val="22"/>
        </w:rPr>
        <w:t xml:space="preserve">NETL Reference Capital Costs — Exhibit 5-6, Ammonia Greenfield, 394,000 t/yr, Dec 2018$, LA baseline. Total Plant Cost = $37,347K. Each line item scales independently. Exponent cells are color-coded:</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1600"/>
        <w:gridCol w:w="400"/>
        <w:gridCol w:w="1600"/>
        <w:gridCol w:w="400"/>
        <w:gridCol w:w="1600"/>
      </w:tblGrid>
      <w:tr>
        <w:tc>
          <w:tcPr>
            <w:tcW w:type="dxa" w:w="1600"/>
            <w:tcBorders>
              <w:top w:val="single" w:color="CCCCCC" w:sz="1"/>
              <w:left w:val="single" w:color="CCCCCC" w:sz="1"/>
              <w:bottom w:val="single" w:color="CCCCCC" w:sz="1"/>
              <w:right w:val="single" w:color="CCCCCC" w:sz="1"/>
            </w:tcBorders>
            <w:shd w:fill="C6EFCE"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0.6 = Standard</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FEB9C"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0.7 = Moderate</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CD5B4"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0.5 = Reduced</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600"/>
            <w:tcBorders>
              <w:top w:val="single" w:color="CCCCCC" w:sz="1"/>
              <w:left w:val="single" w:color="CCCCCC" w:sz="1"/>
              <w:bottom w:val="single" w:color="CCCCCC" w:sz="1"/>
              <w:right w:val="single" w:color="CCCCCC" w:sz="1"/>
            </w:tcBorders>
            <w:shd w:fill="F4CCCC" w:val="clear"/>
            <w:tcMar>
              <w:top w:type="dxa" w:w="80"/>
              <w:left w:type="dxa" w:w="80"/>
              <w:bottom w:type="dxa" w:w="80"/>
              <w:right w:type="dxa" w:w="80"/>
            </w:tcMar>
            <w:vAlign w:val="center"/>
          </w:tcPr>
          <w:p>
            <w:pPr>
              <w:jc w:val="center"/>
            </w:pPr>
            <w:r>
              <w:rPr>
                <w:rFonts w:ascii="Arial" w:cs="Arial" w:eastAsia="Arial" w:hAnsi="Arial"/>
                <w:b/>
                <w:bCs/>
                <w:color w:val="333333"/>
                <w:sz w:val="18"/>
                <w:szCs w:val="18"/>
              </w:rPr>
              <w:t xml:space="preserve">0.4 = Barely scales</w:t>
            </w:r>
          </w:p>
        </w:tc>
      </w:tr>
    </w:tbl>
    <w:p>
      <w:pPr>
        <w:spacing w:after="120"/>
      </w:pPr>
      <w:r>
        <w:rPr>
          <w:rFonts w:ascii="Arial" w:cs="Arial" w:eastAsia="Arial" w:hAnsi="Arial"/>
          <w:b/>
          <w:bCs/>
          <w:color w:val="1B6B4A"/>
          <w:sz w:val="22"/>
          <w:szCs w:val="22"/>
        </w:rPr>
        <w:t xml:space="preserve">Account 5 — Flue Gas Cleanup (Compression + Dehydration): $16,957K (45.4% of TPC)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TPC $K</w:t>
            </w:r>
          </w:p>
        </w:tc>
        <w:tc>
          <w:tcPr>
            <w:tcW w:type="dxa" w:w="7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TPC</w:t>
            </w:r>
          </w:p>
        </w:tc>
        <w:tc>
          <w:tcPr>
            <w:tcW w:type="dxa" w:w="7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w:t>
            </w:r>
          </w:p>
        </w:tc>
        <w:tc>
          <w:tcPr>
            <w:tcW w:type="dxa" w:w="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Floor</w:t>
            </w:r>
          </w:p>
        </w:tc>
        <w:tc>
          <w:tcPr>
            <w:tcW w:type="dxa" w:w="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w:t>
            </w:r>
          </w:p>
        </w:tc>
        <w:tc>
          <w:tcPr>
            <w:tcW w:type="dxa" w:w="1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Scaling Driver</w:t>
            </w:r>
          </w:p>
        </w:tc>
        <w:tc>
          <w:tcPr>
            <w:tcW w:type="dxa" w:w="18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Size / Step Change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Inlet Water Knockout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flow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Scales with vessel diameter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5.4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CO₂ Compression &amp; Drying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$12,960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34.7%</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flow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TRAIN LIMIT. Recip max ~50K ACFM/cyl. Switch to centrif at higher flows. Centrif max ~200K ACFM/casing.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Compressor Aftercooler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w/5.4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 5.4</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TEG Dryer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$3,977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10.6%</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flow</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Contactor diameter limit; parallel units at very high flows</w:t>
            </w:r>
          </w:p>
        </w:tc>
      </w:tr>
    </w:tbl>
    <w:p>
      <w:pPr>
        <w:spacing w:after="120"/>
      </w:pPr>
      <w:r>
        <w:rPr>
          <w:rFonts w:ascii="Arial" w:cs="Arial" w:eastAsia="Arial" w:hAnsi="Arial"/>
          <w:b/>
          <w:bCs/>
          <w:color w:val="1B6B4A"/>
          <w:sz w:val="22"/>
          <w:szCs w:val="22"/>
        </w:rPr>
        <w:t xml:space="preserve">Account 7 — Ductwork &amp; Stack: $391K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Ductwork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Cross-section area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Larger diameter; no hard limit</w:t>
            </w:r>
          </w:p>
        </w:tc>
      </w:tr>
    </w:tbl>
    <w:p>
      <w:pPr>
        <w:spacing w:after="120"/>
      </w:pPr>
      <w:r>
        <w:rPr>
          <w:rFonts w:ascii="Arial" w:cs="Arial" w:eastAsia="Arial" w:hAnsi="Arial"/>
          <w:b/>
          <w:bCs/>
          <w:color w:val="1B6B4A"/>
          <w:sz w:val="22"/>
          <w:szCs w:val="22"/>
        </w:rPr>
        <w:t xml:space="preserve">Account 9 — Cooling Water System: $1,528K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Cooling Towers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Heat rejection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Modular — add cells. No hard limit.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Pumps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flow rate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Add parallel pumps at high flow</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System Aux</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System size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Scales continuously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Piping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Pipe runs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Larger diameter pipe; no limit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Makeup Water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Water demand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Scales continuously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Component CW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0.2%</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Component count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Scales continuously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Foundations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0.2%</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Foundation size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 slab size; scales with tower</w:t>
            </w:r>
          </w:p>
        </w:tc>
      </w:tr>
    </w:tbl>
    <w:p>
      <w:pPr>
        <w:spacing w:after="120"/>
      </w:pPr>
      <w:r>
        <w:rPr>
          <w:rFonts w:ascii="Arial" w:cs="Arial" w:eastAsia="Arial" w:hAnsi="Arial"/>
          <w:b/>
          <w:bCs/>
          <w:color w:val="1B6B4A"/>
          <w:sz w:val="22"/>
          <w:szCs w:val="22"/>
        </w:rPr>
        <w:t xml:space="preserve">Account 11 — Accessory Electric Plant: $12,604K (33.7%)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Station Service Equip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$2,642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7.1%</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 switchgear</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Step change at bus ratings (1200A/2000A/3000A)</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Switchgear &amp; MCC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$4,432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11.9%</w:t>
            </w:r>
          </w:p>
        </w:tc>
        <w:tc>
          <w:tcPr>
            <w:tcW w:type="dxa" w:w="7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 MCC panel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Add sections to MCC; step at ~40 buckets/section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Conduit &amp; Cable Tray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$1,906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5.1%</w:t>
            </w:r>
          </w:p>
        </w:tc>
        <w:tc>
          <w:tcPr>
            <w:tcW w:type="dxa" w:w="7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Cable run length</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Larger trays or parallel runs; no hard limit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Wire &amp; Cable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$3,624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9.7%</w:t>
            </w:r>
          </w:p>
        </w:tc>
        <w:tc>
          <w:tcPr>
            <w:tcW w:type="dxa" w:w="7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Wire length</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Larger conductors; step at cable size transitions</w:t>
            </w:r>
          </w:p>
        </w:tc>
      </w:tr>
    </w:tbl>
    <w:p>
      <w:pPr>
        <w:spacing w:after="120"/>
      </w:pPr>
      <w:r>
        <w:rPr>
          <w:rFonts w:ascii="Arial" w:cs="Arial" w:eastAsia="Arial" w:hAnsi="Arial"/>
          <w:b/>
          <w:bCs/>
          <w:color w:val="1B6B4A"/>
          <w:sz w:val="22"/>
          <w:szCs w:val="22"/>
        </w:rPr>
        <w:t xml:space="preserve">Account 12 — Instrumentation &amp; Control: $4,518K (12.1%)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Instrument Wiring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$2,489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6.7%</w:t>
            </w:r>
          </w:p>
        </w:tc>
        <w:tc>
          <w:tcPr>
            <w:tcW w:type="dxa" w:w="7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I/O loop count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Add I/O cards to DCS; modular expansion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Other I&amp;C Equipment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$2,029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5.4%</w:t>
            </w:r>
          </w:p>
        </w:tc>
        <w:tc>
          <w:tcPr>
            <w:tcW w:type="dxa" w:w="700"/>
            <w:tcBorders>
              <w:top w:val="single" w:color="CCCCCC" w:sz="1"/>
              <w:left w:val="single" w:color="CCCCCC" w:sz="1"/>
              <w:bottom w:val="single" w:color="CCCCCC" w:sz="1"/>
              <w:right w:val="single" w:color="CCCCCC" w:sz="1"/>
            </w:tcBorders>
            <w:shd w:fill="FCD5B4"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Same DCS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One DCS handles any size. Add controllers/cabinets. No limit.</w:t>
            </w:r>
          </w:p>
        </w:tc>
      </w:tr>
    </w:tbl>
    <w:p>
      <w:pPr>
        <w:spacing w:after="120"/>
      </w:pPr>
      <w:r>
        <w:rPr>
          <w:rFonts w:ascii="Arial" w:cs="Arial" w:eastAsia="Arial" w:hAnsi="Arial"/>
          <w:b/>
          <w:bCs/>
          <w:color w:val="1B6B4A"/>
          <w:sz w:val="22"/>
          <w:szCs w:val="22"/>
        </w:rPr>
        <w:t xml:space="preserve">Account 13 — Improvements to Site: $1,325K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Site Preparation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$651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1.7%</w:t>
            </w:r>
          </w:p>
        </w:tc>
        <w:tc>
          <w:tcPr>
            <w:tcW w:type="dxa" w:w="700"/>
            <w:tcBorders>
              <w:top w:val="single" w:color="CCCCCC" w:sz="1"/>
              <w:left w:val="single" w:color="CCCCCC" w:sz="1"/>
              <w:bottom w:val="single" w:color="CCCCCC" w:sz="1"/>
              <w:right w:val="single" w:color="CCCCCC" w:sz="1"/>
            </w:tcBorders>
            <w:shd w:fill="FCD5B4"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 footprint</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Scales with plot area; area ~ sR^0.5</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Site Improvements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$336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w:t>
            </w:r>
          </w:p>
        </w:tc>
        <w:tc>
          <w:tcPr>
            <w:tcW w:type="dxa" w:w="7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Roads/drainage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Same road network; slightly more paving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Site Facilities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w:t>
            </w:r>
          </w:p>
        </w:tc>
        <w:tc>
          <w:tcPr>
            <w:tcW w:type="dxa" w:w="7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 facilities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Same warehouse, laydown; near-fixed</w:t>
            </w:r>
          </w:p>
        </w:tc>
      </w:tr>
    </w:tbl>
    <w:p>
      <w:pPr>
        <w:spacing w:after="120"/>
      </w:pPr>
      <w:r>
        <w:rPr>
          <w:rFonts w:ascii="Arial" w:cs="Arial" w:eastAsia="Arial" w:hAnsi="Arial"/>
          <w:b/>
          <w:bCs/>
          <w:color w:val="1B6B4A"/>
          <w:sz w:val="22"/>
          <w:szCs w:val="22"/>
        </w:rPr>
        <w:t xml:space="preserve">Account 14 — Buildings &amp; Structures: $23K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900"/>
        <w:gridCol w:w="700"/>
        <w:gridCol w:w="700"/>
        <w:gridCol w:w="600"/>
        <w:gridCol w:w="600"/>
        <w:gridCol w:w="1400"/>
        <w:gridCol w:w="1860"/>
      </w:tblGrid>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Pumphouse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w:t>
            </w:r>
          </w:p>
        </w:tc>
        <w:tc>
          <w:tcPr>
            <w:tcW w:type="dxa" w:w="7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Shared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Min structure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Same enclosure; near-fixed cost</w:t>
            </w:r>
          </w:p>
        </w:tc>
      </w:tr>
    </w:tbl>
    <w:p>
      <w:pPr>
        <w:spacing w:after="120"/>
      </w:pPr>
      <w:r>
        <w:rPr>
          <w:rFonts w:ascii="Arial" w:cs="Arial" w:eastAsia="Arial" w:hAnsi="Arial"/>
          <w:color w:val="333333"/>
          <w:sz w:val="22"/>
          <w:szCs w:val="22"/>
        </w:rPr>
        <w:t xml:space="preserve">Key insight: Item 5.4 (CO₂ Compression) is the TRAIN LIMIT driver. It’s 34.7% of TPC and the compressor is the first equipment to hit a physical maximum. Everything else either scales continuously (cooling towers add cells, DCS adds I/O cards) or has discrete step changes (switchgear bus ratings) but doesn’t force a second capture train.</w:t>
      </w:r>
    </w:p>
    <w:p>
      <w:pPr>
        <w:spacing w:after="120"/>
      </w:pPr>
      <w:r>
        <w:rPr>
          <w:rFonts w:ascii="Arial" w:cs="Arial" w:eastAsia="Arial" w:hAnsi="Arial"/>
          <w:color w:val="333333"/>
          <w:sz w:val="22"/>
          <w:szCs w:val="22"/>
        </w:rPr>
        <w:t xml:space="preserve">Category column defines behavior for Tier C (multi-train): ‘Core’ items multiply per train with 7% multi-train discount. ‘Shared’ items scale across trains at reduced exponent (0.4). Floor column defines minimum scaling factor for Tier A (small plants) — the item cost never drops below Floor × Reference Cost regardless of sR.</w:t>
      </w:r>
    </w:p>
    <w:p>
      <w:pPr>
        <w:spacing w:after="120"/>
      </w:pPr>
      <w:r>
        <w:rPr>
          <w:rFonts w:ascii="Arial" w:cs="Arial" w:eastAsia="Arial" w:hAnsi="Arial"/>
          <w:b/>
          <w:bCs/>
          <w:color w:val="1B6B4A"/>
          <w:sz w:val="22"/>
          <w:szCs w:val="22"/>
        </w:rPr>
        <w:t xml:space="preserve">Three-Tier Scaling Logic:</w:t>
      </w:r>
    </w:p>
    <w:p>
      <w:pPr>
        <w:spacing w:after="120"/>
      </w:pPr>
      <w:r>
        <w:rPr>
          <w:rFonts w:ascii="Arial" w:cs="Arial" w:eastAsia="Arial" w:hAnsi="Arial"/>
          <w:b/>
          <w:bCs/>
          <w:color w:val="2D5B9E"/>
          <w:sz w:val="22"/>
          <w:szCs w:val="22"/>
        </w:rPr>
        <w:t xml:space="preserve">Tier A (sR &lt; 0.3): </w:t>
      </w:r>
      <w:r>
        <w:rPr>
          <w:rFonts w:ascii="Arial" w:cs="Arial" w:eastAsia="Arial" w:hAnsi="Arial"/>
          <w:color w:val="333333"/>
          <w:sz w:val="22"/>
          <w:szCs w:val="22"/>
        </w:rPr>
        <w:t xml:space="preserve">Per-item scaling with floors</w:t>
      </w:r>
    </w:p>
    <w:p>
      <w:pPr>
        <w:spacing w:after="80"/>
        <w:ind w:left="360"/>
      </w:pPr>
      <w:r>
        <w:rPr>
          <w:rFonts w:ascii="Arial" w:cs="Arial" w:eastAsia="Arial" w:hAnsi="Arial"/>
          <w:b/>
          <w:bCs/>
          <w:color w:val="2D5B9E"/>
          <w:sz w:val="20"/>
          <w:szCs w:val="20"/>
        </w:rPr>
        <w:t xml:space="preserve">Item Cost = max(Ref Cost × sR^exponent, Ref Cost × Floor)</w:t>
      </w:r>
    </w:p>
    <w:p>
      <w:pPr>
        <w:spacing w:after="80"/>
        <w:ind w:left="360"/>
      </w:pPr>
      <w:r>
        <w:rPr>
          <w:rFonts w:ascii="Arial" w:cs="Arial" w:eastAsia="Arial" w:hAnsi="Arial"/>
          <w:b/>
          <w:bCs/>
          <w:color w:val="2D5B9E"/>
          <w:sz w:val="20"/>
          <w:szCs w:val="20"/>
        </w:rPr>
        <w:t xml:space="preserve">TPC = Σ all items</w:t>
      </w:r>
    </w:p>
    <w:p>
      <w:pPr>
        <w:spacing w:after="120"/>
      </w:pPr>
      <w:r>
        <w:rPr>
          <w:rFonts w:ascii="Arial" w:cs="Arial" w:eastAsia="Arial" w:hAnsi="Arial"/>
          <w:b/>
          <w:bCs/>
          <w:color w:val="2D5B9E"/>
          <w:sz w:val="22"/>
          <w:szCs w:val="22"/>
        </w:rPr>
        <w:t xml:space="preserve">Tier B (0.3 ≤ sR ≤ 3.0): </w:t>
      </w:r>
      <w:r>
        <w:rPr>
          <w:rFonts w:ascii="Arial" w:cs="Arial" w:eastAsia="Arial" w:hAnsi="Arial"/>
          <w:color w:val="333333"/>
          <w:sz w:val="22"/>
          <w:szCs w:val="22"/>
        </w:rPr>
        <w:t xml:space="preserve">Per-item scaling, no floors</w:t>
      </w:r>
    </w:p>
    <w:p>
      <w:pPr>
        <w:spacing w:after="80"/>
        <w:ind w:left="360"/>
      </w:pPr>
      <w:r>
        <w:rPr>
          <w:rFonts w:ascii="Arial" w:cs="Arial" w:eastAsia="Arial" w:hAnsi="Arial"/>
          <w:b/>
          <w:bCs/>
          <w:color w:val="2D5B9E"/>
          <w:sz w:val="20"/>
          <w:szCs w:val="20"/>
        </w:rPr>
        <w:t xml:space="preserve">Item Cost = Ref Cost × sR^exponent</w:t>
      </w:r>
    </w:p>
    <w:p>
      <w:pPr>
        <w:spacing w:after="80"/>
        <w:ind w:left="360"/>
      </w:pPr>
      <w:r>
        <w:rPr>
          <w:rFonts w:ascii="Arial" w:cs="Arial" w:eastAsia="Arial" w:hAnsi="Arial"/>
          <w:b/>
          <w:bCs/>
          <w:color w:val="2D5B9E"/>
          <w:sz w:val="20"/>
          <w:szCs w:val="20"/>
        </w:rPr>
        <w:t xml:space="preserve">TPC = Σ all items</w:t>
      </w:r>
    </w:p>
    <w:p>
      <w:pPr>
        <w:spacing w:after="120"/>
      </w:pPr>
      <w:r>
        <w:rPr>
          <w:rFonts w:ascii="Arial" w:cs="Arial" w:eastAsia="Arial" w:hAnsi="Arial"/>
          <w:color w:val="333333"/>
          <w:sz w:val="22"/>
          <w:szCs w:val="22"/>
        </w:rPr>
        <w:t xml:space="preserve">For most items exponent = 0.6. Exceptions: conduit/cable (0.7), I&amp;C (0.5–0.7), site (0.4–0.5).</w:t>
      </w:r>
    </w:p>
    <w:p>
      <w:pPr>
        <w:spacing w:after="120"/>
      </w:pPr>
      <w:r>
        <w:rPr>
          <w:rFonts w:ascii="Arial" w:cs="Arial" w:eastAsia="Arial" w:hAnsi="Arial"/>
          <w:b/>
          <w:bCs/>
          <w:color w:val="2D5B9E"/>
          <w:sz w:val="22"/>
          <w:szCs w:val="22"/>
        </w:rPr>
        <w:t xml:space="preserve">Tier C (sR &gt; 3.0): </w:t>
      </w:r>
      <w:r>
        <w:rPr>
          <w:rFonts w:ascii="Arial" w:cs="Arial" w:eastAsia="Arial" w:hAnsi="Arial"/>
          <w:color w:val="333333"/>
          <w:sz w:val="22"/>
          <w:szCs w:val="22"/>
        </w:rPr>
        <w:t xml:space="preserve">Multi-train</w:t>
      </w:r>
    </w:p>
    <w:p>
      <w:pPr>
        <w:spacing w:after="80"/>
        <w:ind w:left="360"/>
      </w:pPr>
      <w:r>
        <w:rPr>
          <w:rFonts w:ascii="Arial" w:cs="Arial" w:eastAsia="Arial" w:hAnsi="Arial"/>
          <w:b/>
          <w:bCs/>
          <w:color w:val="2D5B9E"/>
          <w:sz w:val="20"/>
          <w:szCs w:val="20"/>
        </w:rPr>
        <w:t xml:space="preserve">Num Trains = ceil(User Capacity ÷ 1,200,000 t NH₃/yr)</w:t>
      </w:r>
    </w:p>
    <w:p>
      <w:pPr>
        <w:spacing w:after="80"/>
        <w:ind w:left="360"/>
      </w:pPr>
      <w:r>
        <w:rPr>
          <w:rFonts w:ascii="Arial" w:cs="Arial" w:eastAsia="Arial" w:hAnsi="Arial"/>
          <w:b/>
          <w:bCs/>
          <w:color w:val="2D5B9E"/>
          <w:sz w:val="20"/>
          <w:szCs w:val="20"/>
        </w:rPr>
        <w:t xml:space="preserve">Per-train sR = (User Capacity ÷ Num Trains) ÷ 394,000</w:t>
      </w:r>
    </w:p>
    <w:p>
      <w:pPr>
        <w:spacing w:after="80"/>
        <w:ind w:left="360"/>
      </w:pPr>
      <w:r>
        <w:rPr>
          <w:rFonts w:ascii="Arial" w:cs="Arial" w:eastAsia="Arial" w:hAnsi="Arial"/>
          <w:b/>
          <w:bCs/>
          <w:color w:val="2D5B9E"/>
          <w:sz w:val="20"/>
          <w:szCs w:val="20"/>
        </w:rPr>
        <w:t xml:space="preserve">Core items (Acct 5, 7): Per-train cost × Num Trains × 0.93</w:t>
      </w:r>
    </w:p>
    <w:p>
      <w:pPr>
        <w:spacing w:after="80"/>
        <w:ind w:left="360"/>
      </w:pPr>
      <w:r>
        <w:rPr>
          <w:rFonts w:ascii="Arial" w:cs="Arial" w:eastAsia="Arial" w:hAnsi="Arial"/>
          <w:b/>
          <w:bCs/>
          <w:color w:val="2D5B9E"/>
          <w:sz w:val="20"/>
          <w:szCs w:val="20"/>
        </w:rPr>
        <w:t xml:space="preserve">Shared items (Acct 9, 11, 12, 13, 14): Per-train cost × Num Trains^0.4</w:t>
      </w:r>
    </w:p>
    <w:p>
      <w:pPr>
        <w:spacing w:after="80"/>
        <w:ind w:left="360"/>
      </w:pPr>
      <w:r>
        <w:rPr>
          <w:rFonts w:ascii="Arial" w:cs="Arial" w:eastAsia="Arial" w:hAnsi="Arial"/>
          <w:b/>
          <w:bCs/>
          <w:color w:val="2D5B9E"/>
          <w:sz w:val="20"/>
          <w:szCs w:val="20"/>
        </w:rPr>
        <w:t xml:space="preserve">TPC = Core Total + Shared Total</w:t>
      </w:r>
    </w:p>
    <w:p>
      <w:pPr>
        <w:spacing w:after="120"/>
      </w:pPr>
      <w:r>
        <w:rPr>
          <w:rFonts w:ascii="Arial" w:cs="Arial" w:eastAsia="Arial" w:hAnsi="Arial"/>
          <w:color w:val="333333"/>
          <w:sz w:val="22"/>
          <w:szCs w:val="22"/>
        </w:rPr>
        <w:t xml:space="preserve">Maximum single train capacities and scaling limits by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200"/>
        <w:gridCol w:w="2360"/>
      </w:tblGrid>
      <w:tr>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Max Single Train</w:t>
            </w:r>
          </w:p>
        </w:tc>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Scaling Exponent</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3x Ref =</w:t>
            </w:r>
          </w:p>
        </w:tc>
        <w:tc>
          <w:tcPr>
            <w:tcW w:type="dxa" w:w="2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Train Limit Driver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(syngas)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~1.2M t NH₃/yr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1.18M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Compressor/vessel size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Refinery H₂ (SMR)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~237,000 t H₂/yr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261,000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PSA switching valve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Merchant H₂ (ATR)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~400,000 t H₂/yr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261,000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ATR reactor + ASU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Ethylene Oxide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~600,000 t EO/yr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1.09M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Compressor (recip → centrif)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Ethanol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~150M gal/yr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Compressor (recip → centrif)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 Processing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~1.5M t CO₂/yr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1.66M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Centrifugal compressor limit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~4M t cement/yr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Absorber column diameter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Steel (per train)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~7.5M t steel/yr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7.6M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Rarely exceeded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Pulp &amp; Paper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~1.2M t pulp/yr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Absorber size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NGCC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Within range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Full fleet within 1.2x of refs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Within range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Full fleet within range of ref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Biomass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~200 MW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 MW</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Fuel supply logistics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DAC (solid)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 limit (modular)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0.85–0.95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300,000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Add modules, nearly linear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DAC (liquid)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~500,000 t CO₂/yr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300,000</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Calciner + ASU</w:t>
            </w:r>
          </w:p>
        </w:tc>
      </w:tr>
    </w:tbl>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120"/>
      </w:pPr>
      <w:r>
        <w:rPr>
          <w:rFonts w:ascii="Arial" w:cs="Arial" w:eastAsia="Arial" w:hAnsi="Arial"/>
          <w:color w:val="333333"/>
          <w:sz w:val="22"/>
          <w:szCs w:val="22"/>
        </w:rPr>
        <w:t xml:space="preserve">Five factors convert NETL reference costs to the user’s project. Each is explained below with the ammonia example values.</w:t>
      </w:r>
    </w:p>
    <w:p>
      <w:pPr>
        <w:spacing w:after="120"/>
      </w:pPr>
      <w:r>
        <w:rPr>
          <w:rFonts w:ascii="Arial" w:cs="Arial" w:eastAsia="Arial" w:hAnsi="Arial"/>
          <w:b/>
          <w:bCs/>
          <w:color w:val="2D5B9E"/>
          <w:sz w:val="22"/>
          <w:szCs w:val="22"/>
        </w:rPr>
        <w:t xml:space="preserve">Factor 1 — CEPCI Ratio (inflation): </w:t>
      </w:r>
      <w:r>
        <w:rPr>
          <w:rFonts w:ascii="Arial" w:cs="Arial" w:eastAsia="Arial" w:hAnsi="Arial"/>
          <w:color w:val="333333"/>
          <w:sz w:val="22"/>
          <w:szCs w:val="22"/>
        </w:rPr>
        <w:t xml:space="preserve">Adjusts from 2018$ to user’s cost year.</w:t>
      </w:r>
    </w:p>
    <w:p>
      <w:pPr>
        <w:spacing w:after="80"/>
        <w:ind w:left="360"/>
      </w:pPr>
      <w:r>
        <w:rPr>
          <w:rFonts w:ascii="Arial" w:cs="Arial" w:eastAsia="Arial" w:hAnsi="Arial"/>
          <w:b/>
          <w:bCs/>
          <w:color w:val="2D5B9E"/>
          <w:sz w:val="20"/>
          <w:szCs w:val="20"/>
        </w:rPr>
        <w:t xml:space="preserve">CEPCI Ratio = CEPCI[2024] ÷ CEPCI[2018] = 810.5 ÷ 603.1 = 1.344</w:t>
      </w:r>
    </w:p>
    <w:p>
      <w:pPr>
        <w:spacing w:after="120"/>
      </w:pPr>
      <w:r>
        <w:rPr>
          <w:rFonts w:ascii="Arial" w:cs="Arial" w:eastAsia="Arial" w:hAnsi="Arial"/>
          <w:color w:val="333333"/>
          <w:sz w:val="22"/>
          <w:szCs w:val="22"/>
        </w:rPr>
        <w:t xml:space="preserve">Everything costs 34.4% more in 2024 than 2018. CEPCI is the standard chemical plant cost inflation index. Applied to all CAPEX and OPEX.</w:t>
      </w:r>
    </w:p>
    <w:p>
      <w:pPr>
        <w:spacing w:after="120"/>
      </w:pPr>
      <w:r>
        <w:rPr>
          <w:rFonts w:ascii="Arial" w:cs="Arial" w:eastAsia="Arial" w:hAnsi="Arial"/>
          <w:b/>
          <w:bCs/>
          <w:color w:val="2D5B9E"/>
          <w:sz w:val="22"/>
          <w:szCs w:val="22"/>
        </w:rPr>
        <w:t xml:space="preserve">Factor 2 — Location Ratio (geography): </w:t>
      </w:r>
      <w:r>
        <w:rPr>
          <w:rFonts w:ascii="Arial" w:cs="Arial" w:eastAsia="Arial" w:hAnsi="Arial"/>
          <w:color w:val="333333"/>
          <w:sz w:val="22"/>
          <w:szCs w:val="22"/>
        </w:rPr>
        <w:t xml:space="preserve">Adjusts from NETL’s LA baseline to user’s state.</w:t>
      </w:r>
    </w:p>
    <w:p>
      <w:pPr>
        <w:spacing w:after="80"/>
        <w:ind w:left="360"/>
      </w:pPr>
      <w:r>
        <w:rPr>
          <w:rFonts w:ascii="Arial" w:cs="Arial" w:eastAsia="Arial" w:hAnsi="Arial"/>
          <w:b/>
          <w:bCs/>
          <w:color w:val="2D5B9E"/>
          <w:sz w:val="20"/>
          <w:szCs w:val="20"/>
        </w:rPr>
        <w:t xml:space="preserve">Location Ratio = LF[TX] ÷ LF[LA] = 0.93 ÷ 0.97 = 0.959</w:t>
      </w:r>
    </w:p>
    <w:p>
      <w:pPr>
        <w:spacing w:after="120"/>
      </w:pPr>
      <w:r>
        <w:rPr>
          <w:rFonts w:ascii="Arial" w:cs="Arial" w:eastAsia="Arial" w:hAnsi="Arial"/>
          <w:color w:val="333333"/>
          <w:sz w:val="22"/>
          <w:szCs w:val="22"/>
        </w:rPr>
        <w:t xml:space="preserve">Texas is 4.1% cheaper than Louisiana. Reflects differences in labor rates, material transport, permitting, and construction conditions. Applied to CAPEX only.</w:t>
      </w:r>
    </w:p>
    <w:p>
      <w:pPr>
        <w:spacing w:after="120"/>
      </w:pPr>
      <w:r>
        <w:rPr>
          <w:rFonts w:ascii="Arial" w:cs="Arial" w:eastAsia="Arial" w:hAnsi="Arial"/>
          <w:b/>
          <w:bCs/>
          <w:color w:val="2D5B9E"/>
          <w:sz w:val="22"/>
          <w:szCs w:val="22"/>
        </w:rPr>
        <w:t xml:space="preserve">Factor 3 — Technology Multiplier: </w:t>
      </w:r>
      <w:r>
        <w:rPr>
          <w:rFonts w:ascii="Arial" w:cs="Arial" w:eastAsia="Arial" w:hAnsi="Arial"/>
          <w:color w:val="333333"/>
          <w:sz w:val="22"/>
          <w:szCs w:val="22"/>
        </w:rPr>
        <w:t xml:space="preserve">Adjusts if user selects a different capture technology than the NETL baseline.</w:t>
      </w:r>
    </w:p>
    <w:p>
      <w:pPr>
        <w:spacing w:after="120"/>
      </w:pPr>
      <w:r>
        <w:rPr>
          <w:rFonts w:ascii="Arial" w:cs="Arial" w:eastAsia="Arial" w:hAnsi="Arial"/>
          <w:color w:val="333333"/>
          <w:sz w:val="22"/>
          <w:szCs w:val="22"/>
        </w:rPr>
        <w:t xml:space="preserve">The NETL reference cost assumes a specific technology. If the user chooses a different one, three multipliers adjust CAPEX, OPEX, and power consumption relative to the baseline. For ammonia syngas (high-purity, compression only), the compatible technologies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4160"/>
      </w:tblGrid>
      <w:tr>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CAPEX</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OPEX</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Power</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It Means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Amine (MEA)</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Baseline — no adjustment. This is what NETL modeled.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Advanced Amine</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1.08</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0.88</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 more CAPEX, but 12% lower OPEX and 15% less power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Membrane</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0.95</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 cheaper equipment, 30% less power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Cryogenic</w:t>
            </w:r>
          </w:p>
        </w:tc>
        <w:tc>
          <w:tcPr>
            <w:tcW w:type="dxa" w:w="10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1.10</w:t>
            </w:r>
          </w:p>
        </w:tc>
        <w:tc>
          <w:tcPr>
            <w:tcW w:type="dxa" w:w="10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 more CAPEX, 35% more power — expensive but high purity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MOF</w:t>
            </w:r>
          </w:p>
        </w:tc>
        <w:tc>
          <w:tcPr>
            <w:tcW w:type="dxa" w:w="10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1.35</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 more CAPEX but 30% lower OPEX, 35% less power. High learning rate.</w:t>
            </w:r>
          </w:p>
        </w:tc>
      </w:tr>
    </w:tbl>
    <w:p>
      <w:pPr>
        <w:spacing w:after="120"/>
      </w:pPr>
      <w:r>
        <w:rPr>
          <w:rFonts w:ascii="Arial" w:cs="Arial" w:eastAsia="Arial" w:hAnsi="Arial"/>
          <w:color w:val="333333"/>
          <w:sz w:val="22"/>
          <w:szCs w:val="22"/>
        </w:rPr>
        <w:t xml:space="preserve">For our example: MEA selected → Tech.capex = 1.00, Tech.opex = 1.00, Tech.power = 1.00 (no adjustment).</w:t>
      </w:r>
    </w:p>
    <w:p>
      <w:pPr>
        <w:spacing w:after="120"/>
      </w:pPr>
      <w:r>
        <w:rPr>
          <w:rFonts w:ascii="Arial" w:cs="Arial" w:eastAsia="Arial" w:hAnsi="Arial"/>
          <w:color w:val="333333"/>
          <w:sz w:val="22"/>
          <w:szCs w:val="22"/>
        </w:rPr>
        <w:t xml:space="preserve">Note: For post-combustion sources (NGCC, coal, cement), additional technologies are available (Solid Sorbent, CANSOLV, KS-1). For DAC, the technology selector switches the entire cost structure, not just a multiplier. See Section 8 for the full technology compatibility matrix.</w:t>
      </w:r>
    </w:p>
    <w:p>
      <w:pPr>
        <w:spacing w:after="120"/>
      </w:pPr>
      <w:r>
        <w:rPr>
          <w:rFonts w:ascii="Arial" w:cs="Arial" w:eastAsia="Arial" w:hAnsi="Arial"/>
          <w:b/>
          <w:bCs/>
          <w:color w:val="2D5B9E"/>
          <w:sz w:val="22"/>
          <w:szCs w:val="22"/>
        </w:rPr>
        <w:t xml:space="preserve">Factor 4 — Learning Rate: </w:t>
      </w:r>
      <w:r>
        <w:rPr>
          <w:rFonts w:ascii="Arial" w:cs="Arial" w:eastAsia="Arial" w:hAnsi="Arial"/>
          <w:color w:val="333333"/>
          <w:sz w:val="22"/>
          <w:szCs w:val="22"/>
        </w:rPr>
        <w:t xml:space="preserve">Cost reduction from cumulative technology deployment.</w:t>
      </w:r>
    </w:p>
    <w:p>
      <w:pPr>
        <w:spacing w:after="80"/>
        <w:ind w:left="360"/>
      </w:pPr>
      <w:r>
        <w:rPr>
          <w:rFonts w:ascii="Arial" w:cs="Arial" w:eastAsia="Arial" w:hAnsi="Arial"/>
          <w:b/>
          <w:bCs/>
          <w:color w:val="2D5B9E"/>
          <w:sz w:val="20"/>
          <w:szCs w:val="20"/>
        </w:rPr>
        <w:t xml:space="preserve">Learning = (1 – rate)^(COD Year – Base Year) = (1 – 0.005)^(2026 – 2018) = 0.995^8 = 0.961</w:t>
      </w:r>
    </w:p>
    <w:p>
      <w:pPr>
        <w:spacing w:after="120"/>
      </w:pPr>
      <w:r>
        <w:rPr>
          <w:rFonts w:ascii="Arial" w:cs="Arial" w:eastAsia="Arial" w:hAnsi="Arial"/>
          <w:color w:val="333333"/>
          <w:sz w:val="22"/>
          <w:szCs w:val="22"/>
        </w:rPr>
        <w:t xml:space="preserve">3.9% cost reduction from 8 years of incremental improvement. Barely noticeable for mature MEA amine (0.5%/yr). For comparison: MOF at 6%/yr over 8 years = 0.94^8 = 0.606 (39% reduction). DAC solid sorbent at 7%/yr = 0.93^8 = 0.558 (44% reduction). Learning rate comes from the technology table above.</w:t>
      </w:r>
    </w:p>
    <w:p>
      <w:pPr>
        <w:spacing w:after="120"/>
      </w:pPr>
      <w:r>
        <w:rPr>
          <w:rFonts w:ascii="Arial" w:cs="Arial" w:eastAsia="Arial" w:hAnsi="Arial"/>
          <w:b/>
          <w:bCs/>
          <w:color w:val="2D5B9E"/>
          <w:sz w:val="22"/>
          <w:szCs w:val="22"/>
        </w:rPr>
        <w:t xml:space="preserve">Factor 5 — Retrofit Difficulty Factor (RDF): </w:t>
      </w:r>
      <w:r>
        <w:rPr>
          <w:rFonts w:ascii="Arial" w:cs="Arial" w:eastAsia="Arial" w:hAnsi="Arial"/>
          <w:color w:val="333333"/>
          <w:sz w:val="22"/>
          <w:szCs w:val="22"/>
        </w:rPr>
        <w:t xml:space="preserve">Extra cost for building on an existing plant site.</w:t>
      </w:r>
    </w:p>
    <w:p>
      <w:pPr>
        <w:spacing w:after="80"/>
        <w:ind w:left="360"/>
      </w:pPr>
      <w:r>
        <w:rPr>
          <w:rFonts w:ascii="Arial" w:cs="Arial" w:eastAsia="Arial" w:hAnsi="Arial"/>
          <w:b/>
          <w:bCs/>
          <w:color w:val="2D5B9E"/>
          <w:sz w:val="20"/>
          <w:szCs w:val="20"/>
        </w:rPr>
        <w:t xml:space="preserve">RDF = 1.01 (ammonia syngas, high-purity retrofit)</w:t>
      </w:r>
    </w:p>
    <w:p>
      <w:pPr>
        <w:spacing w:after="120"/>
      </w:pPr>
      <w:r>
        <w:rPr>
          <w:rFonts w:ascii="Arial" w:cs="Arial" w:eastAsia="Arial" w:hAnsi="Arial"/>
          <w:color w:val="333333"/>
          <w:sz w:val="22"/>
          <w:szCs w:val="22"/>
        </w:rPr>
        <w:t xml:space="preserve">Compression equipment is relatively standalone — minimal tie-ins to existing plant, hence only 1% premium. For comparison: NGCC = 1.09, refinery H₂ = 1.10 (congested site), general industrial = 1.05. Greenfield RDF = 1.00 always.</w:t>
      </w:r>
    </w:p>
    <w:p>
      <w:pPr>
        <w:spacing w:after="120"/>
      </w:pPr>
      <w:r>
        <w:rPr>
          <w:rFonts w:ascii="Arial" w:cs="Arial" w:eastAsia="Arial" w:hAnsi="Arial"/>
          <w:b/>
          <w:bCs/>
          <w:color w:val="1B6B4A"/>
          <w:sz w:val="22"/>
          <w:szCs w:val="22"/>
        </w:rPr>
        <w:t xml:space="preserve">Combined Adjustment: </w:t>
      </w:r>
    </w:p>
    <w:p>
      <w:pPr>
        <w:spacing w:after="80"/>
        <w:ind w:left="360"/>
      </w:pPr>
      <w:r>
        <w:rPr>
          <w:rFonts w:ascii="Arial" w:cs="Arial" w:eastAsia="Arial" w:hAnsi="Arial"/>
          <w:b/>
          <w:bCs/>
          <w:color w:val="2D5B9E"/>
          <w:sz w:val="20"/>
          <w:szCs w:val="20"/>
        </w:rPr>
        <w:t xml:space="preserve">Total = CEPCI × Location × Tech.capex × Learning × RDF</w:t>
      </w:r>
    </w:p>
    <w:p>
      <w:pPr>
        <w:spacing w:after="80"/>
        <w:ind w:left="360"/>
      </w:pPr>
      <w:r>
        <w:rPr>
          <w:rFonts w:ascii="Arial" w:cs="Arial" w:eastAsia="Arial" w:hAnsi="Arial"/>
          <w:b/>
          <w:bCs/>
          <w:color w:val="2D5B9E"/>
          <w:sz w:val="20"/>
          <w:szCs w:val="20"/>
        </w:rPr>
        <w:t xml:space="preserve">Total = 1.344 × 0.959 × 1.00 × 0.961 × 1.01 = 1.250</w:t>
      </w:r>
    </w:p>
    <w:p>
      <w:pPr>
        <w:spacing w:after="120"/>
      </w:pPr>
      <w:r>
        <w:rPr>
          <w:rFonts w:ascii="Arial" w:cs="Arial" w:eastAsia="Arial" w:hAnsi="Arial"/>
          <w:color w:val="333333"/>
          <w:sz w:val="22"/>
          <w:szCs w:val="22"/>
        </w:rPr>
        <w:t xml:space="preserve">NETL reference costs increase by 25.0%. CEPCI inflation (+34.4%) is the dominant driver, partially offset by Texas being cheaper (–4.1%) and learning (–3.9%).</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Combine the per-item scaling from Step 2 with the adjustment factors from Step 3. Each line item is scaled at its own exponent, then the combined adjustment (1.250) is applied.</w:t>
      </w:r>
    </w:p>
    <w:p>
      <w:pPr>
        <w:spacing w:after="120"/>
      </w:pPr>
      <w:r>
        <w:rPr>
          <w:rFonts w:ascii="Arial" w:cs="Arial" w:eastAsia="Arial" w:hAnsi="Arial"/>
          <w:b/>
          <w:bCs/>
          <w:color w:val="1B6B4A"/>
          <w:sz w:val="22"/>
          <w:szCs w:val="22"/>
        </w:rPr>
        <w:t xml:space="preserve">Worked Example — 500K t NH₃/yr, sR = 1.269, Tier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800"/>
        <w:gridCol w:w="1000"/>
        <w:gridCol w:w="700"/>
        <w:gridCol w:w="1000"/>
        <w:gridCol w:w="1000"/>
        <w:gridCol w:w="1260"/>
      </w:tblGrid>
      <w:tr>
        <w:tc>
          <w:tcPr>
            <w:tcW w:type="dxa" w:w="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 $K</w:t>
            </w:r>
          </w:p>
        </w:tc>
        <w:tc>
          <w:tcPr>
            <w:tcW w:type="dxa" w:w="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sR^exp</w:t>
            </w:r>
          </w:p>
        </w:tc>
        <w:tc>
          <w:tcPr>
            <w:tcW w:type="dxa" w:w="7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Scaled $K</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Adj $K</w:t>
            </w:r>
          </w:p>
        </w:tc>
        <w:tc>
          <w:tcPr>
            <w:tcW w:type="dxa" w:w="12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Total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Inlet Knockout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5.4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CO₂ Compression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$12,960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$14,995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$18,743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34.6%</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TEG Dryer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$3,977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$4,602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$5,752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10.6%</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Ductwork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$452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$566</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Cooling Water (all)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$1,528</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$1,768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$2,210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Station Service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$2,642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$3,821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7.1%</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Switchgear/MCC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$4,432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$5,128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$6,410</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11.9%</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Conduit/Cable Tray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$1,906</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$2,257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$2,821</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5.2%</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Wire &amp; Cable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$3,624</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$4,291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$5,363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9.9%</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Instrument Wiring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$2,489</w:t>
            </w:r>
          </w:p>
        </w:tc>
        <w:tc>
          <w:tcPr>
            <w:tcW w:type="dxa" w:w="8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1.184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$2,947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$3,684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6.8%</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Other I&amp;C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$2,029</w:t>
            </w:r>
          </w:p>
        </w:tc>
        <w:tc>
          <w:tcPr>
            <w:tcW w:type="dxa" w:w="800"/>
            <w:tcBorders>
              <w:top w:val="single" w:color="CCCCCC" w:sz="1"/>
              <w:left w:val="single" w:color="CCCCCC" w:sz="1"/>
              <w:bottom w:val="single" w:color="CCCCCC" w:sz="1"/>
              <w:right w:val="single" w:color="CCCCCC" w:sz="1"/>
            </w:tcBorders>
            <w:shd w:fill="FCD5B4"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1.127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$2,287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$2,858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5.3%</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Site (all)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$1,326</w:t>
            </w:r>
          </w:p>
        </w:tc>
        <w:tc>
          <w:tcPr>
            <w:tcW w:type="dxa" w:w="8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0.4–0.5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$1,475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$1,843</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3.4%</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CW Pumphouse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$23</w:t>
            </w:r>
          </w:p>
        </w:tc>
        <w:tc>
          <w:tcPr>
            <w:tcW w:type="dxa" w:w="8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1.098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$32</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w:t>
            </w:r>
          </w:p>
        </w:tc>
      </w:tr>
    </w:tbl>
    <w:p>
      <w:pPr>
        <w:spacing w:after="120"/>
      </w:pPr>
      <w:r>
        <w:rPr>
          <w:rFonts w:ascii="Arial" w:cs="Arial" w:eastAsia="Arial" w:hAnsi="Arial"/>
          <w:b/>
          <w:bCs/>
          <w:color w:val="1B6B4A"/>
          <w:sz w:val="22"/>
          <w:szCs w:val="22"/>
        </w:rPr>
        <w:t xml:space="preserve">Adjusted TPC = $54,131K</w:t>
      </w:r>
    </w:p>
    <w:p>
      <w:pPr>
        <w:spacing w:after="120"/>
      </w:pPr>
      <w:r>
        <w:rPr>
          <w:rFonts w:ascii="Arial" w:cs="Arial" w:eastAsia="Arial" w:hAnsi="Arial"/>
          <w:color w:val="333333"/>
          <w:sz w:val="22"/>
          <w:szCs w:val="22"/>
        </w:rPr>
        <w:t xml:space="preserve">Note how items with different exponents scale differently. The 0.7 exponent items (cables, wiring) scale slightly more than the 0.6 items at this sR. At sR &lt; 1.0 the effect reverses — items with lower exponents (site, I&amp;C) become proportionally more expensive.</w:t>
      </w:r>
    </w:p>
    <w:p>
      <w:pPr>
        <w:spacing w:after="120"/>
      </w:pPr>
      <w:r>
        <w:rPr>
          <w:rFonts w:ascii="Arial" w:cs="Arial" w:eastAsia="Arial" w:hAnsi="Arial"/>
          <w:b/>
          <w:bCs/>
          <w:color w:val="2D5B9E"/>
          <w:sz w:val="22"/>
          <w:szCs w:val="22"/>
        </w:rPr>
        <w:t xml:space="preserve">Owner’s Costs (QGESS methodology, calculated from adjusted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Calculation</w:t>
            </w:r>
          </w:p>
        </w:tc>
        <w:tc>
          <w:tcPr>
            <w:tcW w:type="dxa" w:w="2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Amount ($K)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Other Owner’s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 × $54,131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$8,120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Financing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2.7% × $54,131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$1,462</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Preproduction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 TPC + 6mo FO + 1mo VO</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~$2,175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Inventory Capital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 × $54,131</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$271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Land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Fixed (does not scale)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Total Owner’s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$12,178</w:t>
            </w:r>
          </w:p>
        </w:tc>
      </w:tr>
    </w:tbl>
    <w:p>
      <w:pPr>
        <w:spacing w:after="120"/>
      </w:pPr>
      <w:r>
        <w:rPr>
          <w:rFonts w:ascii="Arial" w:cs="Arial" w:eastAsia="Arial" w:hAnsi="Arial"/>
          <w:b/>
          <w:bCs/>
          <w:color w:val="1B6B4A"/>
          <w:sz w:val="22"/>
          <w:szCs w:val="22"/>
        </w:rPr>
        <w:t xml:space="preserve">CAPEX = Adj TPC + Owner’s Costs = $54,131 + $12,178 = $66,309K</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120"/>
      </w:pPr>
      <w:r>
        <w:rPr>
          <w:rFonts w:ascii="Arial" w:cs="Arial" w:eastAsia="Arial" w:hAnsi="Arial"/>
          <w:color w:val="333333"/>
          <w:sz w:val="22"/>
          <w:szCs w:val="22"/>
        </w:rPr>
        <w:t xml:space="preserve">The capital converts the one-time CAPEX into an annual cost per tonne of CO₂ captured. It answers: if I spend $66.3M upfront, what is the annual payment I need to recover that investment over the project life at my cost of capital?</w:t>
      </w:r>
    </w:p>
    <w:p>
      <w:pPr>
        <w:spacing w:after="120"/>
      </w:pPr>
      <w:r>
        <w:rPr>
          <w:rFonts w:ascii="Arial" w:cs="Arial" w:eastAsia="Arial" w:hAnsi="Arial"/>
          <w:b/>
          <w:bCs/>
          <w:color w:val="2D5B9E"/>
          <w:sz w:val="22"/>
          <w:szCs w:val="22"/>
        </w:rPr>
        <w:t xml:space="preserve">WACC Calculation:</w:t>
      </w:r>
    </w:p>
    <w:p>
      <w:pPr>
        <w:spacing w:after="120"/>
      </w:pPr>
      <w:r>
        <w:rPr>
          <w:rFonts w:ascii="Arial" w:cs="Arial" w:eastAsia="Arial" w:hAnsi="Arial"/>
          <w:color w:val="333333"/>
          <w:sz w:val="22"/>
          <w:szCs w:val="22"/>
        </w:rPr>
        <w:t xml:space="preserve">WACC (Weighted Average Cost of Capital) blends the cost of debt and equity based on the project’s capital structure:</w:t>
      </w:r>
    </w:p>
    <w:p>
      <w:pPr>
        <w:spacing w:after="80"/>
        <w:ind w:left="360"/>
      </w:pPr>
      <w:r>
        <w:rPr>
          <w:rFonts w:ascii="Arial" w:cs="Arial" w:eastAsia="Arial" w:hAnsi="Arial"/>
          <w:b/>
          <w:bCs/>
          <w:color w:val="2D5B9E"/>
          <w:sz w:val="20"/>
          <w:szCs w:val="20"/>
        </w:rPr>
        <w:t xml:space="preserve">WACC = (Debt% × Cost of Debt × (1 – Tax Rate)) + (Equity% × Cost of Equity)</w:t>
      </w:r>
    </w:p>
    <w:p>
      <w:pPr>
        <w:spacing w:after="120"/>
      </w:pPr>
      <w:r>
        <w:rPr>
          <w:rFonts w:ascii="Arial" w:cs="Arial" w:eastAsia="Arial" w:hAnsi="Arial"/>
          <w:color w:val="333333"/>
          <w:sz w:val="22"/>
          <w:szCs w:val="22"/>
        </w:rPr>
        <w:t xml:space="preserve">For our example we use a simplified 10% WACC. In the full model, the user can either enter WACC directly or input the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Input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Example</w:t>
            </w:r>
          </w:p>
        </w:tc>
        <w:tc>
          <w:tcPr>
            <w:tcW w:type="dxa" w:w="4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Debt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Typical project finance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Cost of Debt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Interest rate on project debt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Tax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Federal + state (Texas has no state income tax)</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Equity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 – Debt%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Cost of Equity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Required return for equity investors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Calculated WACC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7.5%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(0.60 × 0.06 × 0.75) + (0.40 × 0.12) = 0.027 + 0.048 = 7.5%</w:t>
            </w:r>
          </w:p>
        </w:tc>
      </w:tr>
    </w:tbl>
    <w:p>
      <w:pPr>
        <w:spacing w:after="120"/>
      </w:pPr>
      <w:r>
        <w:rPr>
          <w:rFonts w:ascii="Arial" w:cs="Arial" w:eastAsia="Arial" w:hAnsi="Arial"/>
          <w:color w:val="333333"/>
          <w:sz w:val="22"/>
          <w:szCs w:val="22"/>
        </w:rPr>
        <w:t xml:space="preserve">Note: the 10% WACC in our worked example is a simplified assumption. The calculated 7.5% above is more realistic for a typical project finance structure. The NETL study uses industry-specific Annuity Factors that embed their own financial assumptions (ammonia Annuity Factor = 5.51% which implies a lower WACC).</w:t>
      </w:r>
    </w:p>
    <w:p>
      <w:pPr>
        <w:spacing w:after="120"/>
      </w:pPr>
      <w:r>
        <w:rPr>
          <w:rFonts w:ascii="Arial" w:cs="Arial" w:eastAsia="Arial" w:hAnsi="Arial"/>
          <w:b/>
          <w:bCs/>
          <w:color w:val="2D5B9E"/>
          <w:sz w:val="22"/>
          <w:szCs w:val="22"/>
        </w:rPr>
        <w:t xml:space="preserve">Annuity Factor:</w:t>
      </w:r>
    </w:p>
    <w:p>
      <w:pPr>
        <w:spacing w:after="120"/>
      </w:pPr>
      <w:r>
        <w:rPr>
          <w:rFonts w:ascii="Arial" w:cs="Arial" w:eastAsia="Arial" w:hAnsi="Arial"/>
          <w:color w:val="333333"/>
          <w:sz w:val="22"/>
          <w:szCs w:val="22"/>
        </w:rPr>
        <w:t xml:space="preserve">Annuity Factor converts CAPEX into an equal annual payment over the project life. This is the standard annuity formula:</w:t>
      </w:r>
    </w:p>
    <w:p>
      <w:pPr>
        <w:spacing w:after="80"/>
        <w:ind w:left="360"/>
      </w:pPr>
      <w:r>
        <w:rPr>
          <w:rFonts w:ascii="Arial" w:cs="Arial" w:eastAsia="Arial" w:hAnsi="Arial"/>
          <w:b/>
          <w:bCs/>
          <w:color w:val="2D5B9E"/>
          <w:sz w:val="20"/>
          <w:szCs w:val="20"/>
        </w:rPr>
        <w:t xml:space="preserve">Annuity Factor = WACC ÷ (1 – (1 + WACC)^(–Project Life))</w:t>
      </w:r>
    </w:p>
    <w:p>
      <w:pPr>
        <w:spacing w:after="80"/>
        <w:ind w:left="360"/>
      </w:pPr>
      <w:r>
        <w:rPr>
          <w:rFonts w:ascii="Arial" w:cs="Arial" w:eastAsia="Arial" w:hAnsi="Arial"/>
          <w:b/>
          <w:bCs/>
          <w:color w:val="2D5B9E"/>
          <w:sz w:val="20"/>
          <w:szCs w:val="20"/>
        </w:rPr>
        <w:t xml:space="preserve">Annuity Factor = 0.10 ÷ (1 – (1.10)^(–30)) = 0.10 ÷ (1 – 0.0573) = 0.10 ÷ 0.9427 = 0.1061</w:t>
      </w:r>
    </w:p>
    <w:p>
      <w:pPr>
        <w:spacing w:after="120"/>
      </w:pPr>
      <w:r>
        <w:rPr>
          <w:rFonts w:ascii="Arial" w:cs="Arial" w:eastAsia="Arial" w:hAnsi="Arial"/>
          <w:color w:val="333333"/>
          <w:sz w:val="22"/>
          <w:szCs w:val="22"/>
        </w:rPr>
        <w:t xml:space="preserve">At 10% WACC and 30-year life, the annual capital is 10.61% of CAPEX. This is the corrected finite annuity formula — the previous model used CAPEX × rate (= 10.0%), which understates by ~6%.</w:t>
      </w:r>
    </w:p>
    <w:p>
      <w:pPr>
        <w:spacing w:after="120"/>
      </w:pPr>
      <w:r>
        <w:rPr>
          <w:rFonts w:ascii="Arial" w:cs="Arial" w:eastAsia="Arial" w:hAnsi="Arial"/>
          <w:color w:val="333333"/>
          <w:sz w:val="22"/>
          <w:szCs w:val="22"/>
        </w:rPr>
        <w:t xml:space="preserve">How Annuity Factor changes with WACC and project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WACC</w:t>
            </w:r>
          </w:p>
        </w:tc>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20-yr Annuity Factor</w:t>
            </w:r>
          </w:p>
        </w:tc>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25-yr Annuity Factor</w:t>
            </w:r>
          </w:p>
        </w:tc>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30-yr Annuity Factor</w:t>
            </w:r>
          </w:p>
        </w:tc>
        <w:tc>
          <w:tcPr>
            <w:tcW w:type="dxa" w:w="2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 vs 30yr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0.0981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0.0898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0.0847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20yr is 16% higher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0.1175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0.1102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0.1061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20yr is 11% higher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0.1339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0.1275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0.1241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20yr is 8% higher</w:t>
            </w:r>
          </w:p>
        </w:tc>
      </w:tr>
    </w:tbl>
    <w:p>
      <w:pPr>
        <w:spacing w:after="120"/>
      </w:pPr>
      <w:r>
        <w:rPr>
          <w:rFonts w:ascii="Arial" w:cs="Arial" w:eastAsia="Arial" w:hAnsi="Arial"/>
          <w:color w:val="333333"/>
          <w:sz w:val="22"/>
          <w:szCs w:val="22"/>
        </w:rPr>
        <w:t xml:space="preserve">Coal retrofit defaults to 20-year project life — Annuity Factor of 0.1175 vs 0.1061 at 30 years (11% higher capital per tonne at 10% WACC).</w:t>
      </w:r>
    </w:p>
    <w:p>
      <w:pPr>
        <w:spacing w:after="120"/>
      </w:pPr>
      <w:r>
        <w:rPr>
          <w:rFonts w:ascii="Arial" w:cs="Arial" w:eastAsia="Arial" w:hAnsi="Arial"/>
          <w:b/>
          <w:bCs/>
          <w:color w:val="2D5B9E"/>
          <w:sz w:val="22"/>
          <w:szCs w:val="22"/>
        </w:rPr>
        <w:t xml:space="preserve">Capital per Tonne:</w:t>
      </w:r>
    </w:p>
    <w:p>
      <w:pPr>
        <w:spacing w:after="80"/>
        <w:ind w:left="360"/>
      </w:pPr>
      <w:r>
        <w:rPr>
          <w:rFonts w:ascii="Arial" w:cs="Arial" w:eastAsia="Arial" w:hAnsi="Arial"/>
          <w:b/>
          <w:bCs/>
          <w:color w:val="2D5B9E"/>
          <w:sz w:val="20"/>
          <w:szCs w:val="20"/>
        </w:rPr>
        <w:t xml:space="preserve">Capital ($/t) = CAPEX × Annuity Factor ÷ Annual CO₂ Captured</w:t>
      </w:r>
    </w:p>
    <w:p>
      <w:pPr>
        <w:spacing w:after="80"/>
        <w:ind w:left="360"/>
      </w:pPr>
      <w:r>
        <w:rPr>
          <w:rFonts w:ascii="Arial" w:cs="Arial" w:eastAsia="Arial" w:hAnsi="Arial"/>
          <w:b/>
          <w:bCs/>
          <w:color w:val="2D5B9E"/>
          <w:sz w:val="20"/>
          <w:szCs w:val="20"/>
        </w:rPr>
        <w:t xml:space="preserve">Capital = $66,309K × 0.1061 ÷ 471,577 t/yr = $14.92/t</w:t>
      </w:r>
    </w:p>
    <w:p>
      <w:pPr>
        <w:spacing w:after="120"/>
      </w:pPr>
      <w:r>
        <w:rPr>
          <w:rFonts w:ascii="Arial" w:cs="Arial" w:eastAsia="Arial" w:hAnsi="Arial"/>
          <w:color w:val="333333"/>
          <w:sz w:val="22"/>
          <w:szCs w:val="22"/>
        </w:rPr>
        <w:t xml:space="preserve">This is higher than NETL’s $6.1/t because: (1) our WACC is 10% vs NETL’s implied ~3.5% from their 5.51% Annuity Factor, (2) CEPCI escalation added 34.4%, and (3) the larger plant adds CAPEX. The WACC difference is the biggest driver — NETL uses regulated utility financial assumptions while our 10% reflects merchant/industrial project risk.</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120"/>
      </w:pPr>
      <w:r>
        <w:rPr>
          <w:rFonts w:ascii="Arial" w:cs="Arial" w:eastAsia="Arial" w:hAnsi="Arial"/>
          <w:color w:val="333333"/>
          <w:sz w:val="22"/>
          <w:szCs w:val="22"/>
        </w:rPr>
        <w:t xml:space="preserve">Fixed O&amp;M has four components, each with a different scaling driver. These costs are ‘fixed’ because they don’t change with how many tonnes are captured in a given year — but they DO change with plant size, location, and cost year.</w:t>
      </w:r>
    </w:p>
    <w:p>
      <w:pPr>
        <w:spacing w:after="120"/>
      </w:pPr>
      <w:r>
        <w:rPr>
          <w:rFonts w:ascii="Arial" w:cs="Arial" w:eastAsia="Arial" w:hAnsi="Arial"/>
          <w:b/>
          <w:bCs/>
          <w:color w:val="1B6B4A"/>
          <w:sz w:val="22"/>
          <w:szCs w:val="22"/>
        </w:rPr>
        <w:t xml:space="preserve">NETL Reference Fixed O&amp;M: $1,593,765/yr ($3.28/t at 413,164 t CO₂/yr)</w:t>
      </w:r>
    </w:p>
    <w:p>
      <w:pPr>
        <w:spacing w:after="120"/>
      </w:pPr>
      <w:r>
        <w:rPr>
          <w:rFonts w:ascii="Arial" w:cs="Arial" w:eastAsia="Arial" w:hAnsi="Arial"/>
          <w:b/>
          <w:bCs/>
          <w:color w:val="2D5B9E"/>
          <w:sz w:val="22"/>
          <w:szCs w:val="22"/>
        </w:rPr>
        <w:t xml:space="preserve">Component 1 — Operating Labor: $438,438/yr ($0.90/t)</w:t>
      </w:r>
    </w:p>
    <w:p>
      <w:pPr>
        <w:spacing w:after="120"/>
      </w:pPr>
      <w:r>
        <w:rPr>
          <w:rFonts w:ascii="Arial" w:cs="Arial" w:eastAsia="Arial" w:hAnsi="Arial"/>
          <w:color w:val="333333"/>
          <w:sz w:val="22"/>
          <w:szCs w:val="22"/>
        </w:rPr>
        <w:t xml:space="preserve">This is the cost of operators to run the capture system. It scales as a step function based on the number of trains, not continuously with plant size. One operator can monitor one compression + TEG system regardless of whether it handles 200K or 1.2M t CO₂/yr.</w:t>
      </w:r>
    </w:p>
    <w:p>
      <w:pPr>
        <w:spacing w:after="80"/>
        <w:ind w:left="360"/>
      </w:pPr>
      <w:r>
        <w:rPr>
          <w:rFonts w:ascii="Arial" w:cs="Arial" w:eastAsia="Arial" w:hAnsi="Arial"/>
          <w:b/>
          <w:bCs/>
          <w:color w:val="2D5B9E"/>
          <w:sz w:val="20"/>
          <w:szCs w:val="20"/>
        </w:rPr>
        <w:t xml:space="preserve">Operating Labor = Ref $438K × Operator Ratio × CEPCI × Location</w:t>
      </w:r>
    </w:p>
    <w:p>
      <w:pPr>
        <w:spacing w:after="120"/>
      </w:pPr>
      <w:r>
        <w:rPr>
          <w:rFonts w:ascii="Arial" w:cs="Arial" w:eastAsia="Arial" w:hAnsi="Arial"/>
          <w:color w:val="333333"/>
          <w:sz w:val="22"/>
          <w:szCs w:val="22"/>
        </w:rPr>
        <w:t xml:space="preserve">Operator Ratio is determined by the number of trains: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4160"/>
      </w:tblGrid>
      <w:tr>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Plant Size (sR)</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Trains</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Ops/Shift</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 Ratio</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0.1 – 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One operator monitors one compression + TEG system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 – 6.0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Second train adds 0.5 operator (shared control room)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 – 9.0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w:t>
            </w:r>
          </w:p>
        </w:tc>
        <w:tc>
          <w:tcPr>
            <w:tcW w:type="dxa" w:w="1200"/>
            <w:tcBorders>
              <w:top w:val="single" w:color="CCCCCC" w:sz="1"/>
              <w:left w:val="single" w:color="CCCCCC" w:sz="1"/>
              <w:bottom w:val="single" w:color="CCCCCC" w:sz="1"/>
              <w:right w:val="single" w:color="CCCCCC" w:sz="1"/>
            </w:tcBorders>
            <w:shd w:fill="FCD5B4"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Third train adds another 0.5</w:t>
            </w:r>
          </w:p>
        </w:tc>
      </w:tr>
    </w:tbl>
    <w:p>
      <w:pPr>
        <w:spacing w:after="80"/>
        <w:ind w:left="360"/>
      </w:pPr>
      <w:r>
        <w:rPr>
          <w:rFonts w:ascii="Arial" w:cs="Arial" w:eastAsia="Arial" w:hAnsi="Arial"/>
          <w:b/>
          <w:bCs/>
          <w:color w:val="2D5B9E"/>
          <w:sz w:val="20"/>
          <w:szCs w:val="20"/>
        </w:rPr>
        <w:t xml:space="preserve">General: Operators/shift = 1.0 + (Num Trains – 1) × 0.5</w:t>
      </w:r>
    </w:p>
    <w:p>
      <w:pPr>
        <w:spacing w:after="120"/>
      </w:pPr>
      <w:r>
        <w:rPr>
          <w:rFonts w:ascii="Arial" w:cs="Arial" w:eastAsia="Arial" w:hAnsi="Arial"/>
          <w:color w:val="333333"/>
          <w:sz w:val="22"/>
          <w:szCs w:val="22"/>
        </w:rPr>
        <w:t xml:space="preserve">For our example (sR = 1.269, 1 train): Op Ratio = 1.0</w:t>
      </w:r>
    </w:p>
    <w:p>
      <w:pPr>
        <w:spacing w:after="80"/>
        <w:ind w:left="360"/>
      </w:pPr>
      <w:r>
        <w:rPr>
          <w:rFonts w:ascii="Arial" w:cs="Arial" w:eastAsia="Arial" w:hAnsi="Arial"/>
          <w:b/>
          <w:bCs/>
          <w:color w:val="2D5B9E"/>
          <w:sz w:val="20"/>
          <w:szCs w:val="20"/>
        </w:rPr>
        <w:t xml:space="preserve">Operating Labor = $438K × 1.0 × 1.344 × 0.959 = $565K</w:t>
      </w:r>
    </w:p>
    <w:p>
      <w:pPr>
        <w:spacing w:after="120"/>
      </w:pPr>
      <w:r>
        <w:rPr>
          <w:rFonts w:ascii="Arial" w:cs="Arial" w:eastAsia="Arial" w:hAnsi="Arial"/>
          <w:color w:val="333333"/>
          <w:sz w:val="22"/>
          <w:szCs w:val="22"/>
        </w:rPr>
        <w:t xml:space="preserve">CEPCI inflates 2018 wage rates to 2024. Location adjusts for Texas vs Louisiana labor cost differences. Plant size has no effect within one train.</w:t>
      </w:r>
    </w:p>
    <w:p>
      <w:pPr>
        <w:spacing w:after="120"/>
      </w:pPr>
      <w:r>
        <w:rPr>
          <w:rFonts w:ascii="Arial" w:cs="Arial" w:eastAsia="Arial" w:hAnsi="Arial"/>
          <w:color w:val="333333"/>
          <w:sz w:val="22"/>
          <w:szCs w:val="22"/>
        </w:rPr>
        <w:t xml:space="preserve">For post-combustion sources, operator requirements are higher because the amine system is more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Type</w:t>
            </w:r>
          </w:p>
        </w:tc>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Base Ops/Shift</w:t>
            </w:r>
          </w:p>
        </w:tc>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Add’l per Train</w:t>
            </w:r>
          </w:p>
        </w:tc>
        <w:tc>
          <w:tcPr>
            <w:tcW w:type="dxa" w:w="29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System Complexity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High-purity (compression only)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Compressor + TEG dehydration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Post-combustion (amine)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Absorber, stripper, reboiler, reclaimer, solvent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Steel (two amine trains)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Two parallel amine systems + shared BOP</w:t>
            </w:r>
          </w:p>
        </w:tc>
      </w:tr>
    </w:tbl>
    <w:p>
      <w:pPr>
        <w:spacing w:after="120"/>
      </w:pPr>
      <w:r>
        <w:rPr>
          <w:rFonts w:ascii="Arial" w:cs="Arial" w:eastAsia="Arial" w:hAnsi="Arial"/>
          <w:b/>
          <w:bCs/>
          <w:color w:val="2D5B9E"/>
          <w:sz w:val="22"/>
          <w:szCs w:val="22"/>
        </w:rPr>
        <w:t xml:space="preserve">Component 2 — Maintenance Labor: $239,021/yr ($0.49/t)</w:t>
      </w:r>
    </w:p>
    <w:p>
      <w:pPr>
        <w:spacing w:after="120"/>
      </w:pPr>
      <w:r>
        <w:rPr>
          <w:rFonts w:ascii="Arial" w:cs="Arial" w:eastAsia="Arial" w:hAnsi="Arial"/>
          <w:color w:val="333333"/>
          <w:sz w:val="22"/>
          <w:szCs w:val="22"/>
        </w:rPr>
        <w:t xml:space="preserve">Maintenance labor is the cost of maintaining the installed equipment. It’s calculated as a percentage of the Adjusted TPC. Bigger/more expensive equipment costs more to maintain.</w:t>
      </w:r>
    </w:p>
    <w:p>
      <w:pPr>
        <w:spacing w:after="80"/>
        <w:ind w:left="360"/>
      </w:pPr>
      <w:r>
        <w:rPr>
          <w:rFonts w:ascii="Arial" w:cs="Arial" w:eastAsia="Arial" w:hAnsi="Arial"/>
          <w:b/>
          <w:bCs/>
          <w:color w:val="2D5B9E"/>
          <w:sz w:val="20"/>
          <w:szCs w:val="20"/>
        </w:rPr>
        <w:t xml:space="preserve">Maintenance Rate = $239,021 ÷ $37,347K = 0.64% of TPC</w:t>
      </w:r>
    </w:p>
    <w:p>
      <w:pPr>
        <w:spacing w:after="80"/>
        <w:ind w:left="360"/>
      </w:pPr>
      <w:r>
        <w:rPr>
          <w:rFonts w:ascii="Arial" w:cs="Arial" w:eastAsia="Arial" w:hAnsi="Arial"/>
          <w:b/>
          <w:bCs/>
          <w:color w:val="2D5B9E"/>
          <w:sz w:val="20"/>
          <w:szCs w:val="20"/>
        </w:rPr>
        <w:t xml:space="preserve">Maintenance Labor = 0.64% × Adj TPC</w:t>
      </w:r>
    </w:p>
    <w:p>
      <w:pPr>
        <w:spacing w:after="120"/>
      </w:pPr>
      <w:r>
        <w:rPr>
          <w:rFonts w:ascii="Arial" w:cs="Arial" w:eastAsia="Arial" w:hAnsi="Arial"/>
          <w:color w:val="333333"/>
          <w:sz w:val="22"/>
          <w:szCs w:val="22"/>
        </w:rPr>
        <w:t xml:space="preserve">The Adj TPC already includes size scaling, CEPCI, location, tech, learning, and RDF. So maintenance labor automatically adjusts for all factors. No additional multipliers needed. When a second train is added (Tier C), the Adj TPC steps up and maintenance follows automatically.</w:t>
      </w:r>
    </w:p>
    <w:p>
      <w:pPr>
        <w:spacing w:after="80"/>
        <w:ind w:left="360"/>
      </w:pPr>
      <w:r>
        <w:rPr>
          <w:rFonts w:ascii="Arial" w:cs="Arial" w:eastAsia="Arial" w:hAnsi="Arial"/>
          <w:b/>
          <w:bCs/>
          <w:color w:val="2D5B9E"/>
          <w:sz w:val="20"/>
          <w:szCs w:val="20"/>
        </w:rPr>
        <w:t xml:space="preserve">For our example: 0.64% × $54,131K = $346K</w:t>
      </w:r>
    </w:p>
    <w:p>
      <w:pPr>
        <w:spacing w:after="120"/>
      </w:pPr>
      <w:r>
        <w:rPr>
          <w:rFonts w:ascii="Arial" w:cs="Arial" w:eastAsia="Arial" w:hAnsi="Arial"/>
          <w:b/>
          <w:bCs/>
          <w:color w:val="2D5B9E"/>
          <w:sz w:val="22"/>
          <w:szCs w:val="22"/>
        </w:rPr>
        <w:t xml:space="preserve">Component 3 — Admin &amp; Support: $169,365/yr ($0.35/t)</w:t>
      </w:r>
    </w:p>
    <w:p>
      <w:pPr>
        <w:spacing w:after="120"/>
      </w:pPr>
      <w:r>
        <w:rPr>
          <w:rFonts w:ascii="Arial" w:cs="Arial" w:eastAsia="Arial" w:hAnsi="Arial"/>
          <w:color w:val="333333"/>
          <w:sz w:val="22"/>
          <w:szCs w:val="22"/>
        </w:rPr>
        <w:t xml:space="preserve">Administrative and support labor is derived from the other two labor components. It inherits all their adjustments.</w:t>
      </w:r>
    </w:p>
    <w:p>
      <w:pPr>
        <w:spacing w:after="80"/>
        <w:ind w:left="360"/>
      </w:pPr>
      <w:r>
        <w:rPr>
          <w:rFonts w:ascii="Arial" w:cs="Arial" w:eastAsia="Arial" w:hAnsi="Arial"/>
          <w:b/>
          <w:bCs/>
          <w:color w:val="2D5B9E"/>
          <w:sz w:val="20"/>
          <w:szCs w:val="20"/>
        </w:rPr>
        <w:t xml:space="preserve">Admin &amp; Support = 30% × (Operating Labor + Maintenance Labor)</w:t>
      </w:r>
    </w:p>
    <w:p>
      <w:pPr>
        <w:spacing w:after="80"/>
        <w:ind w:left="360"/>
      </w:pPr>
      <w:r>
        <w:rPr>
          <w:rFonts w:ascii="Arial" w:cs="Arial" w:eastAsia="Arial" w:hAnsi="Arial"/>
          <w:b/>
          <w:bCs/>
          <w:color w:val="2D5B9E"/>
          <w:sz w:val="20"/>
          <w:szCs w:val="20"/>
        </w:rPr>
        <w:t xml:space="preserve">For our example: 30% × ($565K + $346K) = $273K</w:t>
      </w:r>
    </w:p>
    <w:p>
      <w:pPr>
        <w:spacing w:after="120"/>
      </w:pPr>
      <w:r>
        <w:rPr>
          <w:rFonts w:ascii="Arial" w:cs="Arial" w:eastAsia="Arial" w:hAnsi="Arial"/>
          <w:b/>
          <w:bCs/>
          <w:color w:val="2D5B9E"/>
          <w:sz w:val="22"/>
          <w:szCs w:val="22"/>
        </w:rPr>
        <w:t xml:space="preserve">Component 4 — Property Tax &amp; Insurance: $746,941/yr ($1.54/t)</w:t>
      </w:r>
    </w:p>
    <w:p>
      <w:pPr>
        <w:spacing w:after="120"/>
      </w:pPr>
      <w:r>
        <w:rPr>
          <w:rFonts w:ascii="Arial" w:cs="Arial" w:eastAsia="Arial" w:hAnsi="Arial"/>
          <w:color w:val="333333"/>
          <w:sz w:val="22"/>
          <w:szCs w:val="22"/>
        </w:rPr>
        <w:t xml:space="preserve">Annual property tax and insurance premiums on the installed capital. Calculated as a percentage of Adj TPC. Automatically adjusts for all CAPEX factors.</w:t>
      </w:r>
    </w:p>
    <w:p>
      <w:pPr>
        <w:spacing w:after="80"/>
        <w:ind w:left="360"/>
      </w:pPr>
      <w:r>
        <w:rPr>
          <w:rFonts w:ascii="Arial" w:cs="Arial" w:eastAsia="Arial" w:hAnsi="Arial"/>
          <w:b/>
          <w:bCs/>
          <w:color w:val="2D5B9E"/>
          <w:sz w:val="20"/>
          <w:szCs w:val="20"/>
        </w:rPr>
        <w:t xml:space="preserve">Property Tax &amp; Insurance = 2% × Adj TPC</w:t>
      </w:r>
    </w:p>
    <w:p>
      <w:pPr>
        <w:spacing w:after="80"/>
        <w:ind w:left="360"/>
      </w:pPr>
      <w:r>
        <w:rPr>
          <w:rFonts w:ascii="Arial" w:cs="Arial" w:eastAsia="Arial" w:hAnsi="Arial"/>
          <w:b/>
          <w:bCs/>
          <w:color w:val="2D5B9E"/>
          <w:sz w:val="20"/>
          <w:szCs w:val="20"/>
        </w:rPr>
        <w:t xml:space="preserve">For our example: 2% × $54,131K = $1,083K</w:t>
      </w:r>
    </w:p>
    <w:p>
      <w:pPr>
        <w:spacing w:after="120"/>
      </w:pPr>
      <w:r>
        <w:rPr>
          <w:rFonts w:ascii="Arial" w:cs="Arial" w:eastAsia="Arial" w:hAnsi="Arial"/>
          <w:b/>
          <w:bCs/>
          <w:color w:val="1B6B4A"/>
          <w:sz w:val="22"/>
          <w:szCs w:val="22"/>
        </w:rPr>
        <w:t xml:space="preserve">Total Fixed O&amp;M: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400"/>
        <w:gridCol w:w="29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 ($K)</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Adj ($K)</w:t>
            </w:r>
          </w:p>
        </w:tc>
        <w:tc>
          <w:tcPr>
            <w:tcW w:type="dxa" w:w="1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Scaling Driver</w:t>
            </w:r>
          </w:p>
        </w:tc>
        <w:tc>
          <w:tcPr>
            <w:tcW w:type="dxa" w:w="29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Adjusts It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Operating Labor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$565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Train count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Step function on trains. CEPCI inflates wages. Location adjusts rates.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Maintenance Labor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$239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$346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Adj TPC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0.64% of Adj TPC. Inherits all CAPEX adjustments.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Admin &amp; 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$273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Derived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30% of (Op Labor + Maint Labor). Inherits from above.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Property Tax &amp; Insurance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$1,083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Adj TPC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 of Adj TPC. Inherits all CAPEX adjustments.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Total Fixed O&amp;M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$1,594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$2,267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r>
    </w:tbl>
    <w:p>
      <w:pPr>
        <w:spacing w:after="80"/>
        <w:ind w:left="360"/>
      </w:pPr>
      <w:r>
        <w:rPr>
          <w:rFonts w:ascii="Arial" w:cs="Arial" w:eastAsia="Arial" w:hAnsi="Arial"/>
          <w:b/>
          <w:bCs/>
          <w:color w:val="2D5B9E"/>
          <w:sz w:val="20"/>
          <w:szCs w:val="20"/>
        </w:rPr>
        <w:t xml:space="preserve">Fixed O&amp;M ($/t) = $2,267K ÷ 471,577 t CO₂/yr = $4.81/t</w:t>
      </w:r>
    </w:p>
    <w:p>
      <w:pPr>
        <w:spacing w:after="120"/>
      </w:pPr>
      <w:r>
        <w:rPr>
          <w:rFonts w:ascii="Arial" w:cs="Arial" w:eastAsia="Arial" w:hAnsi="Arial"/>
          <w:color w:val="333333"/>
          <w:sz w:val="22"/>
          <w:szCs w:val="22"/>
        </w:rPr>
        <w:t xml:space="preserve">The CF effect is automatic — if the user’s CF were 70% instead of 85%, the annual fixed cost stays at $2,267K but CO₂ captured drops to 389,065 t/yr, so $/t rises to $5.83/t. No CF multiplier needed because we divide by actual CO₂ 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120"/>
      </w:pPr>
      <w:r>
        <w:rPr>
          <w:rFonts w:ascii="Arial" w:cs="Arial" w:eastAsia="Arial" w:hAnsi="Arial"/>
          <w:color w:val="333333"/>
          <w:sz w:val="22"/>
          <w:szCs w:val="22"/>
        </w:rPr>
        <w:t xml:space="preserve">Variable costs scale with the amount of CO₂ captured — the more you capture, the more water, chemicals, and solvent you consume. Five components, each with its own scaling driver.</w:t>
      </w:r>
    </w:p>
    <w:p>
      <w:pPr>
        <w:spacing w:after="120"/>
      </w:pPr>
      <w:r>
        <w:rPr>
          <w:rFonts w:ascii="Arial" w:cs="Arial" w:eastAsia="Arial" w:hAnsi="Arial"/>
          <w:b/>
          <w:bCs/>
          <w:color w:val="1B6B4A"/>
          <w:sz w:val="22"/>
          <w:szCs w:val="22"/>
        </w:rPr>
        <w:t xml:space="preserve">NETL Reference Variable O&amp;M: $1,102,566/yr ($2.67/t at 413,164 t CO₂/yr)</w:t>
      </w:r>
    </w:p>
    <w:p>
      <w:pPr>
        <w:spacing w:after="120"/>
      </w:pPr>
      <w:r>
        <w:rPr>
          <w:rFonts w:ascii="Arial" w:cs="Arial" w:eastAsia="Arial" w:hAnsi="Arial"/>
          <w:b/>
          <w:bCs/>
          <w:color w:val="2D5B9E"/>
          <w:sz w:val="22"/>
          <w:szCs w:val="22"/>
        </w:rPr>
        <w:t xml:space="preserve">Component 1 — Maintenance Material: $358,532/yr ($0.87/t)</w:t>
      </w:r>
    </w:p>
    <w:p>
      <w:pPr>
        <w:spacing w:after="120"/>
      </w:pPr>
      <w:r>
        <w:rPr>
          <w:rFonts w:ascii="Arial" w:cs="Arial" w:eastAsia="Arial" w:hAnsi="Arial"/>
          <w:color w:val="333333"/>
          <w:sz w:val="22"/>
          <w:szCs w:val="22"/>
        </w:rPr>
        <w:t xml:space="preserve">Spare parts, replacement components, consumable maintenance items. Calculated as a percentage of Adj TPC — same logic as maintenance labor. Economies of scale are inherited from CAPEX scaling (Adj TPC scales at sR^0.6, not linearly).</w:t>
      </w:r>
    </w:p>
    <w:p>
      <w:pPr>
        <w:spacing w:after="80"/>
        <w:ind w:left="360"/>
      </w:pPr>
      <w:r>
        <w:rPr>
          <w:rFonts w:ascii="Arial" w:cs="Arial" w:eastAsia="Arial" w:hAnsi="Arial"/>
          <w:b/>
          <w:bCs/>
          <w:color w:val="2D5B9E"/>
          <w:sz w:val="20"/>
          <w:szCs w:val="20"/>
        </w:rPr>
        <w:t xml:space="preserve">Maintenance Material Rate = $358,532 ÷ $37,347K = 0.96% of TPC</w:t>
      </w:r>
    </w:p>
    <w:p>
      <w:pPr>
        <w:spacing w:after="80"/>
        <w:ind w:left="360"/>
      </w:pPr>
      <w:r>
        <w:rPr>
          <w:rFonts w:ascii="Arial" w:cs="Arial" w:eastAsia="Arial" w:hAnsi="Arial"/>
          <w:b/>
          <w:bCs/>
          <w:color w:val="2D5B9E"/>
          <w:sz w:val="20"/>
          <w:szCs w:val="20"/>
        </w:rPr>
        <w:t xml:space="preserve">Adj Maintenance Material = 0.96% × Adj TPC = 0.96% × $54,131K = $520K</w:t>
      </w:r>
    </w:p>
    <w:p>
      <w:pPr>
        <w:spacing w:after="120"/>
      </w:pPr>
      <w:r>
        <w:rPr>
          <w:rFonts w:ascii="Arial" w:cs="Arial" w:eastAsia="Arial" w:hAnsi="Arial"/>
          <w:b/>
          <w:bCs/>
          <w:color w:val="2D5B9E"/>
          <w:sz w:val="22"/>
          <w:szCs w:val="22"/>
        </w:rPr>
        <w:t xml:space="preserve">Component 2 — Water: $27,119/yr ($0.07/t)</w:t>
      </w:r>
    </w:p>
    <w:p>
      <w:pPr>
        <w:spacing w:after="120"/>
      </w:pPr>
      <w:r>
        <w:rPr>
          <w:rFonts w:ascii="Arial" w:cs="Arial" w:eastAsia="Arial" w:hAnsi="Arial"/>
          <w:color w:val="333333"/>
          <w:sz w:val="22"/>
          <w:szCs w:val="22"/>
        </w:rPr>
        <w:t xml:space="preserve">Cooling water makeup and process water. Scales linearly with CO₂ captured — heat rejection scales linearly with compression work. No economies of scale. Unit price inflated by CEPCI.</w:t>
      </w:r>
    </w:p>
    <w:p>
      <w:pPr>
        <w:spacing w:after="80"/>
        <w:ind w:left="360"/>
      </w:pPr>
      <w:r>
        <w:rPr>
          <w:rFonts w:ascii="Arial" w:cs="Arial" w:eastAsia="Arial" w:hAnsi="Arial"/>
          <w:b/>
          <w:bCs/>
          <w:color w:val="2D5B9E"/>
          <w:sz w:val="20"/>
          <w:szCs w:val="20"/>
        </w:rPr>
        <w:t xml:space="preserve">NETL: 46 kgal/day × $1.90/kgal × 365 × 0.85 CF = $27,119</w:t>
      </w:r>
    </w:p>
    <w:p>
      <w:pPr>
        <w:spacing w:after="80"/>
        <w:ind w:left="360"/>
      </w:pPr>
      <w:r>
        <w:rPr>
          <w:rFonts w:ascii="Arial" w:cs="Arial" w:eastAsia="Arial" w:hAnsi="Arial"/>
          <w:b/>
          <w:bCs/>
          <w:color w:val="2D5B9E"/>
          <w:sz w:val="20"/>
          <w:szCs w:val="20"/>
        </w:rPr>
        <w:t xml:space="preserve">CO₂ Ratio = 471,577 ÷ 413,164 = 1.141</w:t>
      </w:r>
    </w:p>
    <w:p>
      <w:pPr>
        <w:spacing w:after="80"/>
        <w:ind w:left="360"/>
      </w:pPr>
      <w:r>
        <w:rPr>
          <w:rFonts w:ascii="Arial" w:cs="Arial" w:eastAsia="Arial" w:hAnsi="Arial"/>
          <w:b/>
          <w:bCs/>
          <w:color w:val="2D5B9E"/>
          <w:sz w:val="20"/>
          <w:szCs w:val="20"/>
        </w:rPr>
        <w:t xml:space="preserve">Adj Water = $27K × CO₂ Ratio × CEPCI = $27K × 1.141 × 1.344 = $42K</w:t>
      </w:r>
    </w:p>
    <w:p>
      <w:pPr>
        <w:spacing w:after="120"/>
      </w:pPr>
      <w:r>
        <w:rPr>
          <w:rFonts w:ascii="Arial" w:cs="Arial" w:eastAsia="Arial" w:hAnsi="Arial"/>
          <w:b/>
          <w:bCs/>
          <w:color w:val="2D5B9E"/>
          <w:sz w:val="22"/>
          <w:szCs w:val="22"/>
        </w:rPr>
        <w:t xml:space="preserve">Component 3 — Chemicals: $24,747/yr ($0.06/t)</w:t>
      </w:r>
    </w:p>
    <w:p>
      <w:pPr>
        <w:spacing w:after="120"/>
      </w:pPr>
      <w:r>
        <w:rPr>
          <w:rFonts w:ascii="Arial" w:cs="Arial" w:eastAsia="Arial" w:hAnsi="Arial"/>
          <w:color w:val="333333"/>
          <w:sz w:val="22"/>
          <w:szCs w:val="22"/>
        </w:rPr>
        <w:t xml:space="preserve">Makeup and waste water treatment chemicals. Scales linearly with CO₂ captured. No economies of scale.</w:t>
      </w:r>
    </w:p>
    <w:p>
      <w:pPr>
        <w:spacing w:after="80"/>
        <w:ind w:left="360"/>
      </w:pPr>
      <w:r>
        <w:rPr>
          <w:rFonts w:ascii="Arial" w:cs="Arial" w:eastAsia="Arial" w:hAnsi="Arial"/>
          <w:b/>
          <w:bCs/>
          <w:color w:val="2D5B9E"/>
          <w:sz w:val="20"/>
          <w:szCs w:val="20"/>
        </w:rPr>
        <w:t xml:space="preserve">NETL: 0.1 t/day × $550/t × 365 × 0.85 CF = $24,747</w:t>
      </w:r>
    </w:p>
    <w:p>
      <w:pPr>
        <w:spacing w:after="80"/>
        <w:ind w:left="360"/>
      </w:pPr>
      <w:r>
        <w:rPr>
          <w:rFonts w:ascii="Arial" w:cs="Arial" w:eastAsia="Arial" w:hAnsi="Arial"/>
          <w:b/>
          <w:bCs/>
          <w:color w:val="2D5B9E"/>
          <w:sz w:val="20"/>
          <w:szCs w:val="20"/>
        </w:rPr>
        <w:t xml:space="preserve">Adj Chemicals = $25K × CO₂ Ratio × CEPCI = $25K × 1.141 × 1.344 = $38K</w:t>
      </w:r>
    </w:p>
    <w:p>
      <w:pPr>
        <w:spacing w:after="120"/>
      </w:pPr>
      <w:r>
        <w:rPr>
          <w:rFonts w:ascii="Arial" w:cs="Arial" w:eastAsia="Arial" w:hAnsi="Arial"/>
          <w:b/>
          <w:bCs/>
          <w:color w:val="2D5B9E"/>
          <w:sz w:val="22"/>
          <w:szCs w:val="22"/>
        </w:rPr>
        <w:t xml:space="preserve">Component 4 — Triethylene Glycol (TEG): $658,287/yr ($1.59/t)</w:t>
      </w:r>
    </w:p>
    <w:p>
      <w:pPr>
        <w:spacing w:after="120"/>
      </w:pPr>
      <w:r>
        <w:rPr>
          <w:rFonts w:ascii="Arial" w:cs="Arial" w:eastAsia="Arial" w:hAnsi="Arial"/>
          <w:color w:val="333333"/>
          <w:sz w:val="22"/>
          <w:szCs w:val="22"/>
        </w:rPr>
        <w:t xml:space="preserve">Dominant variable cost for ammonia syngas. TEG is consumed in the dehydration system through degradation and entrainment losses. Scales linearly with CO₂ captured — TEG consumption per tonne of CO₂ processed is roughly constant.</w:t>
      </w:r>
    </w:p>
    <w:p>
      <w:pPr>
        <w:spacing w:after="80"/>
        <w:ind w:left="360"/>
      </w:pPr>
      <w:r>
        <w:rPr>
          <w:rFonts w:ascii="Arial" w:cs="Arial" w:eastAsia="Arial" w:hAnsi="Arial"/>
          <w:b/>
          <w:bCs/>
          <w:color w:val="2D5B9E"/>
          <w:sz w:val="20"/>
          <w:szCs w:val="20"/>
        </w:rPr>
        <w:t xml:space="preserve">NETL: 312 gal/day × $6.80/gal × 365 × 0.85 CF = $658,287</w:t>
      </w:r>
    </w:p>
    <w:p>
      <w:pPr>
        <w:spacing w:after="80"/>
        <w:ind w:left="360"/>
      </w:pPr>
      <w:r>
        <w:rPr>
          <w:rFonts w:ascii="Arial" w:cs="Arial" w:eastAsia="Arial" w:hAnsi="Arial"/>
          <w:b/>
          <w:bCs/>
          <w:color w:val="2D5B9E"/>
          <w:sz w:val="20"/>
          <w:szCs w:val="20"/>
        </w:rPr>
        <w:t xml:space="preserve">Adj TEG = $658K × CO₂ Ratio × CEPCI = $658K × 1.141 × 1.344 = $1,009K</w:t>
      </w:r>
    </w:p>
    <w:p>
      <w:pPr>
        <w:spacing w:after="120"/>
      </w:pPr>
      <w:r>
        <w:rPr>
          <w:rFonts w:ascii="Arial" w:cs="Arial" w:eastAsia="Arial" w:hAnsi="Arial"/>
          <w:b/>
          <w:bCs/>
          <w:color w:val="2D5B9E"/>
          <w:sz w:val="22"/>
          <w:szCs w:val="22"/>
        </w:rPr>
        <w:t xml:space="preserve">Component 5 — Waste Disposal (TEG): $33,882/yr ($0.08/t)</w:t>
      </w:r>
    </w:p>
    <w:p>
      <w:pPr>
        <w:spacing w:after="120"/>
      </w:pPr>
      <w:r>
        <w:rPr>
          <w:rFonts w:ascii="Arial" w:cs="Arial" w:eastAsia="Arial" w:hAnsi="Arial"/>
          <w:color w:val="333333"/>
          <w:sz w:val="22"/>
          <w:szCs w:val="22"/>
        </w:rPr>
        <w:t xml:space="preserve">Spent TEG disposal. Scales linearly with CO₂ captured.</w:t>
      </w:r>
    </w:p>
    <w:p>
      <w:pPr>
        <w:spacing w:after="80"/>
        <w:ind w:left="360"/>
      </w:pPr>
      <w:r>
        <w:rPr>
          <w:rFonts w:ascii="Arial" w:cs="Arial" w:eastAsia="Arial" w:hAnsi="Arial"/>
          <w:b/>
          <w:bCs/>
          <w:color w:val="2D5B9E"/>
          <w:sz w:val="20"/>
          <w:szCs w:val="20"/>
        </w:rPr>
        <w:t xml:space="preserve">NETL: 312 gal/day × $0.35/gal × 365 × 0.85 CF = $33,882</w:t>
      </w:r>
    </w:p>
    <w:p>
      <w:pPr>
        <w:spacing w:after="80"/>
        <w:ind w:left="360"/>
      </w:pPr>
      <w:r>
        <w:rPr>
          <w:rFonts w:ascii="Arial" w:cs="Arial" w:eastAsia="Arial" w:hAnsi="Arial"/>
          <w:b/>
          <w:bCs/>
          <w:color w:val="2D5B9E"/>
          <w:sz w:val="20"/>
          <w:szCs w:val="20"/>
        </w:rPr>
        <w:t xml:space="preserve">Adj Waste = $34K × CO₂ Ratio × CEPCI = $34K × 1.141 × 1.344 = $52K</w:t>
      </w:r>
    </w:p>
    <w:p>
      <w:pPr>
        <w:spacing w:after="120"/>
      </w:pPr>
      <w:r>
        <w:rPr>
          <w:rFonts w:ascii="Arial" w:cs="Arial" w:eastAsia="Arial" w:hAnsi="Arial"/>
          <w:b/>
          <w:bCs/>
          <w:color w:val="1B6B4A"/>
          <w:sz w:val="22"/>
          <w:szCs w:val="22"/>
        </w:rPr>
        <w:t xml:space="preserve">Economies of Scale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Scales With</w:t>
            </w:r>
          </w:p>
        </w:tc>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Economies of Scale?</w:t>
            </w:r>
          </w:p>
        </w:tc>
        <w:tc>
          <w:tcPr>
            <w:tcW w:type="dxa" w:w="25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Maintenance Material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Adj TPC</w:t>
            </w:r>
          </w:p>
        </w:tc>
        <w:tc>
          <w:tcPr>
            <w:tcW w:type="dxa" w:w="26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Yes — inherited from CAPEX</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TPC scales at sR^0.6, so material is sub-linear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Water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 — linear per tonne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Heat rejection ∝ compression work ∝ CO₂ flow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Chemicals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 — linear per tonne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Treatment demand ∝ water volume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 — linear per tonne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Degradation/loss rate constant per tonne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Waste Disposal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captured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 — linear per tonne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Disposal volume ∝ TEG consumption</w:t>
            </w:r>
          </w:p>
        </w:tc>
      </w:tr>
    </w:tbl>
    <w:p>
      <w:pPr>
        <w:spacing w:after="120"/>
      </w:pPr>
      <w:r>
        <w:rPr>
          <w:rFonts w:ascii="Arial" w:cs="Arial" w:eastAsia="Arial" w:hAnsi="Arial"/>
          <w:b/>
          <w:bCs/>
          <w:color w:val="1B6B4A"/>
          <w:sz w:val="22"/>
          <w:szCs w:val="22"/>
        </w:rPr>
        <w:t xml:space="preserve">Total Variable O&amp;M: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200"/>
        <w:gridCol w:w="2540"/>
      </w:tblGrid>
      <w:tr>
        <w:tc>
          <w:tcPr>
            <w:tcW w:type="dxa" w:w="2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 ($K)</w:t>
            </w:r>
          </w:p>
        </w:tc>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Scaling</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Adj ($K)</w:t>
            </w:r>
          </w:p>
        </w:tc>
        <w:tc>
          <w:tcPr>
            <w:tcW w:type="dxa" w:w="254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Maintenance Material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0.96% × Adj TPC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$520</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Sub-linear (inherits CAPEX scaling)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Water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ratio × CEPCI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$42</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Linear per tonne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Chemicals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ratio × CEPCI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$38</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Linear per tonne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TEG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$658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ratio × CEPCI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$1,009</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Dominant item. Linear per tonne.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Waste Disposal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ratio × CEPCI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$52</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Linear per tonne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Total Variable O&amp;M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$1,103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$1,661</w:t>
            </w:r>
          </w:p>
        </w:tc>
        <w:tc>
          <w:tcPr>
            <w:tcW w:type="dxa" w:w="2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r>
    </w:tbl>
    <w:p>
      <w:pPr>
        <w:spacing w:after="80"/>
        <w:ind w:left="360"/>
      </w:pPr>
      <w:r>
        <w:rPr>
          <w:rFonts w:ascii="Arial" w:cs="Arial" w:eastAsia="Arial" w:hAnsi="Arial"/>
          <w:b/>
          <w:bCs/>
          <w:color w:val="2D5B9E"/>
          <w:sz w:val="20"/>
          <w:szCs w:val="20"/>
        </w:rPr>
        <w:t xml:space="preserve">Variable O&amp;M ($/t) = $1,661K ÷ 471,577 t CO₂/yr = $3.52/t</w:t>
      </w:r>
    </w:p>
    <w:p>
      <w:pPr>
        <w:spacing w:after="120"/>
      </w:pPr>
      <w:r>
        <w:rPr>
          <w:rFonts w:ascii="Arial" w:cs="Arial" w:eastAsia="Arial" w:hAnsi="Arial"/>
          <w:color w:val="333333"/>
          <w:sz w:val="22"/>
          <w:szCs w:val="22"/>
        </w:rPr>
        <w:t xml:space="preserve">Tech.opex multiplier (1.00 for MEA baseline) would apply here for different capture technologies. Advanced amines have lower solvent degradation, MOFs have different consumable profiles. For post-combustion sources, solvent makeup replaces TEG as the dominant variable cost item.</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w:t>
      </w:r>
    </w:p>
    <w:p>
      <w:pPr>
        <w:spacing w:after="120"/>
      </w:pPr>
      <w:r>
        <w:rPr>
          <w:rFonts w:ascii="Arial" w:cs="Arial" w:eastAsia="Arial" w:hAnsi="Arial"/>
          <w:color w:val="333333"/>
          <w:sz w:val="22"/>
          <w:szCs w:val="22"/>
        </w:rPr>
        <w:t xml:space="preserve">Power cost is the electricity purchased from the grid to run the capture equipment. For ammonia syngas, the compressor is the dominant power consumer. Power scales linearly with CO₂ captured — double the CO₂, double the compression work.</w:t>
      </w:r>
    </w:p>
    <w:p>
      <w:pPr>
        <w:spacing w:after="120"/>
      </w:pPr>
      <w:r>
        <w:rPr>
          <w:rFonts w:ascii="Arial" w:cs="Arial" w:eastAsia="Arial" w:hAnsi="Arial"/>
          <w:b/>
          <w:bCs/>
          <w:color w:val="2D5B9E"/>
          <w:sz w:val="22"/>
          <w:szCs w:val="22"/>
        </w:rPr>
        <w:t xml:space="preserve">Reference Power: </w:t>
      </w:r>
    </w:p>
    <w:p>
      <w:pPr>
        <w:spacing w:after="80"/>
        <w:ind w:left="360"/>
      </w:pPr>
      <w:r>
        <w:rPr>
          <w:rFonts w:ascii="Arial" w:cs="Arial" w:eastAsia="Arial" w:hAnsi="Arial"/>
          <w:b/>
          <w:bCs/>
          <w:color w:val="2D5B9E"/>
          <w:sz w:val="20"/>
          <w:szCs w:val="20"/>
        </w:rPr>
        <w:t xml:space="preserve">Ref Annual MWh = 5.86 MW × 8,760 × 0.85 = 43,630 MWh/yr (Exhibit 5-4: Compressor 5.77 + CW 0.06 + CT 0.03 = 5.86 MW)</w:t>
      </w:r>
    </w:p>
    <w:p>
      <w:pPr>
        <w:spacing w:after="80"/>
        <w:ind w:left="360"/>
      </w:pPr>
      <w:r>
        <w:rPr>
          <w:rFonts w:ascii="Arial" w:cs="Arial" w:eastAsia="Arial" w:hAnsi="Arial"/>
          <w:b/>
          <w:bCs/>
          <w:color w:val="2D5B9E"/>
          <w:sz w:val="20"/>
          <w:szCs w:val="20"/>
        </w:rPr>
        <w:t xml:space="preserve">Ref CO₂ = 413,164 t/yr</w:t>
      </w:r>
    </w:p>
    <w:p>
      <w:pPr>
        <w:spacing w:after="120"/>
      </w:pPr>
      <w:r>
        <w:rPr>
          <w:rFonts w:ascii="Arial" w:cs="Arial" w:eastAsia="Arial" w:hAnsi="Arial"/>
          <w:b/>
          <w:bCs/>
          <w:color w:val="2D5B9E"/>
          <w:sz w:val="22"/>
          <w:szCs w:val="22"/>
        </w:rPr>
        <w:t xml:space="preserve">Scaling:</w:t>
      </w:r>
    </w:p>
    <w:p>
      <w:pPr>
        <w:spacing w:after="80"/>
        <w:ind w:left="360"/>
      </w:pPr>
      <w:r>
        <w:rPr>
          <w:rFonts w:ascii="Arial" w:cs="Arial" w:eastAsia="Arial" w:hAnsi="Arial"/>
          <w:b/>
          <w:bCs/>
          <w:color w:val="2D5B9E"/>
          <w:sz w:val="20"/>
          <w:szCs w:val="20"/>
        </w:rPr>
        <w:t xml:space="preserve">Adj Annual MWh = Ref MWh × (User CO₂ ÷ Ref CO₂) × Tech.power × Learning</w:t>
      </w:r>
    </w:p>
    <w:p>
      <w:pPr>
        <w:spacing w:after="120"/>
      </w:pPr>
      <w:r>
        <w:rPr>
          <w:rFonts w:ascii="Arial" w:cs="Arial" w:eastAsia="Arial" w:hAnsi="Arial"/>
          <w:color w:val="333333"/>
          <w:sz w:val="22"/>
          <w:szCs w:val="22"/>
        </w:rPr>
        <w:t xml:space="preserve">Linear with CO₂ — no economies of scale. Compression work is proportional to mass flow at constant pressure ratio. Tech.power adjusts for different technologies (e.g., membrane = 0.70, meaning 30% less power). Learning reduces power slightly for newer technology vintages.</w:t>
      </w:r>
    </w:p>
    <w:p>
      <w:pPr>
        <w:spacing w:after="120"/>
      </w:pPr>
      <w:r>
        <w:rPr>
          <w:rFonts w:ascii="Arial" w:cs="Arial" w:eastAsia="Arial" w:hAnsi="Arial"/>
          <w:b/>
          <w:bCs/>
          <w:color w:val="2D5B9E"/>
          <w:sz w:val="22"/>
          <w:szCs w:val="22"/>
        </w:rPr>
        <w:t xml:space="preserve">Electricity Price:</w:t>
      </w:r>
    </w:p>
    <w:p>
      <w:pPr>
        <w:spacing w:after="120"/>
      </w:pPr>
      <w:r>
        <w:rPr>
          <w:rFonts w:ascii="Arial" w:cs="Arial" w:eastAsia="Arial" w:hAnsi="Arial"/>
          <w:color w:val="333333"/>
          <w:sz w:val="22"/>
          <w:szCs w:val="22"/>
        </w:rPr>
        <w:t xml:space="preserve">Pulled from EIA Table 5.6.a, state industrial electricity rates. Auto-populated based on user’s selected state. User-overridable.</w:t>
      </w:r>
    </w:p>
    <w:p>
      <w:pPr>
        <w:spacing w:after="80"/>
        <w:ind w:left="360"/>
      </w:pPr>
      <w:r>
        <w:rPr>
          <w:rFonts w:ascii="Arial" w:cs="Arial" w:eastAsia="Arial" w:hAnsi="Arial"/>
          <w:b/>
          <w:bCs/>
          <w:color w:val="2D5B9E"/>
          <w:sz w:val="20"/>
          <w:szCs w:val="20"/>
        </w:rPr>
        <w:t xml:space="preserve">EIA Texas Industrial (2024) = $54.30/MWh</w:t>
      </w:r>
    </w:p>
    <w:p>
      <w:pPr>
        <w:spacing w:after="120"/>
      </w:pPr>
      <w:r>
        <w:rPr>
          <w:rFonts w:ascii="Arial" w:cs="Arial" w:eastAsia="Arial" w:hAnsi="Arial"/>
          <w:b/>
          <w:bCs/>
          <w:color w:val="2D5B9E"/>
          <w:sz w:val="22"/>
          <w:szCs w:val="22"/>
        </w:rPr>
        <w:t xml:space="preserve">Calculation:</w:t>
      </w:r>
    </w:p>
    <w:p>
      <w:pPr>
        <w:spacing w:after="80"/>
        <w:ind w:left="360"/>
      </w:pPr>
      <w:r>
        <w:rPr>
          <w:rFonts w:ascii="Arial" w:cs="Arial" w:eastAsia="Arial" w:hAnsi="Arial"/>
          <w:b/>
          <w:bCs/>
          <w:color w:val="2D5B9E"/>
          <w:sz w:val="20"/>
          <w:szCs w:val="20"/>
        </w:rPr>
        <w:t xml:space="preserve">Power Cost ($) = Adj Annual MWh × EIA State Price ($/MWh)</w:t>
      </w:r>
    </w:p>
    <w:p>
      <w:pPr>
        <w:spacing w:after="80"/>
        <w:ind w:left="360"/>
      </w:pPr>
      <w:r>
        <w:rPr>
          <w:rFonts w:ascii="Arial" w:cs="Arial" w:eastAsia="Arial" w:hAnsi="Arial"/>
          <w:b/>
          <w:bCs/>
          <w:color w:val="2D5B9E"/>
          <w:sz w:val="20"/>
          <w:szCs w:val="20"/>
        </w:rPr>
        <w:t xml:space="preserve">Power ($/t) = Power Cost ÷ User CO₂ Captured</w:t>
      </w:r>
    </w:p>
    <w:p>
      <w:pPr>
        <w:spacing w:after="120"/>
      </w:pPr>
      <w:r>
        <w:rPr>
          <w:rFonts w:ascii="Arial" w:cs="Arial" w:eastAsia="Arial" w:hAnsi="Arial"/>
          <w:b/>
          <w:bCs/>
          <w:color w:val="1B6B4A"/>
          <w:sz w:val="22"/>
          <w:szCs w:val="22"/>
        </w:rPr>
        <w:t xml:space="preserve">Worked Example (using estimated Ref MWh):</w:t>
      </w:r>
    </w:p>
    <w:p>
      <w:pPr>
        <w:spacing w:after="120"/>
      </w:pPr>
      <w:r>
        <w:rPr>
          <w:rFonts w:ascii="Arial" w:cs="Arial" w:eastAsia="Arial" w:hAnsi="Arial"/>
          <w:color w:val="333333"/>
          <w:sz w:val="22"/>
          <w:szCs w:val="22"/>
        </w:rPr>
        <w:t xml:space="preserve">Estimating Ref MWh from NETL COC: Power = $6.3/t at ~$63.3/MWh (EIA 2018 LA industrial) gives ~41,200 MWh/yr. Pending verification from Exhibit 5-4.</w:t>
      </w:r>
    </w:p>
    <w:p>
      <w:pPr>
        <w:spacing w:after="80"/>
        <w:ind w:left="360"/>
      </w:pPr>
      <w:r>
        <w:rPr>
          <w:rFonts w:ascii="Arial" w:cs="Arial" w:eastAsia="Arial" w:hAnsi="Arial"/>
          <w:b/>
          <w:bCs/>
          <w:color w:val="2D5B9E"/>
          <w:sz w:val="20"/>
          <w:szCs w:val="20"/>
        </w:rPr>
        <w:t xml:space="preserve">Adj MWh = 41,200 × (471,577 ÷ 413,164) × 1.00 × 0.961 = 45,170 MWh</w:t>
      </w:r>
    </w:p>
    <w:p>
      <w:pPr>
        <w:spacing w:after="80"/>
        <w:ind w:left="360"/>
      </w:pPr>
      <w:r>
        <w:rPr>
          <w:rFonts w:ascii="Arial" w:cs="Arial" w:eastAsia="Arial" w:hAnsi="Arial"/>
          <w:b/>
          <w:bCs/>
          <w:color w:val="2D5B9E"/>
          <w:sz w:val="20"/>
          <w:szCs w:val="20"/>
        </w:rPr>
        <w:t xml:space="preserve">Power Cost = 45,170 MWh × $54.30/MWh = $2,453K</w:t>
      </w:r>
    </w:p>
    <w:p>
      <w:pPr>
        <w:spacing w:after="80"/>
        <w:ind w:left="360"/>
      </w:pPr>
      <w:r>
        <w:rPr>
          <w:rFonts w:ascii="Arial" w:cs="Arial" w:eastAsia="Arial" w:hAnsi="Arial"/>
          <w:b/>
          <w:bCs/>
          <w:color w:val="2D5B9E"/>
          <w:sz w:val="20"/>
          <w:szCs w:val="20"/>
        </w:rPr>
        <w:t xml:space="preserve">Power ($/t) = $2,453K ÷ 471,577 = $5.20/t</w:t>
      </w:r>
    </w:p>
    <w:p>
      <w:pPr>
        <w:spacing w:after="120"/>
      </w:pPr>
      <w:r>
        <w:rPr>
          <w:rFonts w:ascii="Arial" w:cs="Arial" w:eastAsia="Arial" w:hAnsi="Arial"/>
          <w:color w:val="333333"/>
          <w:sz w:val="22"/>
          <w:szCs w:val="22"/>
        </w:rPr>
        <w:t xml:space="preserve">Lower than NETL’s $6.3/t because Texas electricity ($54.30) is cheaper than Louisiana (~$63.30). The EIA price is the key driver of this component.</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 = $0</w:t>
      </w:r>
    </w:p>
    <w:p>
      <w:pPr>
        <w:spacing w:after="120"/>
      </w:pPr>
      <w:r>
        <w:rPr>
          <w:rFonts w:ascii="Arial" w:cs="Arial" w:eastAsia="Arial" w:hAnsi="Arial"/>
          <w:color w:val="333333"/>
          <w:sz w:val="22"/>
          <w:szCs w:val="22"/>
        </w:rPr>
        <w:t xml:space="preserve">High-purity source — no solvent regeneration, no steam, no boiler. The only energy input is electricity for compression (covered in Step 8). For post-combustion sources (NGCC, coal, cement, steel), this step would include natural gas cost for the reboiler steam or new boiler.</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120"/>
      </w:pPr>
      <w:r>
        <w:rPr>
          <w:rFonts w:ascii="Arial" w:cs="Arial" w:eastAsia="Arial" w:hAnsi="Arial"/>
          <w:b/>
          <w:bCs/>
          <w:color w:val="1B6B4A"/>
          <w:sz w:val="22"/>
          <w:szCs w:val="22"/>
        </w:rPr>
        <w:t xml:space="preserve">LCOC = Capital + Fixed O&amp;M + Variable O&amp;M + Power + Fuel</w:t>
      </w:r>
    </w:p>
    <w:p>
      <w:pPr>
        <w:spacing w:after="120"/>
      </w:pPr>
      <w:r>
        <w:rPr>
          <w:rFonts w:ascii="Arial" w:cs="Arial" w:eastAsia="Arial" w:hAnsi="Arial"/>
          <w:b/>
          <w:bCs/>
          <w:color w:val="1B6B4A"/>
          <w:sz w:val="22"/>
          <w:szCs w:val="22"/>
        </w:rPr>
        <w:t xml:space="preserve">Worked Example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$/tonne</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of LCOC</w:t>
            </w:r>
          </w:p>
        </w:tc>
        <w:tc>
          <w:tcPr>
            <w:tcW w:type="dxa" w:w="39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Driver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Capital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$14.92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47%</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CAPEX ($66.3M) × Annuity Factor (0.1061). WACC is the biggest lever.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Fixed O&amp;M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$4.81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Property tax/insurance (2% of TPC) dominates. Step function on operators.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Variable O&amp;M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TEG consumption is 61% of variable. Scales linearly per tonne.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Power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Compression MWh × EIA state price. Texas rate helps.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Fuel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High-purity source. No solvent/steam/boiler.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LCOC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$28.45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500K t NH₃/yr, TX, 2024$, 85% CF, 90% CR, MEA, 10% WACC, 30yr</w:t>
            </w:r>
          </w:p>
        </w:tc>
      </w:tr>
    </w:tbl>
    <w:p>
      <w:pPr>
        <w:spacing w:after="120"/>
      </w:pPr>
      <w:r>
        <w:rPr>
          <w:rFonts w:ascii="Arial" w:cs="Arial" w:eastAsia="Arial" w:hAnsi="Arial"/>
          <w:color w:val="333333"/>
          <w:sz w:val="22"/>
          <w:szCs w:val="22"/>
        </w:rPr>
        <w:t xml:space="preserve">Comparison to NETL reference ($19.0/t at 394K t/yr, LA, 2018$, 5.51% Annuity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Effect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2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Magnitude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WACC (10% vs ~3.5%)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Higher capital/t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LCOC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Largest driver (+$8.8/t)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CEPCI (2024 vs 2018)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All costs inflate 34%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LCOC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+$4.5/t across all components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Larger plant (500K vs 394K)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Economies of scale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LCOC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–2.1/t (CAPEX scales sub-linearly)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TX vs LA electricity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Cheaper power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LCOC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–$1.1/t (TX $54 vs LA ~$63/MWh)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TX vs LA location factor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Cheaper construction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LCOC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–$0.6/t (TX 0.93 vs LA 0.97)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Net difference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+$9.5/t ($19.0 → $28.5)</w:t>
            </w:r>
          </w:p>
        </w:tc>
      </w:tr>
    </w:tbl>
    <w:p>
      <w:pPr>
        <w:spacing w:after="120"/>
      </w:pPr>
      <w:r>
        <w:rPr>
          <w:rFonts w:ascii="Arial" w:cs="Arial" w:eastAsia="Arial" w:hAnsi="Arial"/>
          <w:color w:val="333333"/>
          <w:sz w:val="22"/>
          <w:szCs w:val="22"/>
        </w:rPr>
        <w:t xml:space="preserve">The WACC assumption dominates. At NETL’s implied ~3.5% WACC, the same project would produce an LCOC of ~$21/t — close to their $19.0. The difference between a regulated utility cost of capital and a merchant/industrial return requirement is the single biggest driver of capture economics.</w:t>
      </w:r>
    </w:p>
    <w:p>
      <w:r>
        <w:br w:type="page"/>
      </w:r>
    </w:p>
    <w:p>
      <w:pPr>
        <w:pStyle w:val="Heading2"/>
        <w:spacing w:before="240" w:after="140"/>
      </w:pPr>
      <w:r>
        <w:rPr>
          <w:rFonts w:ascii="Arial" w:cs="Arial" w:eastAsia="Arial" w:hAnsi="Arial"/>
          <w:b/>
          <w:bCs/>
          <w:color w:val="1A1A2E"/>
          <w:sz w:val="26"/>
          <w:szCs w:val="26"/>
        </w:rPr>
        <w:t xml:space="preserve">6.2 Ammonia (SMR — Both Streams)</w:t>
      </w:r>
    </w:p>
    <w:p>
      <w:pPr>
        <w:spacing w:after="120"/>
      </w:pPr>
      <w:r>
        <w:rPr>
          <w:rFonts w:ascii="Arial" w:cs="Arial" w:eastAsia="Arial" w:hAnsi="Arial"/>
          <w:color w:val="333333"/>
          <w:sz w:val="22"/>
          <w:szCs w:val="22"/>
        </w:rPr>
        <w:t xml:space="preserve">When both syngas and flue gas are captured, two parallel calculations are run and combined. Stream A (syngas) follows Section 6.1. Stream B (flue gas) uses the post-combustion cost structure from Section 6.8 (NGCC framework).</w:t>
      </w:r>
    </w:p>
    <w:p>
      <w:pPr>
        <w:spacing w:after="80"/>
      </w:pPr>
      <w:r>
        <w:rPr>
          <w:rFonts w:ascii="Arial" w:cs="Arial" w:eastAsia="Arial" w:hAnsi="Arial"/>
          <w:b/>
          <w:bCs/>
          <w:color w:val="1B6B4A"/>
          <w:sz w:val="22"/>
          <w:szCs w:val="22"/>
        </w:rPr>
        <w:t xml:space="preserve">Step A: </w:t>
      </w:r>
      <w:r>
        <w:rPr>
          <w:rFonts w:ascii="Arial" w:cs="Arial" w:eastAsia="Arial" w:hAnsi="Arial"/>
          <w:b/>
          <w:bCs/>
          <w:color w:val="1A1A2E"/>
          <w:sz w:val="22"/>
          <w:szCs w:val="22"/>
        </w:rPr>
        <w:t xml:space="preserve">Stream A — Syngas (Section 6.1)</w:t>
      </w:r>
    </w:p>
    <w:p>
      <w:pPr>
        <w:spacing w:after="80"/>
        <w:ind w:left="360"/>
      </w:pPr>
      <w:r>
        <w:rPr>
          <w:rFonts w:ascii="Arial" w:cs="Arial" w:eastAsia="Arial" w:hAnsi="Arial"/>
          <w:b/>
          <w:bCs/>
          <w:color w:val="2D5B9E"/>
          <w:sz w:val="20"/>
          <w:szCs w:val="20"/>
        </w:rPr>
        <w:t xml:space="preserve">All 10 steps as documented in Section 6.1</w:t>
      </w:r>
    </w:p>
    <w:p>
      <w:pPr>
        <w:spacing w:after="80"/>
        <w:ind w:left="360"/>
      </w:pPr>
      <w:r>
        <w:rPr>
          <w:rFonts w:ascii="Arial" w:cs="Arial" w:eastAsia="Arial" w:hAnsi="Arial"/>
          <w:b/>
          <w:bCs/>
          <w:color w:val="2D5B9E"/>
          <w:sz w:val="20"/>
          <w:szCs w:val="20"/>
        </w:rPr>
        <w:t xml:space="preserve">Result: LCOC_A, Annual_Cost_A, CO2_A</w:t>
      </w:r>
    </w:p>
    <w:p>
      <w:pPr>
        <w:spacing w:after="80"/>
      </w:pPr>
      <w:r>
        <w:rPr>
          <w:rFonts w:ascii="Arial" w:cs="Arial" w:eastAsia="Arial" w:hAnsi="Arial"/>
          <w:b/>
          <w:bCs/>
          <w:color w:val="1B6B4A"/>
          <w:sz w:val="22"/>
          <w:szCs w:val="22"/>
        </w:rPr>
        <w:t xml:space="preserve">Step B: </w:t>
      </w:r>
      <w:r>
        <w:rPr>
          <w:rFonts w:ascii="Arial" w:cs="Arial" w:eastAsia="Arial" w:hAnsi="Arial"/>
          <w:b/>
          <w:bCs/>
          <w:color w:val="1A1A2E"/>
          <w:sz w:val="22"/>
          <w:szCs w:val="22"/>
        </w:rPr>
        <w:t xml:space="preserve">Stream B — Flue Gas</w:t>
      </w:r>
    </w:p>
    <w:p>
      <w:pPr>
        <w:spacing w:after="80"/>
        <w:ind w:left="360"/>
      </w:pPr>
      <w:r>
        <w:rPr>
          <w:rFonts w:ascii="Arial" w:cs="Arial" w:eastAsia="Arial" w:hAnsi="Arial"/>
          <w:b/>
          <w:bCs/>
          <w:color w:val="2D5B9E"/>
          <w:sz w:val="20"/>
          <w:szCs w:val="20"/>
        </w:rPr>
        <w:t xml:space="preserve">Flue_Gas_CO2 = Total_CO2 × Flue_Split</w:t>
      </w:r>
    </w:p>
    <w:p>
      <w:pPr>
        <w:spacing w:after="80"/>
        <w:ind w:left="360"/>
      </w:pPr>
      <w:r>
        <w:rPr>
          <w:rFonts w:ascii="Arial" w:cs="Arial" w:eastAsia="Arial" w:hAnsi="Arial"/>
          <w:b/>
          <w:bCs/>
          <w:color w:val="2D5B9E"/>
          <w:sz w:val="20"/>
          <w:szCs w:val="20"/>
        </w:rPr>
        <w:t xml:space="preserve">Flue_Gas_CO2 = 793,900 × 0.34 = 269,926 t/yr</w:t>
      </w:r>
    </w:p>
    <w:p>
      <w:pPr>
        <w:spacing w:after="80"/>
        <w:ind w:left="360"/>
      </w:pPr>
      <w:r>
        <w:rPr>
          <w:rFonts w:ascii="Arial" w:cs="Arial" w:eastAsia="Arial" w:hAnsi="Arial"/>
          <w:b/>
          <w:bCs/>
          <w:color w:val="2D5B9E"/>
          <w:sz w:val="20"/>
          <w:szCs w:val="20"/>
        </w:rPr>
        <w:t xml:space="preserve">CO2_Captured_B = 269,926 × Capture_Rate = 242,933 t/yr</w:t>
      </w:r>
    </w:p>
    <w:p>
      <w:pPr>
        <w:spacing w:after="120"/>
      </w:pPr>
      <w:r>
        <w:rPr>
          <w:rFonts w:ascii="Arial" w:cs="Arial" w:eastAsia="Arial" w:hAnsi="Arial"/>
          <w:color w:val="333333"/>
          <w:sz w:val="22"/>
          <w:szCs w:val="22"/>
        </w:rPr>
        <w:t xml:space="preserve">Stream B has its own TPC (full amine system: absorber, stripper, reboiler, new NG boiler), its own O&amp;M (solvent makeup, 3.3 operators, NG fuel), and its own power (absorber fan, pumps, compression).</w:t>
      </w:r>
    </w:p>
    <w:p>
      <w:pPr>
        <w:spacing w:after="120"/>
      </w:pPr>
      <w:r>
        <w:rPr>
          <w:rFonts w:ascii="Arial" w:cs="Arial" w:eastAsia="Arial" w:hAnsi="Arial"/>
          <w:color w:val="333333"/>
          <w:sz w:val="22"/>
          <w:szCs w:val="22"/>
        </w:rPr>
        <w:t xml:space="preserve">Steps 2–10 follow the post-combustion framework (Section 6.8) using the flue gas variant reference data from NETL.</w:t>
      </w:r>
    </w:p>
    <w:p>
      <w:pPr>
        <w:spacing w:after="80"/>
        <w:ind w:left="360"/>
      </w:pPr>
      <w:r>
        <w:rPr>
          <w:rFonts w:ascii="Arial" w:cs="Arial" w:eastAsia="Arial" w:hAnsi="Arial"/>
          <w:b/>
          <w:bCs/>
          <w:color w:val="2D5B9E"/>
          <w:sz w:val="20"/>
          <w:szCs w:val="20"/>
        </w:rPr>
        <w:t xml:space="preserve">Result: LCOC_B, Annual_Cost_B, CO2_B</w:t>
      </w:r>
    </w:p>
    <w:p>
      <w:pPr>
        <w:spacing w:after="80"/>
      </w:pPr>
      <w:r>
        <w:rPr>
          <w:rFonts w:ascii="Arial" w:cs="Arial" w:eastAsia="Arial" w:hAnsi="Arial"/>
          <w:b/>
          <w:bCs/>
          <w:color w:val="1B6B4A"/>
          <w:sz w:val="22"/>
          <w:szCs w:val="22"/>
        </w:rPr>
        <w:t xml:space="preserve">Step C: </w:t>
      </w:r>
      <w:r>
        <w:rPr>
          <w:rFonts w:ascii="Arial" w:cs="Arial" w:eastAsia="Arial" w:hAnsi="Arial"/>
          <w:b/>
          <w:bCs/>
          <w:color w:val="1A1A2E"/>
          <w:sz w:val="22"/>
          <w:szCs w:val="22"/>
        </w:rPr>
        <w:t xml:space="preserve">Combine Both Streams</w:t>
      </w:r>
    </w:p>
    <w:p>
      <w:pPr>
        <w:spacing w:after="80"/>
        <w:ind w:left="360"/>
      </w:pPr>
      <w:r>
        <w:rPr>
          <w:rFonts w:ascii="Arial" w:cs="Arial" w:eastAsia="Arial" w:hAnsi="Arial"/>
          <w:b/>
          <w:bCs/>
          <w:color w:val="2D5B9E"/>
          <w:sz w:val="20"/>
          <w:szCs w:val="20"/>
        </w:rPr>
        <w:t xml:space="preserve">Total_CO2_Captured = CO2_A + CO2_B</w:t>
      </w:r>
    </w:p>
    <w:p>
      <w:pPr>
        <w:spacing w:after="80"/>
        <w:ind w:left="360"/>
      </w:pPr>
      <w:r>
        <w:rPr>
          <w:rFonts w:ascii="Arial" w:cs="Arial" w:eastAsia="Arial" w:hAnsi="Arial"/>
          <w:b/>
          <w:bCs/>
          <w:color w:val="2D5B9E"/>
          <w:sz w:val="20"/>
          <w:szCs w:val="20"/>
        </w:rPr>
        <w:t xml:space="preserve">Total_Annual_Cost = Annual_Cost_A + Annual_Cost_B</w:t>
      </w:r>
    </w:p>
    <w:p>
      <w:pPr>
        <w:spacing w:after="120"/>
      </w:pPr>
      <w:r>
        <w:rPr>
          <w:rFonts w:ascii="Arial" w:cs="Arial" w:eastAsia="Arial" w:hAnsi="Arial"/>
          <w:color w:val="333333"/>
          <w:sz w:val="22"/>
          <w:szCs w:val="22"/>
        </w:rPr>
        <w:t xml:space="preserve">Shared infrastructure discount on CAPEX:</w:t>
      </w:r>
    </w:p>
    <w:p>
      <w:pPr>
        <w:spacing w:after="80"/>
        <w:ind w:left="360"/>
      </w:pPr>
      <w:r>
        <w:rPr>
          <w:rFonts w:ascii="Arial" w:cs="Arial" w:eastAsia="Arial" w:hAnsi="Arial"/>
          <w:b/>
          <w:bCs/>
          <w:color w:val="2D5B9E"/>
          <w:sz w:val="20"/>
          <w:szCs w:val="20"/>
        </w:rPr>
        <w:t xml:space="preserve">Shared_Items = Accounts 9, 11, 12, 13, 14 (cooling, electrical, I&amp;C, site, buildings)</w:t>
      </w:r>
    </w:p>
    <w:p>
      <w:pPr>
        <w:spacing w:after="80"/>
        <w:ind w:left="360"/>
      </w:pPr>
      <w:r>
        <w:rPr>
          <w:rFonts w:ascii="Arial" w:cs="Arial" w:eastAsia="Arial" w:hAnsi="Arial"/>
          <w:b/>
          <w:bCs/>
          <w:color w:val="2D5B9E"/>
          <w:sz w:val="20"/>
          <w:szCs w:val="20"/>
        </w:rPr>
        <w:t xml:space="preserve">Shared_Discount = Shared_Items × 0.35 (avoid double-counting — one site, one control room)</w:t>
      </w:r>
    </w:p>
    <w:p>
      <w:pPr>
        <w:spacing w:after="80"/>
        <w:ind w:left="360"/>
      </w:pPr>
      <w:r>
        <w:rPr>
          <w:rFonts w:ascii="Arial" w:cs="Arial" w:eastAsia="Arial" w:hAnsi="Arial"/>
          <w:b/>
          <w:bCs/>
          <w:color w:val="2D5B9E"/>
          <w:sz w:val="20"/>
          <w:szCs w:val="20"/>
        </w:rPr>
        <w:t xml:space="preserve">Adjusted_Total_CAPEX = CAPEX_A + CAPEX_B – Shared_Discount</w:t>
      </w:r>
    </w:p>
    <w:p>
      <w:pPr>
        <w:spacing w:after="80"/>
        <w:ind w:left="360"/>
      </w:pPr>
      <w:r>
        <w:rPr>
          <w:rFonts w:ascii="Arial" w:cs="Arial" w:eastAsia="Arial" w:hAnsi="Arial"/>
          <w:b/>
          <w:bCs/>
          <w:color w:val="2D5B9E"/>
          <w:sz w:val="20"/>
          <w:szCs w:val="20"/>
        </w:rPr>
        <w:t xml:space="preserve">Blended_LCOC = Total_Annual_Cost ÷ Total_CO2_Captured</w:t>
      </w:r>
    </w:p>
    <w:p>
      <w:r>
        <w:br w:type="page"/>
      </w:r>
    </w:p>
    <w:p>
      <w:pPr>
        <w:pStyle w:val="Heading2"/>
        <w:spacing w:before="240" w:after="140"/>
      </w:pPr>
      <w:r>
        <w:rPr>
          <w:rFonts w:ascii="Arial" w:cs="Arial" w:eastAsia="Arial" w:hAnsi="Arial"/>
          <w:b/>
          <w:bCs/>
          <w:color w:val="1A1A2E"/>
          <w:sz w:val="26"/>
          <w:szCs w:val="26"/>
        </w:rPr>
        <w:t xml:space="preserve">6.5 Ethylene Oxide</w:t>
      </w:r>
    </w:p>
    <w:p>
      <w:pPr>
        <w:spacing w:after="120"/>
      </w:pPr>
      <w:r>
        <w:rPr>
          <w:rFonts w:ascii="Arial" w:cs="Arial" w:eastAsia="Arial" w:hAnsi="Arial"/>
          <w:color w:val="333333"/>
          <w:sz w:val="22"/>
          <w:szCs w:val="22"/>
        </w:rPr>
        <w:t xml:space="preserve">High-purity capture. Compression + dehydration only. Same 10-step framework as ammonia syngas. CO₂ is a byproduct of the ethylene oxidation reaction.</w:t>
      </w:r>
    </w:p>
    <w:p>
      <w:pPr>
        <w:spacing w:after="40"/>
      </w:pPr>
      <w:r>
        <w:rPr>
          <w:rFonts w:ascii="Arial" w:cs="Arial" w:eastAsia="Arial" w:hAnsi="Arial"/>
          <w:b/>
          <w:bCs/>
          <w:color w:val="1B6B4A"/>
          <w:sz w:val="22"/>
          <w:szCs w:val="22"/>
        </w:rPr>
        <w:t xml:space="preserve">Complete Calculation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
        <w:gridCol w:w="1100"/>
        <w:gridCol w:w="400"/>
        <w:gridCol w:w="1100"/>
        <w:gridCol w:w="400"/>
        <w:gridCol w:w="900"/>
        <w:gridCol w:w="400"/>
        <w:gridCol w:w="1100"/>
        <w:gridCol w:w="400"/>
        <w:gridCol w:w="1000"/>
        <w:gridCol w:w="400"/>
        <w:gridCol w:w="900"/>
        <w:gridCol w:w="400"/>
        <w:gridCol w:w="800"/>
        <w:gridCol w:w="400"/>
        <w:gridCol w:w="800"/>
      </w:tblGrid>
      <w:tr>
        <w:tc>
          <w:tcPr>
            <w:tcW w:type="dxa" w:w="9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Size Ratio</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Adjustments</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CAPEX</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Capital</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Fixed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Var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Power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99999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9. Fuel=$0</w:t>
            </w:r>
          </w:p>
        </w:tc>
      </w:tr>
    </w:tbl>
    <w:p>
      <w:pPr>
        <w:spacing w:after="120"/>
      </w:pPr>
      <w:r>
        <w:rPr>
          <w:rFonts w:ascii="Arial" w:cs="Arial" w:eastAsia="Arial" w:hAnsi="Arial"/>
          <w:b/>
          <w:bCs/>
          <w:color w:val="1B6B4A"/>
          <w:sz w:val="22"/>
          <w:szCs w:val="22"/>
        </w:rPr>
        <w:t xml:space="preserve">Reference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 Derivation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Capacity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364,500 t EO/yr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5-13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CO₂ Captured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103,276 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5-13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assumption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Emission Factor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0.333 t CO₂/t EO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103,276 ÷ (364,500 × 0.85) = 0.333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TPC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$16,636K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Exhibit 5-15 extracted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MW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 MW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Exhibit 5-15 extracted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NETL Elec Price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$60/MWh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Section 3.1.2.4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State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baseline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Cost Basis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Dec 2018$</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standard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RDF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GF=$26.0, RF=$26.2 — negligible. NETL applies 1.01 blanket.</w:t>
            </w:r>
          </w:p>
        </w:tc>
      </w:tr>
    </w:tbl>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120"/>
      </w:pPr>
      <w:r>
        <w:rPr>
          <w:rFonts w:ascii="Arial" w:cs="Arial" w:eastAsia="Arial" w:hAnsi="Arial"/>
          <w:color w:val="333333"/>
          <w:sz w:val="22"/>
          <w:szCs w:val="22"/>
        </w:rPr>
        <w:t xml:space="preserve">EO has a simpler derivation than ammonia — no stream split, no urea diversion. All process CO₂ comes from the ethylene oxidation side reaction. Four entry points same as ammonia.</w:t>
      </w:r>
    </w:p>
    <w:p>
      <w:pPr>
        <w:spacing w:after="120"/>
      </w:pPr>
      <w:r>
        <w:rPr>
          <w:rFonts w:ascii="Arial" w:cs="Arial" w:eastAsia="Arial" w:hAnsi="Arial"/>
          <w:b/>
          <w:bCs/>
          <w:color w:val="2D5B9E"/>
          <w:sz w:val="22"/>
          <w:szCs w:val="22"/>
        </w:rPr>
        <w:t xml:space="preserve">Entry Point A — Plant Capacity:</w:t>
      </w:r>
    </w:p>
    <w:p>
      <w:pPr>
        <w:spacing w:after="80"/>
        <w:ind w:left="360"/>
      </w:pPr>
      <w:r>
        <w:rPr>
          <w:rFonts w:ascii="Arial" w:cs="Arial" w:eastAsia="Arial" w:hAnsi="Arial"/>
          <w:b/>
          <w:bCs/>
          <w:color w:val="2D5B9E"/>
          <w:sz w:val="20"/>
          <w:szCs w:val="20"/>
        </w:rPr>
        <w:t xml:space="preserve">Annual_Output = Plant_Capacity × CF</w:t>
      </w:r>
    </w:p>
    <w:p>
      <w:pPr>
        <w:spacing w:after="80"/>
        <w:ind w:left="360"/>
      </w:pPr>
      <w:r>
        <w:rPr>
          <w:rFonts w:ascii="Arial" w:cs="Arial" w:eastAsia="Arial" w:hAnsi="Arial"/>
          <w:b/>
          <w:bCs/>
          <w:color w:val="2D5B9E"/>
          <w:sz w:val="20"/>
          <w:szCs w:val="20"/>
        </w:rPr>
        <w:t xml:space="preserve">CO2_Produced = Annual_Output × EF</w:t>
      </w:r>
    </w:p>
    <w:p>
      <w:pPr>
        <w:spacing w:after="80"/>
        <w:ind w:left="360"/>
      </w:pPr>
      <w:r>
        <w:rPr>
          <w:rFonts w:ascii="Arial" w:cs="Arial" w:eastAsia="Arial" w:hAnsi="Arial"/>
          <w:b/>
          <w:bCs/>
          <w:color w:val="2D5B9E"/>
          <w:sz w:val="20"/>
          <w:szCs w:val="20"/>
        </w:rPr>
        <w:t xml:space="preserve">CO2_Captured = CO2_Produced × Capture_Rate</w:t>
      </w:r>
    </w:p>
    <w:p>
      <w:pPr>
        <w:spacing w:after="120"/>
      </w:pPr>
      <w:r>
        <w:rPr>
          <w:rFonts w:ascii="Arial" w:cs="Arial" w:eastAsia="Arial" w:hAnsi="Arial"/>
          <w:color w:val="333333"/>
          <w:sz w:val="22"/>
          <w:szCs w:val="22"/>
        </w:rPr>
        <w:t xml:space="preserve">Example: 400,000 t EO/yr, 85% CF, 90% CR:</w:t>
      </w:r>
    </w:p>
    <w:p>
      <w:pPr>
        <w:spacing w:after="80"/>
        <w:ind w:left="360"/>
      </w:pPr>
      <w:r>
        <w:rPr>
          <w:rFonts w:ascii="Arial" w:cs="Arial" w:eastAsia="Arial" w:hAnsi="Arial"/>
          <w:b/>
          <w:bCs/>
          <w:color w:val="2D5B9E"/>
          <w:sz w:val="20"/>
          <w:szCs w:val="20"/>
        </w:rPr>
        <w:t xml:space="preserve">Annual_Output = 400,000 × 0.85 = 340,000 t EO/yr</w:t>
      </w:r>
    </w:p>
    <w:p>
      <w:pPr>
        <w:spacing w:after="80"/>
        <w:ind w:left="360"/>
      </w:pPr>
      <w:r>
        <w:rPr>
          <w:rFonts w:ascii="Arial" w:cs="Arial" w:eastAsia="Arial" w:hAnsi="Arial"/>
          <w:b/>
          <w:bCs/>
          <w:color w:val="2D5B9E"/>
          <w:sz w:val="20"/>
          <w:szCs w:val="20"/>
        </w:rPr>
        <w:t xml:space="preserve">CO2_Produced = 340,000 × 0.333 = 113,220 t CO₂/yr</w:t>
      </w:r>
    </w:p>
    <w:p>
      <w:pPr>
        <w:spacing w:after="80"/>
        <w:ind w:left="360"/>
      </w:pPr>
      <w:r>
        <w:rPr>
          <w:rFonts w:ascii="Arial" w:cs="Arial" w:eastAsia="Arial" w:hAnsi="Arial"/>
          <w:b/>
          <w:bCs/>
          <w:color w:val="2D5B9E"/>
          <w:sz w:val="20"/>
          <w:szCs w:val="20"/>
        </w:rPr>
        <w:t xml:space="preserve">CO2_Captured = 113,220 × 0.90 = 101,898 t CO₂/yr</w:t>
      </w:r>
    </w:p>
    <w:p>
      <w:pPr>
        <w:spacing w:after="120"/>
      </w:pPr>
      <w:r>
        <w:rPr>
          <w:rFonts w:ascii="Arial" w:cs="Arial" w:eastAsia="Arial" w:hAnsi="Arial"/>
          <w:b/>
          <w:bCs/>
          <w:color w:val="2D5B9E"/>
          <w:sz w:val="22"/>
          <w:szCs w:val="22"/>
        </w:rPr>
        <w:t xml:space="preserve">Entry Point B — Annual Output:</w:t>
      </w:r>
    </w:p>
    <w:p>
      <w:pPr>
        <w:spacing w:after="80"/>
        <w:ind w:left="360"/>
      </w:pPr>
      <w:r>
        <w:rPr>
          <w:rFonts w:ascii="Arial" w:cs="Arial" w:eastAsia="Arial" w:hAnsi="Arial"/>
          <w:b/>
          <w:bCs/>
          <w:color w:val="2D5B9E"/>
          <w:sz w:val="20"/>
          <w:szCs w:val="20"/>
        </w:rPr>
        <w:t xml:space="preserve">Plant_Capacity = Annual_Output ÷ CF</w:t>
      </w:r>
    </w:p>
    <w:p>
      <w:pPr>
        <w:spacing w:after="120"/>
      </w:pPr>
      <w:r>
        <w:rPr>
          <w:rFonts w:ascii="Arial" w:cs="Arial" w:eastAsia="Arial" w:hAnsi="Arial"/>
          <w:b/>
          <w:bCs/>
          <w:color w:val="2D5B9E"/>
          <w:sz w:val="22"/>
          <w:szCs w:val="22"/>
        </w:rPr>
        <w:t xml:space="preserve">Entry Point C — CO₂ Produced:</w:t>
      </w:r>
    </w:p>
    <w:p>
      <w:pPr>
        <w:spacing w:after="80"/>
        <w:ind w:left="360"/>
      </w:pPr>
      <w:r>
        <w:rPr>
          <w:rFonts w:ascii="Arial" w:cs="Arial" w:eastAsia="Arial" w:hAnsi="Arial"/>
          <w:b/>
          <w:bCs/>
          <w:color w:val="2D5B9E"/>
          <w:sz w:val="20"/>
          <w:szCs w:val="20"/>
        </w:rPr>
        <w:t xml:space="preserve">Annual_Output = CO2_Produced ÷ EF</w:t>
      </w:r>
    </w:p>
    <w:p>
      <w:pPr>
        <w:spacing w:after="80"/>
        <w:ind w:left="360"/>
      </w:pPr>
      <w:r>
        <w:rPr>
          <w:rFonts w:ascii="Arial" w:cs="Arial" w:eastAsia="Arial" w:hAnsi="Arial"/>
          <w:b/>
          <w:bCs/>
          <w:color w:val="2D5B9E"/>
          <w:sz w:val="20"/>
          <w:szCs w:val="20"/>
        </w:rPr>
        <w:t xml:space="preserve">Plant_Capacity = Annual_Output ÷ CF</w:t>
      </w:r>
    </w:p>
    <w:p>
      <w:pPr>
        <w:spacing w:after="120"/>
      </w:pPr>
      <w:r>
        <w:rPr>
          <w:rFonts w:ascii="Arial" w:cs="Arial" w:eastAsia="Arial" w:hAnsi="Arial"/>
          <w:b/>
          <w:bCs/>
          <w:color w:val="2D5B9E"/>
          <w:sz w:val="22"/>
          <w:szCs w:val="22"/>
        </w:rPr>
        <w:t xml:space="preserve">Entry Point D — CO₂ Captured:</w:t>
      </w:r>
    </w:p>
    <w:p>
      <w:pPr>
        <w:spacing w:after="80"/>
        <w:ind w:left="360"/>
      </w:pPr>
      <w:r>
        <w:rPr>
          <w:rFonts w:ascii="Arial" w:cs="Arial" w:eastAsia="Arial" w:hAnsi="Arial"/>
          <w:b/>
          <w:bCs/>
          <w:color w:val="2D5B9E"/>
          <w:sz w:val="20"/>
          <w:szCs w:val="20"/>
        </w:rPr>
        <w:t xml:space="preserve">CO2_Produced = CO2_Captured ÷ Capture_Rate</w:t>
      </w:r>
    </w:p>
    <w:p>
      <w:pPr>
        <w:spacing w:after="80"/>
        <w:ind w:left="360"/>
      </w:pPr>
      <w:r>
        <w:rPr>
          <w:rFonts w:ascii="Arial" w:cs="Arial" w:eastAsia="Arial" w:hAnsi="Arial"/>
          <w:b/>
          <w:bCs/>
          <w:color w:val="2D5B9E"/>
          <w:sz w:val="20"/>
          <w:szCs w:val="20"/>
        </w:rPr>
        <w:t xml:space="preserve">Annual_Output = CO2_Produced ÷ EF</w:t>
      </w:r>
    </w:p>
    <w:p>
      <w:pPr>
        <w:spacing w:after="80"/>
        <w:ind w:left="360"/>
      </w:pPr>
      <w:r>
        <w:rPr>
          <w:rFonts w:ascii="Arial" w:cs="Arial" w:eastAsia="Arial" w:hAnsi="Arial"/>
          <w:b/>
          <w:bCs/>
          <w:color w:val="2D5B9E"/>
          <w:sz w:val="20"/>
          <w:szCs w:val="20"/>
        </w:rPr>
        <w:t xml:space="preserve">Plant_Capacity = Annual_Output ÷ CF</w:t>
      </w:r>
    </w:p>
    <w:p>
      <w:pPr>
        <w:spacing w:after="120"/>
      </w:pPr>
      <w:r>
        <w:rPr>
          <w:rFonts w:ascii="Arial" w:cs="Arial" w:eastAsia="Arial" w:hAnsi="Arial"/>
          <w:b/>
          <w:bCs/>
          <w:color w:val="666666"/>
          <w:sz w:val="22"/>
          <w:szCs w:val="22"/>
        </w:rPr>
        <w:t xml:space="preserve">Catalyst Selectivity Note:</w:t>
      </w:r>
    </w:p>
    <w:p>
      <w:pPr>
        <w:spacing w:after="120"/>
      </w:pPr>
      <w:r>
        <w:rPr>
          <w:rFonts w:ascii="Arial" w:cs="Arial" w:eastAsia="Arial" w:hAnsi="Arial"/>
          <w:color w:val="333333"/>
          <w:sz w:val="22"/>
          <w:szCs w:val="22"/>
        </w:rPr>
        <w:t xml:space="preserve">The EF of 0.333 assumes a specific catalyst selectivity (80–90%). Higher selectivity means less CO₂ per tonne of EO. The user can override the EF to reflect their catalyst performance.</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Plant_Capacity ÷ Ref_Capacity</w:t>
      </w:r>
    </w:p>
    <w:p>
      <w:pPr>
        <w:spacing w:after="80"/>
        <w:ind w:left="360"/>
      </w:pPr>
      <w:r>
        <w:rPr>
          <w:rFonts w:ascii="Arial" w:cs="Arial" w:eastAsia="Arial" w:hAnsi="Arial"/>
          <w:b/>
          <w:bCs/>
          <w:color w:val="2D5B9E"/>
          <w:sz w:val="20"/>
          <w:szCs w:val="20"/>
        </w:rPr>
        <w:t xml:space="preserve">sR = 400,000 ÷ 364,500 = 1.097</w:t>
      </w:r>
    </w:p>
    <w:p>
      <w:pPr>
        <w:spacing w:after="120"/>
      </w:pPr>
      <w:r>
        <w:rPr>
          <w:rFonts w:ascii="Arial" w:cs="Arial" w:eastAsia="Arial" w:hAnsi="Arial"/>
          <w:color w:val="333333"/>
          <w:sz w:val="22"/>
          <w:szCs w:val="22"/>
        </w:rPr>
        <w:t xml:space="preserve">Tier B (0.3 ≤ 1.097 ≤ 3.0). Max single train ~600,000 t EO/yr (compressor limit). Compressor transitions from reciprocating to centrifugal at higher flows.</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2248 1.00 (GF=$26.0, RF=$26.2 2014 negligible difference. NETL applies 1.01 blanket.)</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Per-item scaling from NETL Exhibit 5-15 (EXTRACTED). TPC $16,636K. Acct 5.4 $4,922K (29.6%), Acct 11 $6,374K (38.3%), Acct 12 $3,677K (22.1%), Acct 9 $590K, Acct 13 $965K:</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(0.15 + 0.027 + 0.005 + 0.04) × Adj_TPC + Land</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Num_Trains = 1 (sR = 1.097 &lt; 3.0)</w:t>
      </w:r>
    </w:p>
    <w:p>
      <w:pPr>
        <w:spacing w:after="80"/>
        <w:ind w:left="360"/>
      </w:pPr>
      <w:r>
        <w:rPr>
          <w:rFonts w:ascii="Arial" w:cs="Arial" w:eastAsia="Arial" w:hAnsi="Arial"/>
          <w:b/>
          <w:bCs/>
          <w:color w:val="2D5B9E"/>
          <w:sz w:val="20"/>
          <w:szCs w:val="20"/>
        </w:rPr>
        <w:t xml:space="preserve">Operator_Ratio = 1.0 + (Num_Trains – 1) × 0.5 = 1.0</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80"/>
        <w:ind w:left="360"/>
      </w:pPr>
      <w:r>
        <w:rPr>
          <w:rFonts w:ascii="Arial" w:cs="Arial" w:eastAsia="Arial" w:hAnsi="Arial"/>
          <w:b/>
          <w:bCs/>
          <w:color w:val="2D5B9E"/>
          <w:sz w:val="20"/>
          <w:szCs w:val="20"/>
        </w:rPr>
        <w:t xml:space="preserve">Maintenance_Labor = Maint_Rate × Adj_TPC</w:t>
      </w:r>
    </w:p>
    <w:p>
      <w:pPr>
        <w:spacing w:after="120"/>
      </w:pPr>
      <w:r>
        <w:rPr>
          <w:rFonts w:ascii="Arial" w:cs="Arial" w:eastAsia="Arial" w:hAnsi="Arial"/>
          <w:color w:val="333333"/>
          <w:sz w:val="22"/>
          <w:szCs w:val="22"/>
        </w:rPr>
        <w:t xml:space="preserve">Where Maint_Rate = Ref_Maint_Labor ÷ Ref_TPC (from NETL Exhibit 5-16 ÷ 5-15, back-calc available)</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120"/>
      </w:pPr>
      <w:r>
        <w:rPr>
          <w:rFonts w:ascii="Arial" w:cs="Arial" w:eastAsia="Arial" w:hAnsi="Arial"/>
          <w:color w:val="333333"/>
          <w:sz w:val="22"/>
          <w:szCs w:val="22"/>
        </w:rPr>
        <w:t xml:space="preserve">Where Mat_Rate = $159,705 / $16,636K = 0.960% (VERIFIED from Exhibit 5-16 / 5-15)</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CO2_Ratio = 101,898 ÷ 103,276 = 0.987</w:t>
      </w:r>
    </w:p>
    <w:p>
      <w:pPr>
        <w:spacing w:after="120"/>
      </w:pPr>
      <w:r>
        <w:rPr>
          <w:rFonts w:ascii="Arial" w:cs="Arial" w:eastAsia="Arial" w:hAnsi="Arial"/>
          <w:color w:val="333333"/>
          <w:sz w:val="22"/>
          <w:szCs w:val="22"/>
        </w:rPr>
        <w:t xml:space="preserve">Consumables scale linearly with CO₂. Note: EO may use molecular sieve dehydration instead of TEG — different consumable items than ammonia. $171,063/yr ($1.66/t). Water $6,099 + WWT Chemicals $5,260 = $11,359. NO TEG for EO..</w:t>
      </w:r>
    </w:p>
    <w:p>
      <w:pPr>
        <w:spacing w:after="80"/>
        <w:ind w:left="360"/>
      </w:pPr>
      <w:r>
        <w:rPr>
          <w:rFonts w:ascii="Arial" w:cs="Arial" w:eastAsia="Arial" w:hAnsi="Arial"/>
          <w:b/>
          <w:bCs/>
          <w:color w:val="2D5B9E"/>
          <w:sz w:val="20"/>
          <w:szCs w:val="20"/>
        </w:rPr>
        <w:t xml:space="preserve">Each_Consumable = Ref_Consumable × CO2_Ratio × CEPCI_Ratio</w:t>
      </w:r>
    </w:p>
    <w:p>
      <w:pPr>
        <w:spacing w:after="80"/>
        <w:ind w:left="360"/>
      </w:pPr>
      <w:r>
        <w:rPr>
          <w:rFonts w:ascii="Arial" w:cs="Arial" w:eastAsia="Arial" w:hAnsi="Arial"/>
          <w:b/>
          <w:bCs/>
          <w:color w:val="2D5B9E"/>
          <w:sz w:val="20"/>
          <w:szCs w:val="20"/>
        </w:rPr>
        <w:t xml:space="preserve">Total_Variable_OM = Maintenance_Material + Σ Consumables</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w:t>
      </w:r>
    </w:p>
    <w:p>
      <w:pPr>
        <w:spacing w:after="80"/>
        <w:ind w:left="360"/>
      </w:pPr>
      <w:r>
        <w:rPr>
          <w:rFonts w:ascii="Arial" w:cs="Arial" w:eastAsia="Arial" w:hAnsi="Arial"/>
          <w:b/>
          <w:bCs/>
          <w:color w:val="2D5B9E"/>
          <w:sz w:val="20"/>
          <w:szCs w:val="20"/>
        </w:rPr>
        <w:t xml:space="preserve">Ref_MW = 1.20 MW (Exhibit 5-13: Compressor 1.18 + CW 0.01 + CT 0.01)</w:t>
      </w:r>
    </w:p>
    <w:p>
      <w:pPr>
        <w:spacing w:after="80"/>
        <w:ind w:left="360"/>
      </w:pPr>
      <w:r>
        <w:rPr>
          <w:rFonts w:ascii="Arial" w:cs="Arial" w:eastAsia="Arial" w:hAnsi="Arial"/>
          <w:b/>
          <w:bCs/>
          <w:color w:val="2D5B9E"/>
          <w:sz w:val="20"/>
          <w:szCs w:val="20"/>
        </w:rPr>
        <w:t xml:space="preserve">Ref_Annual_MWh = Ref_MW × 8,760 × Ref_CF</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Fuel_per_t = $0 (high-purity source)</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Capital_per_t + Fixed_OM_per_t + Variable_OM_per_t + Power_per_t + Fuel_per_t</w:t>
      </w:r>
    </w:p>
    <w:p>
      <w:pPr>
        <w:spacing w:after="120"/>
      </w:pPr>
      <w:r>
        <w:rPr>
          <w:rFonts w:ascii="Arial" w:cs="Arial" w:eastAsia="Arial" w:hAnsi="Arial"/>
          <w:b/>
          <w:bCs/>
          <w:color w:val="666666"/>
          <w:sz w:val="22"/>
          <w:szCs w:val="22"/>
        </w:rPr>
        <w:t xml:space="preserve">Combustion Scope Toggle:</w:t>
      </w:r>
    </w:p>
    <w:p>
      <w:pPr>
        <w:spacing w:after="120"/>
      </w:pPr>
      <w:r>
        <w:rPr>
          <w:rFonts w:ascii="Arial" w:cs="Arial" w:eastAsia="Arial" w:hAnsi="Arial"/>
          <w:color w:val="333333"/>
          <w:sz w:val="22"/>
          <w:szCs w:val="22"/>
        </w:rPr>
        <w:t xml:space="preserve">If enabled, adds a second calculation stream for facility combustion CO₂. That stream uses the post-combustion methodology (full amine system, new NG boiler, non-zero fuel). Combined using the same blending logic as ammonia both-streams (Section 6.2).</w:t>
      </w:r>
    </w:p>
    <w:p>
      <w:pPr>
        <w:spacing w:after="80"/>
        <w:ind w:left="360"/>
      </w:pPr>
      <w:r>
        <w:rPr>
          <w:rFonts w:ascii="Arial" w:cs="Arial" w:eastAsia="Arial" w:hAnsi="Arial"/>
          <w:b/>
          <w:bCs/>
          <w:color w:val="2D5B9E"/>
          <w:sz w:val="20"/>
          <w:szCs w:val="20"/>
        </w:rPr>
        <w:t xml:space="preserve">Combustion_CO2 = Not quantified by NETL. Process CO2 only. EPA GHGRP does not report EO-specific emissions.</w:t>
      </w:r>
    </w:p>
    <w:p>
      <w:pPr>
        <w:spacing w:after="80"/>
        <w:ind w:left="360"/>
      </w:pPr>
      <w:r>
        <w:rPr>
          <w:rFonts w:ascii="Arial" w:cs="Arial" w:eastAsia="Arial" w:hAnsi="Arial"/>
          <w:b/>
          <w:bCs/>
          <w:color w:val="2D5B9E"/>
          <w:sz w:val="20"/>
          <w:szCs w:val="20"/>
        </w:rPr>
        <w:t xml:space="preserve">Blended_LCOC = (Annual_Cost_process + Annual_Cost_combustion) ÷ (CO2_process + CO2_combustion)</w:t>
      </w:r>
    </w:p>
    <w:p>
      <w:r>
        <w:br w:type="page"/>
      </w:r>
    </w:p>
    <w:p>
      <w:pPr>
        <w:pStyle w:val="Heading2"/>
        <w:spacing w:before="240" w:after="140"/>
      </w:pPr>
      <w:r>
        <w:rPr>
          <w:rFonts w:ascii="Arial" w:cs="Arial" w:eastAsia="Arial" w:hAnsi="Arial"/>
          <w:b/>
          <w:bCs/>
          <w:color w:val="1A1A2E"/>
          <w:sz w:val="26"/>
          <w:szCs w:val="26"/>
        </w:rPr>
        <w:t xml:space="preserve">6.6 Ethanol</w:t>
      </w:r>
    </w:p>
    <w:p>
      <w:pPr>
        <w:spacing w:after="120"/>
      </w:pPr>
      <w:r>
        <w:rPr>
          <w:rFonts w:ascii="Arial" w:cs="Arial" w:eastAsia="Arial" w:hAnsi="Arial"/>
          <w:color w:val="333333"/>
          <w:sz w:val="22"/>
          <w:szCs w:val="22"/>
        </w:rPr>
        <w:t xml:space="preserve">High-purity capture on fermentation CO₂. Compression + dehydration + pre-cooler heat exchanger (320°F stream). Same 10-step framework. All fermentation CO₂ is biogenic.</w:t>
      </w:r>
    </w:p>
    <w:p>
      <w:pPr>
        <w:spacing w:after="40"/>
      </w:pPr>
      <w:r>
        <w:rPr>
          <w:rFonts w:ascii="Arial" w:cs="Arial" w:eastAsia="Arial" w:hAnsi="Arial"/>
          <w:b/>
          <w:bCs/>
          <w:color w:val="1B6B4A"/>
          <w:sz w:val="22"/>
          <w:szCs w:val="22"/>
        </w:rPr>
        <w:t xml:space="preserve">Complete Calculation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
        <w:gridCol w:w="1100"/>
        <w:gridCol w:w="400"/>
        <w:gridCol w:w="1100"/>
        <w:gridCol w:w="400"/>
        <w:gridCol w:w="900"/>
        <w:gridCol w:w="400"/>
        <w:gridCol w:w="1100"/>
        <w:gridCol w:w="400"/>
        <w:gridCol w:w="1000"/>
        <w:gridCol w:w="400"/>
        <w:gridCol w:w="900"/>
        <w:gridCol w:w="400"/>
        <w:gridCol w:w="800"/>
        <w:gridCol w:w="400"/>
        <w:gridCol w:w="800"/>
      </w:tblGrid>
      <w:tr>
        <w:tc>
          <w:tcPr>
            <w:tcW w:type="dxa" w:w="10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CO₂
(biogenic)</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Size Ratio</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Adjustments</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CAPEX</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Capital</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Fixed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Var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Power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99999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9. Fuel=$0</w:t>
            </w:r>
          </w:p>
        </w:tc>
      </w:tr>
    </w:tbl>
    <w:p>
      <w:pPr>
        <w:spacing w:after="120"/>
      </w:pPr>
      <w:r>
        <w:rPr>
          <w:rFonts w:ascii="Arial" w:cs="Arial" w:eastAsia="Arial" w:hAnsi="Arial"/>
          <w:b/>
          <w:bCs/>
          <w:color w:val="1B6B4A"/>
          <w:sz w:val="22"/>
          <w:szCs w:val="22"/>
        </w:rPr>
        <w:t xml:space="preserve">Reference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 Derivation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Capacity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50M gal/yr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5-23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CO₂ Captured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121,586 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5-23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assumption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Emission Factor (ferm)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0.00286 t CO₂/gal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121,586 ÷ (50M × 0.85) = 0.00286. Matches stoichiometric 0.00287.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Ferm/Comb Split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55% / 45%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reference. Fermentation is biogenic.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TPC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~$20,184K (back-calc)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Exhibit 5-15 extracted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MW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~$20,184K (back-calc from COC)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Exhibit 5-15 extracted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NETL Elec Price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$60/MWh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Section 3.1.2.4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Biogenic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 (fermentation)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All ferm CO₂ is biogenic. BECCS/CDR eligible.</w:t>
            </w:r>
          </w:p>
        </w:tc>
      </w:tr>
    </w:tbl>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120"/>
      </w:pPr>
      <w:r>
        <w:rPr>
          <w:rFonts w:ascii="Arial" w:cs="Arial" w:eastAsia="Arial" w:hAnsi="Arial"/>
          <w:b/>
          <w:bCs/>
          <w:color w:val="2D5B9E"/>
          <w:sz w:val="22"/>
          <w:szCs w:val="22"/>
        </w:rPr>
        <w:t xml:space="preserve">Entry Point A — Plant Capacity:</w:t>
      </w:r>
    </w:p>
    <w:p>
      <w:pPr>
        <w:spacing w:after="80"/>
        <w:ind w:left="360"/>
      </w:pPr>
      <w:r>
        <w:rPr>
          <w:rFonts w:ascii="Arial" w:cs="Arial" w:eastAsia="Arial" w:hAnsi="Arial"/>
          <w:b/>
          <w:bCs/>
          <w:color w:val="2D5B9E"/>
          <w:sz w:val="20"/>
          <w:szCs w:val="20"/>
        </w:rPr>
        <w:t xml:space="preserve">Annual_Output_gal = Plant_Capacity_Mgal × 1,000,000 × CF</w:t>
      </w:r>
    </w:p>
    <w:p>
      <w:pPr>
        <w:spacing w:after="80"/>
        <w:ind w:left="360"/>
      </w:pPr>
      <w:r>
        <w:rPr>
          <w:rFonts w:ascii="Arial" w:cs="Arial" w:eastAsia="Arial" w:hAnsi="Arial"/>
          <w:b/>
          <w:bCs/>
          <w:color w:val="2D5B9E"/>
          <w:sz w:val="20"/>
          <w:szCs w:val="20"/>
        </w:rPr>
        <w:t xml:space="preserve">Ferm_CO2 = Annual_Output_gal × 0.00286</w:t>
      </w:r>
    </w:p>
    <w:p>
      <w:pPr>
        <w:spacing w:after="80"/>
        <w:ind w:left="360"/>
      </w:pPr>
      <w:r>
        <w:rPr>
          <w:rFonts w:ascii="Arial" w:cs="Arial" w:eastAsia="Arial" w:hAnsi="Arial"/>
          <w:b/>
          <w:bCs/>
          <w:color w:val="2D5B9E"/>
          <w:sz w:val="20"/>
          <w:szCs w:val="20"/>
        </w:rPr>
        <w:t xml:space="preserve">CO2_Captured = Ferm_CO2 × Capture_Rate</w:t>
      </w:r>
    </w:p>
    <w:p>
      <w:pPr>
        <w:spacing w:after="120"/>
      </w:pPr>
      <w:r>
        <w:rPr>
          <w:rFonts w:ascii="Arial" w:cs="Arial" w:eastAsia="Arial" w:hAnsi="Arial"/>
          <w:color w:val="333333"/>
          <w:sz w:val="22"/>
          <w:szCs w:val="22"/>
        </w:rPr>
        <w:t xml:space="preserve">Example: 100M gal/yr, 85% CF, 90% CR:</w:t>
      </w:r>
    </w:p>
    <w:p>
      <w:pPr>
        <w:spacing w:after="80"/>
        <w:ind w:left="360"/>
      </w:pPr>
      <w:r>
        <w:rPr>
          <w:rFonts w:ascii="Arial" w:cs="Arial" w:eastAsia="Arial" w:hAnsi="Arial"/>
          <w:b/>
          <w:bCs/>
          <w:color w:val="2D5B9E"/>
          <w:sz w:val="20"/>
          <w:szCs w:val="20"/>
        </w:rPr>
        <w:t xml:space="preserve">Annual_Output = 100,000,000 × 0.85 = 85,000,000 gal/yr</w:t>
      </w:r>
    </w:p>
    <w:p>
      <w:pPr>
        <w:spacing w:after="80"/>
        <w:ind w:left="360"/>
      </w:pPr>
      <w:r>
        <w:rPr>
          <w:rFonts w:ascii="Arial" w:cs="Arial" w:eastAsia="Arial" w:hAnsi="Arial"/>
          <w:b/>
          <w:bCs/>
          <w:color w:val="2D5B9E"/>
          <w:sz w:val="20"/>
          <w:szCs w:val="20"/>
        </w:rPr>
        <w:t xml:space="preserve">Ferm_CO2 = 85,000,000 × 0.00286 = 243,100 t CO₂/yr</w:t>
      </w:r>
    </w:p>
    <w:p>
      <w:pPr>
        <w:spacing w:after="80"/>
        <w:ind w:left="360"/>
      </w:pPr>
      <w:r>
        <w:rPr>
          <w:rFonts w:ascii="Arial" w:cs="Arial" w:eastAsia="Arial" w:hAnsi="Arial"/>
          <w:b/>
          <w:bCs/>
          <w:color w:val="2D5B9E"/>
          <w:sz w:val="20"/>
          <w:szCs w:val="20"/>
        </w:rPr>
        <w:t xml:space="preserve">CO2_Captured = 243,100 × 0.90 = 218,790 t CO₂/yr</w:t>
      </w:r>
    </w:p>
    <w:p>
      <w:pPr>
        <w:spacing w:after="120"/>
      </w:pPr>
      <w:r>
        <w:rPr>
          <w:rFonts w:ascii="Arial" w:cs="Arial" w:eastAsia="Arial" w:hAnsi="Arial"/>
          <w:b/>
          <w:bCs/>
          <w:color w:val="2D5B9E"/>
          <w:sz w:val="22"/>
          <w:szCs w:val="22"/>
        </w:rPr>
        <w:t xml:space="preserve">Combustion scope (if enabled):</w:t>
      </w:r>
    </w:p>
    <w:p>
      <w:pPr>
        <w:spacing w:after="80"/>
        <w:ind w:left="360"/>
      </w:pPr>
      <w:r>
        <w:rPr>
          <w:rFonts w:ascii="Arial" w:cs="Arial" w:eastAsia="Arial" w:hAnsi="Arial"/>
          <w:b/>
          <w:bCs/>
          <w:color w:val="2D5B9E"/>
          <w:sz w:val="20"/>
          <w:szCs w:val="20"/>
        </w:rPr>
        <w:t xml:space="preserve">Total_Facility_CO2 = Ferm_CO2 ÷ 0.55 = 243,100 ÷ 0.55 = 442,000 t/yr</w:t>
      </w:r>
    </w:p>
    <w:p>
      <w:pPr>
        <w:spacing w:after="80"/>
        <w:ind w:left="360"/>
      </w:pPr>
      <w:r>
        <w:rPr>
          <w:rFonts w:ascii="Arial" w:cs="Arial" w:eastAsia="Arial" w:hAnsi="Arial"/>
          <w:b/>
          <w:bCs/>
          <w:color w:val="2D5B9E"/>
          <w:sz w:val="20"/>
          <w:szCs w:val="20"/>
        </w:rPr>
        <w:t xml:space="preserve">Combustion_CO2 = Total_Facility_CO2 × 0.45 = 198,900 t/yr</w:t>
      </w:r>
    </w:p>
    <w:p>
      <w:pPr>
        <w:spacing w:after="120"/>
      </w:pPr>
      <w:r>
        <w:rPr>
          <w:rFonts w:ascii="Arial" w:cs="Arial" w:eastAsia="Arial" w:hAnsi="Arial"/>
          <w:color w:val="333333"/>
          <w:sz w:val="22"/>
          <w:szCs w:val="22"/>
        </w:rPr>
        <w:t xml:space="preserve">If combustion capture enabled, runs as a separate post-combustion calculation stream (same as ammonia both-streams logic). Combustion CO₂ biogenic fraction depends on thermal fuel type.</w:t>
      </w:r>
    </w:p>
    <w:p>
      <w:pPr>
        <w:spacing w:after="120"/>
      </w:pPr>
      <w:r>
        <w:rPr>
          <w:rFonts w:ascii="Arial" w:cs="Arial" w:eastAsia="Arial" w:hAnsi="Arial"/>
          <w:b/>
          <w:bCs/>
          <w:color w:val="666666"/>
          <w:sz w:val="22"/>
          <w:szCs w:val="22"/>
        </w:rPr>
        <w:t xml:space="preserve">Biogenic Tracking:</w:t>
      </w:r>
    </w:p>
    <w:p>
      <w:pPr>
        <w:spacing w:after="80"/>
        <w:ind w:left="360"/>
      </w:pPr>
      <w:r>
        <w:rPr>
          <w:rFonts w:ascii="Arial" w:cs="Arial" w:eastAsia="Arial" w:hAnsi="Arial"/>
          <w:b/>
          <w:bCs/>
          <w:color w:val="2D5B9E"/>
          <w:sz w:val="20"/>
          <w:szCs w:val="20"/>
        </w:rPr>
        <w:t xml:space="preserve">Biogenic_Fraction = 100% (fermentation scope only)</w:t>
      </w:r>
    </w:p>
    <w:p>
      <w:pPr>
        <w:spacing w:after="80"/>
        <w:ind w:left="360"/>
      </w:pPr>
      <w:r>
        <w:rPr>
          <w:rFonts w:ascii="Arial" w:cs="Arial" w:eastAsia="Arial" w:hAnsi="Arial"/>
          <w:b/>
          <w:bCs/>
          <w:color w:val="2D5B9E"/>
          <w:sz w:val="20"/>
          <w:szCs w:val="20"/>
        </w:rPr>
        <w:t xml:space="preserve">Biogenic_CO2_Captured = CO2_Captured = 218,790 t/yr</w:t>
      </w:r>
    </w:p>
    <w:p>
      <w:pPr>
        <w:spacing w:after="120"/>
      </w:pPr>
      <w:r>
        <w:rPr>
          <w:rFonts w:ascii="Arial" w:cs="Arial" w:eastAsia="Arial" w:hAnsi="Arial"/>
          <w:color w:val="333333"/>
          <w:sz w:val="22"/>
          <w:szCs w:val="22"/>
        </w:rPr>
        <w:t xml:space="preserve">Passes to financial model for CDR credit eligibility. Default 45Q at $85/t. Optional CDR premium.</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Plant_Capacity_Mgal ÷ Ref_Capacity_Mgal</w:t>
      </w:r>
    </w:p>
    <w:p>
      <w:pPr>
        <w:spacing w:after="80"/>
        <w:ind w:left="360"/>
      </w:pPr>
      <w:r>
        <w:rPr>
          <w:rFonts w:ascii="Arial" w:cs="Arial" w:eastAsia="Arial" w:hAnsi="Arial"/>
          <w:b/>
          <w:bCs/>
          <w:color w:val="2D5B9E"/>
          <w:sz w:val="20"/>
          <w:szCs w:val="20"/>
        </w:rPr>
        <w:t xml:space="preserve">sR = 100 ÷ 50 = 2.0</w:t>
      </w:r>
    </w:p>
    <w:p>
      <w:pPr>
        <w:spacing w:after="120"/>
      </w:pPr>
      <w:r>
        <w:rPr>
          <w:rFonts w:ascii="Arial" w:cs="Arial" w:eastAsia="Arial" w:hAnsi="Arial"/>
          <w:color w:val="333333"/>
          <w:sz w:val="22"/>
          <w:szCs w:val="22"/>
        </w:rPr>
        <w:t xml:space="preserve">Tier B (0.3 ≤ 2.0 ≤ 3.0). Max single train ~150M gal/yr (compressor transitions from reciprocating to centrifugal).</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1.01 (NETL blanket HP factor. GF=$31.8, RF=$32.0).</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Per-item scaling from Exhibit 5-25 (NOT EXTRACTED — back-calc TPC ~$20,184K from COC). Same structure as ammonia. Ethanol adds pre-cooler HX in Account 5 (320°F → 80°F). Back-calc: Acct 5 ~$9.2K (est), Acct 11 ~$7.7K, Acct 12 ~$4.5K.</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Num_Trains = 1 (sR = 2.0 &lt; 3.0)</w:t>
      </w:r>
    </w:p>
    <w:p>
      <w:pPr>
        <w:spacing w:after="80"/>
        <w:ind w:left="360"/>
      </w:pPr>
      <w:r>
        <w:rPr>
          <w:rFonts w:ascii="Arial" w:cs="Arial" w:eastAsia="Arial" w:hAnsi="Arial"/>
          <w:b/>
          <w:bCs/>
          <w:color w:val="2D5B9E"/>
          <w:sz w:val="20"/>
          <w:szCs w:val="20"/>
        </w:rPr>
        <w:t xml:space="preserve">Operator_Ratio = 1.0 + (Num_Trains – 1) × 0.5 = 1.0</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Ref_Op_Labor = $438,438/yr (1.0 operator/shift, same as all HP sources). Ethanol plants typically need 1.0 operator/shift same as ammonia.</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CO2_Ratio = 218,790 ÷ 121,586 = 1.799</w:t>
      </w:r>
    </w:p>
    <w:p>
      <w:pPr>
        <w:spacing w:after="120"/>
      </w:pPr>
      <w:r>
        <w:rPr>
          <w:rFonts w:ascii="Arial" w:cs="Arial" w:eastAsia="Arial" w:hAnsi="Arial"/>
          <w:color w:val="333333"/>
          <w:sz w:val="22"/>
          <w:szCs w:val="22"/>
        </w:rPr>
        <w:t xml:space="preserve">Consumables from Exhibit 5-26 (NOT YET EXTRACTED). Ethanol may use molecular sieve instead of TEG — different consumable profile.</w:t>
      </w:r>
    </w:p>
    <w:p>
      <w:pPr>
        <w:spacing w:after="80"/>
        <w:ind w:left="360"/>
      </w:pPr>
      <w:r>
        <w:rPr>
          <w:rFonts w:ascii="Arial" w:cs="Arial" w:eastAsia="Arial" w:hAnsi="Arial"/>
          <w:b/>
          <w:bCs/>
          <w:color w:val="2D5B9E"/>
          <w:sz w:val="20"/>
          <w:szCs w:val="20"/>
        </w:rPr>
        <w:t xml:space="preserve">Each_Consumable = Ref_Consumable × CO2_Ratio × CEPCI_Ratio</w:t>
      </w:r>
    </w:p>
    <w:p>
      <w:pPr>
        <w:spacing w:after="80"/>
        <w:ind w:left="360"/>
      </w:pPr>
      <w:r>
        <w:rPr>
          <w:rFonts w:ascii="Arial" w:cs="Arial" w:eastAsia="Arial" w:hAnsi="Arial"/>
          <w:b/>
          <w:bCs/>
          <w:color w:val="2D5B9E"/>
          <w:sz w:val="20"/>
          <w:szCs w:val="20"/>
        </w:rPr>
        <w:t xml:space="preserve">Total_Variable_OM = Maintenance_Material + Σ Consumables</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w:t>
      </w:r>
    </w:p>
    <w:p>
      <w:pPr>
        <w:spacing w:after="80"/>
        <w:ind w:left="360"/>
      </w:pPr>
      <w:r>
        <w:rPr>
          <w:rFonts w:ascii="Arial" w:cs="Arial" w:eastAsia="Arial" w:hAnsi="Arial"/>
          <w:b/>
          <w:bCs/>
          <w:color w:val="2D5B9E"/>
          <w:sz w:val="20"/>
          <w:szCs w:val="20"/>
        </w:rPr>
        <w:t xml:space="preserve">Ref_MW = Back-calc TPC ~$20M. Need Exhibit 5-23 for exact MW</w:t>
      </w:r>
    </w:p>
    <w:p>
      <w:pPr>
        <w:spacing w:after="80"/>
        <w:ind w:left="360"/>
      </w:pPr>
      <w:r>
        <w:rPr>
          <w:rFonts w:ascii="Arial" w:cs="Arial" w:eastAsia="Arial" w:hAnsi="Arial"/>
          <w:b/>
          <w:bCs/>
          <w:color w:val="2D5B9E"/>
          <w:sz w:val="20"/>
          <w:szCs w:val="20"/>
        </w:rPr>
        <w:t xml:space="preserve">Ref_Annual_MWh = Ref_MW × 8,760 × Ref_CF</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Fuel_per_t = $0 (high-purity fermentation source — compression only)</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Capital_per_t + Fixed_OM_per_t + Variable_OM_per_t + Power_per_t + Fuel_per_t</w:t>
      </w:r>
    </w:p>
    <w:p>
      <w:pPr>
        <w:spacing w:after="120"/>
      </w:pPr>
      <w:r>
        <w:rPr>
          <w:rFonts w:ascii="Arial" w:cs="Arial" w:eastAsia="Arial" w:hAnsi="Arial"/>
          <w:b/>
          <w:bCs/>
          <w:color w:val="666666"/>
          <w:sz w:val="22"/>
          <w:szCs w:val="22"/>
        </w:rPr>
        <w:t xml:space="preserve">Biogenic Tracking (passes to financial model):</w:t>
      </w:r>
    </w:p>
    <w:p>
      <w:pPr>
        <w:spacing w:after="80"/>
        <w:ind w:left="360"/>
      </w:pPr>
      <w:r>
        <w:rPr>
          <w:rFonts w:ascii="Arial" w:cs="Arial" w:eastAsia="Arial" w:hAnsi="Arial"/>
          <w:b/>
          <w:bCs/>
          <w:color w:val="2D5B9E"/>
          <w:sz w:val="20"/>
          <w:szCs w:val="20"/>
        </w:rPr>
        <w:t xml:space="preserve">Biogenic_CO2 = CO2_Captured (100% — all fermentation CO₂)</w:t>
      </w:r>
    </w:p>
    <w:p>
      <w:pPr>
        <w:spacing w:after="80"/>
        <w:ind w:left="360"/>
      </w:pPr>
      <w:r>
        <w:rPr>
          <w:rFonts w:ascii="Arial" w:cs="Arial" w:eastAsia="Arial" w:hAnsi="Arial"/>
          <w:b/>
          <w:bCs/>
          <w:color w:val="2D5B9E"/>
          <w:sz w:val="20"/>
          <w:szCs w:val="20"/>
        </w:rPr>
        <w:t xml:space="preserve">CDR eligible at 45Q ($85/t default) or optional premium CDR credits</w:t>
      </w:r>
    </w:p>
    <w:p>
      <w:pPr>
        <w:spacing w:after="80"/>
        <w:ind w:left="360"/>
      </w:pPr>
      <w:r>
        <w:rPr>
          <w:rFonts w:ascii="Arial" w:cs="Arial" w:eastAsia="Arial" w:hAnsi="Arial"/>
          <w:b/>
          <w:bCs/>
          <w:color w:val="2D5B9E"/>
          <w:sz w:val="20"/>
          <w:szCs w:val="20"/>
        </w:rPr>
        <w:t xml:space="preserve">Also eligible for 45Z, RINs, LCFS (optional credit tier)</w:t>
      </w:r>
    </w:p>
    <w:p>
      <w:pPr>
        <w:spacing w:after="120"/>
      </w:pPr>
      <w:r>
        <w:rPr>
          <w:rFonts w:ascii="Arial" w:cs="Arial" w:eastAsia="Arial" w:hAnsi="Arial"/>
          <w:b/>
          <w:bCs/>
          <w:color w:val="666666"/>
          <w:sz w:val="22"/>
          <w:szCs w:val="22"/>
        </w:rPr>
        <w:t xml:space="preserve">Combustion Scope Toggle:</w:t>
      </w:r>
    </w:p>
    <w:p>
      <w:pPr>
        <w:spacing w:after="80"/>
        <w:ind w:left="360"/>
      </w:pPr>
      <w:r>
        <w:rPr>
          <w:rFonts w:ascii="Arial" w:cs="Arial" w:eastAsia="Arial" w:hAnsi="Arial"/>
          <w:b/>
          <w:bCs/>
          <w:color w:val="2D5B9E"/>
          <w:sz w:val="20"/>
          <w:szCs w:val="20"/>
        </w:rPr>
        <w:t xml:space="preserve">If enabled: Combustion_CO2 = Ferm_CO2 × (0.45 ÷ 0.55)</w:t>
      </w:r>
    </w:p>
    <w:p>
      <w:pPr>
        <w:spacing w:after="120"/>
      </w:pPr>
      <w:r>
        <w:rPr>
          <w:rFonts w:ascii="Arial" w:cs="Arial" w:eastAsia="Arial" w:hAnsi="Arial"/>
          <w:color w:val="333333"/>
          <w:sz w:val="22"/>
          <w:szCs w:val="22"/>
        </w:rPr>
        <w:t xml:space="preserve">Combustion stream uses post-combustion methodology (full amine system). Combined using blending logic from Section 6.2.</w:t>
      </w:r>
    </w:p>
    <w:p>
      <w:r>
        <w:br w:type="page"/>
      </w:r>
    </w:p>
    <w:p>
      <w:pPr>
        <w:pStyle w:val="Heading2"/>
        <w:spacing w:before="240" w:after="140"/>
      </w:pPr>
      <w:r>
        <w:rPr>
          <w:rFonts w:ascii="Arial" w:cs="Arial" w:eastAsia="Arial" w:hAnsi="Arial"/>
          <w:b/>
          <w:bCs/>
          <w:color w:val="1A1A2E"/>
          <w:sz w:val="26"/>
          <w:szCs w:val="26"/>
        </w:rPr>
        <w:t xml:space="preserve">6.7 Natural Gas Processing</w:t>
      </w:r>
    </w:p>
    <w:p>
      <w:pPr>
        <w:spacing w:after="120"/>
      </w:pPr>
      <w:r>
        <w:rPr>
          <w:rFonts w:ascii="Arial" w:cs="Arial" w:eastAsia="Arial" w:hAnsi="Arial"/>
          <w:color w:val="333333"/>
          <w:sz w:val="22"/>
          <w:szCs w:val="22"/>
        </w:rPr>
        <w:t xml:space="preserve">High-purity capture. Compression + dehydration. Same 10-step framework. The key difference is the CO₂ derivation — three-variable input chain instead of a simple emission factor.</w:t>
      </w:r>
    </w:p>
    <w:p>
      <w:pPr>
        <w:spacing w:after="40"/>
      </w:pPr>
      <w:r>
        <w:rPr>
          <w:rFonts w:ascii="Arial" w:cs="Arial" w:eastAsia="Arial" w:hAnsi="Arial"/>
          <w:b/>
          <w:bCs/>
          <w:color w:val="1B6B4A"/>
          <w:sz w:val="22"/>
          <w:szCs w:val="22"/>
        </w:rPr>
        <w:t xml:space="preserve">Complete Calculation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
        <w:gridCol w:w="1100"/>
        <w:gridCol w:w="400"/>
        <w:gridCol w:w="1100"/>
        <w:gridCol w:w="400"/>
        <w:gridCol w:w="900"/>
        <w:gridCol w:w="400"/>
        <w:gridCol w:w="1100"/>
        <w:gridCol w:w="400"/>
        <w:gridCol w:w="1000"/>
        <w:gridCol w:w="400"/>
        <w:gridCol w:w="900"/>
        <w:gridCol w:w="400"/>
        <w:gridCol w:w="800"/>
        <w:gridCol w:w="400"/>
        <w:gridCol w:w="800"/>
      </w:tblGrid>
      <w:tr>
        <w:tc>
          <w:tcPr>
            <w:tcW w:type="dxa" w:w="9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Size Ratio</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Adjustments</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CAPEX</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Capital</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Fixed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Var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Power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99999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9. Fuel=$0</w:t>
            </w:r>
          </w:p>
        </w:tc>
      </w:tr>
    </w:tbl>
    <w:p>
      <w:pPr>
        <w:spacing w:after="120"/>
      </w:pPr>
      <w:r>
        <w:rPr>
          <w:rFonts w:ascii="Arial" w:cs="Arial" w:eastAsia="Arial" w:hAnsi="Arial"/>
          <w:b/>
          <w:bCs/>
          <w:color w:val="1B6B4A"/>
          <w:sz w:val="22"/>
          <w:szCs w:val="22"/>
        </w:rPr>
        <w:t xml:space="preserve">Reference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 Derivation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Throughput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330 MMSCFD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5-32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CO₂ Content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 (Michigan basin)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5-29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CO₂ Captured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551,816 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5-32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assumption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TPC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~$46,354K (back-calc from COC)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Exhibit 5-15 extracted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MW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~$20,184K (back-calc)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Exhibit 5-15 extracted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Size Ratio Basis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volume (not throughput)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Capture equipment sizes with CO₂, not total gas flow</w:t>
            </w:r>
          </w:p>
        </w:tc>
      </w:tr>
    </w:tbl>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120"/>
      </w:pPr>
      <w:r>
        <w:rPr>
          <w:rFonts w:ascii="Arial" w:cs="Arial" w:eastAsia="Arial" w:hAnsi="Arial"/>
          <w:color w:val="333333"/>
          <w:sz w:val="22"/>
          <w:szCs w:val="22"/>
        </w:rPr>
        <w:t xml:space="preserve">NGP uses a three-variable chain. The user can enter any one of: throughput, CO₂ content, CO₂ volume, or CO₂ captured. The model derives the rest.</w:t>
      </w:r>
    </w:p>
    <w:p>
      <w:pPr>
        <w:spacing w:after="120"/>
      </w:pPr>
      <w:r>
        <w:rPr>
          <w:rFonts w:ascii="Arial" w:cs="Arial" w:eastAsia="Arial" w:hAnsi="Arial"/>
          <w:b/>
          <w:bCs/>
          <w:color w:val="2D5B9E"/>
          <w:sz w:val="22"/>
          <w:szCs w:val="22"/>
        </w:rPr>
        <w:t xml:space="preserve">Entry Point A — Throughput + CO₂ Content:</w:t>
      </w:r>
    </w:p>
    <w:p>
      <w:pPr>
        <w:spacing w:after="80"/>
        <w:ind w:left="360"/>
      </w:pPr>
      <w:r>
        <w:rPr>
          <w:rFonts w:ascii="Arial" w:cs="Arial" w:eastAsia="Arial" w:hAnsi="Arial"/>
          <w:b/>
          <w:bCs/>
          <w:color w:val="2D5B9E"/>
          <w:sz w:val="20"/>
          <w:szCs w:val="20"/>
        </w:rPr>
        <w:t xml:space="preserve">Daily_CO2_vol = Throughput_MMSCFD × CO2_Content × Density_Conversion</w:t>
      </w:r>
    </w:p>
    <w:p>
      <w:pPr>
        <w:spacing w:after="80"/>
        <w:ind w:left="360"/>
      </w:pPr>
      <w:r>
        <w:rPr>
          <w:rFonts w:ascii="Arial" w:cs="Arial" w:eastAsia="Arial" w:hAnsi="Arial"/>
          <w:b/>
          <w:bCs/>
          <w:color w:val="2D5B9E"/>
          <w:sz w:val="20"/>
          <w:szCs w:val="20"/>
        </w:rPr>
        <w:t xml:space="preserve">Annual_CO2 = Daily_CO2_vol × 365 × CF</w:t>
      </w:r>
    </w:p>
    <w:p>
      <w:pPr>
        <w:spacing w:after="80"/>
        <w:ind w:left="360"/>
      </w:pPr>
      <w:r>
        <w:rPr>
          <w:rFonts w:ascii="Arial" w:cs="Arial" w:eastAsia="Arial" w:hAnsi="Arial"/>
          <w:b/>
          <w:bCs/>
          <w:color w:val="2D5B9E"/>
          <w:sz w:val="20"/>
          <w:szCs w:val="20"/>
        </w:rPr>
        <w:t xml:space="preserve">CO2_Captured = Annual_CO2 × Removal_Efficiency × Capture_Rate</w:t>
      </w:r>
    </w:p>
    <w:p>
      <w:pPr>
        <w:spacing w:after="120"/>
      </w:pPr>
      <w:r>
        <w:rPr>
          <w:rFonts w:ascii="Arial" w:cs="Arial" w:eastAsia="Arial" w:hAnsi="Arial"/>
          <w:color w:val="333333"/>
          <w:sz w:val="22"/>
          <w:szCs w:val="22"/>
        </w:rPr>
        <w:t xml:space="preserve">Where Density_Conversion converts MMSCF of CO₂ to tonnes:</w:t>
      </w:r>
    </w:p>
    <w:p>
      <w:pPr>
        <w:spacing w:after="80"/>
        <w:ind w:left="360"/>
      </w:pPr>
      <w:r>
        <w:rPr>
          <w:rFonts w:ascii="Arial" w:cs="Arial" w:eastAsia="Arial" w:hAnsi="Arial"/>
          <w:b/>
          <w:bCs/>
          <w:color w:val="2D5B9E"/>
          <w:sz w:val="20"/>
          <w:szCs w:val="20"/>
        </w:rPr>
        <w:t xml:space="preserve">1 MMSCF CO₂ = 1,000,000 scf × (1 lb-mol / 379.5 scf) × (44 lb/lb-mol) × (1 t / 2,204.6 lb)</w:t>
      </w:r>
    </w:p>
    <w:p>
      <w:pPr>
        <w:spacing w:after="80"/>
        <w:ind w:left="360"/>
      </w:pPr>
      <w:r>
        <w:rPr>
          <w:rFonts w:ascii="Arial" w:cs="Arial" w:eastAsia="Arial" w:hAnsi="Arial"/>
          <w:b/>
          <w:bCs/>
          <w:color w:val="2D5B9E"/>
          <w:sz w:val="20"/>
          <w:szCs w:val="20"/>
        </w:rPr>
        <w:t xml:space="preserve">1 MMSCF CO₂ = 52.59 tonnes</w:t>
      </w:r>
    </w:p>
    <w:p>
      <w:pPr>
        <w:spacing w:after="120"/>
      </w:pPr>
      <w:r>
        <w:rPr>
          <w:rFonts w:ascii="Arial" w:cs="Arial" w:eastAsia="Arial" w:hAnsi="Arial"/>
          <w:color w:val="333333"/>
          <w:sz w:val="22"/>
          <w:szCs w:val="22"/>
        </w:rPr>
        <w:t xml:space="preserve">Example: 500 MMSCFD, 5% CO₂, 95% removal, 85% CF, 90% CR:</w:t>
      </w:r>
    </w:p>
    <w:p>
      <w:pPr>
        <w:spacing w:after="80"/>
        <w:ind w:left="360"/>
      </w:pPr>
      <w:r>
        <w:rPr>
          <w:rFonts w:ascii="Arial" w:cs="Arial" w:eastAsia="Arial" w:hAnsi="Arial"/>
          <w:b/>
          <w:bCs/>
          <w:color w:val="2D5B9E"/>
          <w:sz w:val="20"/>
          <w:szCs w:val="20"/>
        </w:rPr>
        <w:t xml:space="preserve">Daily_CO2 = 500 × 0.05 × 52.59 = 1,315 t CO₂/day</w:t>
      </w:r>
    </w:p>
    <w:p>
      <w:pPr>
        <w:spacing w:after="80"/>
        <w:ind w:left="360"/>
      </w:pPr>
      <w:r>
        <w:rPr>
          <w:rFonts w:ascii="Arial" w:cs="Arial" w:eastAsia="Arial" w:hAnsi="Arial"/>
          <w:b/>
          <w:bCs/>
          <w:color w:val="2D5B9E"/>
          <w:sz w:val="20"/>
          <w:szCs w:val="20"/>
        </w:rPr>
        <w:t xml:space="preserve">Annual_CO2 = 1,315 × 365 × 0.85 = 407,834 t/yr</w:t>
      </w:r>
    </w:p>
    <w:p>
      <w:pPr>
        <w:spacing w:after="80"/>
        <w:ind w:left="360"/>
      </w:pPr>
      <w:r>
        <w:rPr>
          <w:rFonts w:ascii="Arial" w:cs="Arial" w:eastAsia="Arial" w:hAnsi="Arial"/>
          <w:b/>
          <w:bCs/>
          <w:color w:val="2D5B9E"/>
          <w:sz w:val="20"/>
          <w:szCs w:val="20"/>
        </w:rPr>
        <w:t xml:space="preserve">CO2_Captured = 407,834 × 0.95 × 0.90 = 348,697 t/yr</w:t>
      </w:r>
    </w:p>
    <w:p>
      <w:pPr>
        <w:spacing w:after="120"/>
      </w:pPr>
      <w:r>
        <w:rPr>
          <w:rFonts w:ascii="Arial" w:cs="Arial" w:eastAsia="Arial" w:hAnsi="Arial"/>
          <w:b/>
          <w:bCs/>
          <w:color w:val="2D5B9E"/>
          <w:sz w:val="22"/>
          <w:szCs w:val="22"/>
        </w:rPr>
        <w:t xml:space="preserve">Entry Point B — CO₂ Volume directly:</w:t>
      </w:r>
    </w:p>
    <w:p>
      <w:pPr>
        <w:spacing w:after="80"/>
        <w:ind w:left="360"/>
      </w:pPr>
      <w:r>
        <w:rPr>
          <w:rFonts w:ascii="Arial" w:cs="Arial" w:eastAsia="Arial" w:hAnsi="Arial"/>
          <w:b/>
          <w:bCs/>
          <w:color w:val="2D5B9E"/>
          <w:sz w:val="20"/>
          <w:szCs w:val="20"/>
        </w:rPr>
        <w:t xml:space="preserve">CO2_Captured = User_CO2_Volume × Capture_Rate</w:t>
      </w:r>
    </w:p>
    <w:p>
      <w:pPr>
        <w:spacing w:after="80"/>
        <w:ind w:left="360"/>
      </w:pPr>
      <w:r>
        <w:rPr>
          <w:rFonts w:ascii="Arial" w:cs="Arial" w:eastAsia="Arial" w:hAnsi="Arial"/>
          <w:b/>
          <w:bCs/>
          <w:color w:val="2D5B9E"/>
          <w:sz w:val="20"/>
          <w:szCs w:val="20"/>
        </w:rPr>
        <w:t xml:space="preserve">Throughput = CO2_Volume ÷ (CO2_Content × Density × 365 × CF)</w:t>
      </w:r>
    </w:p>
    <w:p>
      <w:pPr>
        <w:spacing w:after="120"/>
      </w:pPr>
      <w:r>
        <w:rPr>
          <w:rFonts w:ascii="Arial" w:cs="Arial" w:eastAsia="Arial" w:hAnsi="Arial"/>
          <w:b/>
          <w:bCs/>
          <w:color w:val="666666"/>
          <w:sz w:val="22"/>
          <w:szCs w:val="22"/>
        </w:rPr>
        <w:t xml:space="preserve">CO₂ Content Defaults:</w:t>
      </w:r>
    </w:p>
    <w:p>
      <w:pPr>
        <w:spacing w:after="120"/>
      </w:pPr>
      <w:r>
        <w:rPr>
          <w:rFonts w:ascii="Arial" w:cs="Arial" w:eastAsia="Arial" w:hAnsi="Arial"/>
          <w:color w:val="333333"/>
          <w:sz w:val="22"/>
          <w:szCs w:val="22"/>
        </w:rPr>
        <w:t xml:space="preserve">Auto-populated from state-level basin mapping (documented in Section 9.1). TX 4–5%, NM 5–8%, WY 5–10%, etc. User-overridable.</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 — Based on CO₂ Volume, Not Throughput</w:t>
      </w:r>
    </w:p>
    <w:p>
      <w:pPr>
        <w:spacing w:after="80"/>
        <w:ind w:left="360"/>
      </w:pPr>
      <w:r>
        <w:rPr>
          <w:rFonts w:ascii="Arial" w:cs="Arial" w:eastAsia="Arial" w:hAnsi="Arial"/>
          <w:b/>
          <w:bCs/>
          <w:color w:val="2D5B9E"/>
          <w:sz w:val="20"/>
          <w:szCs w:val="20"/>
        </w:rPr>
        <w:t xml:space="preserve">sR = User_CO2_Captured ÷ Ref_CO2_Captured</w:t>
      </w:r>
    </w:p>
    <w:p>
      <w:pPr>
        <w:spacing w:after="80"/>
        <w:ind w:left="360"/>
      </w:pPr>
      <w:r>
        <w:rPr>
          <w:rFonts w:ascii="Arial" w:cs="Arial" w:eastAsia="Arial" w:hAnsi="Arial"/>
          <w:b/>
          <w:bCs/>
          <w:color w:val="2D5B9E"/>
          <w:sz w:val="20"/>
          <w:szCs w:val="20"/>
        </w:rPr>
        <w:t xml:space="preserve">sR = 348,697 ÷ 551,816 = 0.632</w:t>
      </w:r>
    </w:p>
    <w:p>
      <w:pPr>
        <w:spacing w:after="120"/>
      </w:pPr>
      <w:r>
        <w:rPr>
          <w:rFonts w:ascii="Arial" w:cs="Arial" w:eastAsia="Arial" w:hAnsi="Arial"/>
          <w:color w:val="333333"/>
          <w:sz w:val="22"/>
          <w:szCs w:val="22"/>
        </w:rPr>
        <w:t xml:space="preserve">CRITICAL: size ratio uses CO₂ volume, not gas throughput. A 500 MMSCFD plant at 5% CO₂ produces the same capture equipment load as a 200 MMSCFD plant at 12.5% CO₂. The compressor sees CO₂ molecules, not methane.</w:t>
      </w:r>
    </w:p>
    <w:p>
      <w:pPr>
        <w:spacing w:after="120"/>
      </w:pPr>
      <w:r>
        <w:rPr>
          <w:rFonts w:ascii="Arial" w:cs="Arial" w:eastAsia="Arial" w:hAnsi="Arial"/>
          <w:color w:val="333333"/>
          <w:sz w:val="22"/>
          <w:szCs w:val="22"/>
        </w:rPr>
        <w:t xml:space="preserve">Tier B (0.3 ≤ 0.632 ≤ 3.0). Max single train ~1.5M t CO₂/yr (centrifugal compressor limit). Note: NGP uses centrifugal compressors at reference scale (not reciprocating like ammonia).</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1.01 (NETL blanket HP factor. GF=$16.1, RF=$16.2).</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Per-item scaling from Exhibit 5-34 (NOT EXTRACTED — back-calc TPC ~$46,354K from COC). Same structure as ammonia but uses centrifugal compressor (Acct 5 cost curve different from reciprocating).</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Num_Trains = 1 (sR = 0.632 &lt; 3.0)</w:t>
      </w:r>
    </w:p>
    <w:p>
      <w:pPr>
        <w:spacing w:after="80"/>
        <w:ind w:left="360"/>
      </w:pPr>
      <w:r>
        <w:rPr>
          <w:rFonts w:ascii="Arial" w:cs="Arial" w:eastAsia="Arial" w:hAnsi="Arial"/>
          <w:b/>
          <w:bCs/>
          <w:color w:val="2D5B9E"/>
          <w:sz w:val="20"/>
          <w:szCs w:val="20"/>
        </w:rPr>
        <w:t xml:space="preserve">Operator_Ratio = 1.0 + (Num_Trains – 1) × 0.5 = 1.0</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Ref_Op_Labor = $438,438/yr (1.0 operator/shift, same as all HP sources).</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CO2_Ratio = 348,697 ÷ 551,816 = 0.632</w:t>
      </w:r>
    </w:p>
    <w:p>
      <w:pPr>
        <w:spacing w:after="120"/>
      </w:pPr>
      <w:r>
        <w:rPr>
          <w:rFonts w:ascii="Arial" w:cs="Arial" w:eastAsia="Arial" w:hAnsi="Arial"/>
          <w:color w:val="333333"/>
          <w:sz w:val="22"/>
          <w:szCs w:val="22"/>
        </w:rPr>
        <w:t xml:space="preserve">CO₂ ratio &lt; 1.0 in this example (smaller plant than reference). Consumables scale linearly with CO2. From Exhibit 5-35 (NOT YET EXTRACTED).</w:t>
      </w:r>
    </w:p>
    <w:p>
      <w:pPr>
        <w:spacing w:after="80"/>
        <w:ind w:left="360"/>
      </w:pPr>
      <w:r>
        <w:rPr>
          <w:rFonts w:ascii="Arial" w:cs="Arial" w:eastAsia="Arial" w:hAnsi="Arial"/>
          <w:b/>
          <w:bCs/>
          <w:color w:val="2D5B9E"/>
          <w:sz w:val="20"/>
          <w:szCs w:val="20"/>
        </w:rPr>
        <w:t xml:space="preserve">Each_Consumable = Ref_Consumable × CO2_Ratio × CEPCI_Ratio</w:t>
      </w:r>
    </w:p>
    <w:p>
      <w:pPr>
        <w:spacing w:after="80"/>
        <w:ind w:left="360"/>
      </w:pPr>
      <w:r>
        <w:rPr>
          <w:rFonts w:ascii="Arial" w:cs="Arial" w:eastAsia="Arial" w:hAnsi="Arial"/>
          <w:b/>
          <w:bCs/>
          <w:color w:val="2D5B9E"/>
          <w:sz w:val="20"/>
          <w:szCs w:val="20"/>
        </w:rPr>
        <w:t xml:space="preserve">Total_Variable_OM = Maintenance_Material + Σ Consumables</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w:t>
      </w:r>
    </w:p>
    <w:p>
      <w:pPr>
        <w:spacing w:after="80"/>
        <w:ind w:left="360"/>
      </w:pPr>
      <w:r>
        <w:rPr>
          <w:rFonts w:ascii="Arial" w:cs="Arial" w:eastAsia="Arial" w:hAnsi="Arial"/>
          <w:b/>
          <w:bCs/>
          <w:color w:val="2D5B9E"/>
          <w:sz w:val="20"/>
          <w:szCs w:val="20"/>
        </w:rPr>
        <w:t xml:space="preserve">Ref_MW = 8-stg centrifugal, 164,059 lb/hr. Back-calc TPC ~$46M</w:t>
      </w:r>
    </w:p>
    <w:p>
      <w:pPr>
        <w:spacing w:after="80"/>
        <w:ind w:left="360"/>
      </w:pPr>
      <w:r>
        <w:rPr>
          <w:rFonts w:ascii="Arial" w:cs="Arial" w:eastAsia="Arial" w:hAnsi="Arial"/>
          <w:b/>
          <w:bCs/>
          <w:color w:val="2D5B9E"/>
          <w:sz w:val="20"/>
          <w:szCs w:val="20"/>
        </w:rPr>
        <w:t xml:space="preserve">Ref_Annual_MWh = Ref_MW × 8,760 × Ref_CF</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Fuel_per_t = $0 (high-purity source — CO₂ already separated by existing AGR)</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Capital_per_t + Fixed_OM_per_t + Variable_OM_per_t + Power_per_t + Fuel_per_t</w:t>
      </w:r>
    </w:p>
    <w:p>
      <w:pPr>
        <w:spacing w:after="120"/>
      </w:pPr>
      <w:r>
        <w:rPr>
          <w:rFonts w:ascii="Arial" w:cs="Arial" w:eastAsia="Arial" w:hAnsi="Arial"/>
          <w:b/>
          <w:bCs/>
          <w:color w:val="666666"/>
          <w:sz w:val="22"/>
          <w:szCs w:val="22"/>
        </w:rPr>
        <w:t xml:space="preserve">H₂S Toggle:</w:t>
      </w:r>
    </w:p>
    <w:p>
      <w:pPr>
        <w:spacing w:after="80"/>
        <w:ind w:left="360"/>
      </w:pPr>
      <w:r>
        <w:rPr>
          <w:rFonts w:ascii="Arial" w:cs="Arial" w:eastAsia="Arial" w:hAnsi="Arial"/>
          <w:b/>
          <w:bCs/>
          <w:color w:val="2D5B9E"/>
          <w:sz w:val="20"/>
          <w:szCs w:val="20"/>
        </w:rPr>
        <w:t xml:space="preserve">If sour gas: adds polishing step to Account 5 (additional CAPEX + chemical OPEX)</w:t>
      </w:r>
    </w:p>
    <w:p>
      <w:pPr>
        <w:spacing w:after="80"/>
        <w:ind w:left="360"/>
      </w:pPr>
      <w:r>
        <w:rPr>
          <w:rFonts w:ascii="Arial" w:cs="Arial" w:eastAsia="Arial" w:hAnsi="Arial"/>
          <w:b/>
          <w:bCs/>
          <w:color w:val="2D5B9E"/>
          <w:sz w:val="20"/>
          <w:szCs w:val="20"/>
        </w:rPr>
        <w:t xml:space="preserve">Polishing CAPEX = Source-specific, depends on H₂S concentration in raw gas</w:t>
      </w:r>
    </w:p>
    <w:p>
      <w:pPr>
        <w:spacing w:after="120"/>
      </w:pPr>
      <w:r>
        <w:rPr>
          <w:rFonts w:ascii="Arial" w:cs="Arial" w:eastAsia="Arial" w:hAnsi="Arial"/>
          <w:b/>
          <w:bCs/>
          <w:color w:val="666666"/>
          <w:sz w:val="22"/>
          <w:szCs w:val="22"/>
        </w:rPr>
        <w:t xml:space="preserve">Combustion Scope Toggle:</w:t>
      </w:r>
    </w:p>
    <w:p>
      <w:pPr>
        <w:spacing w:after="120"/>
      </w:pPr>
      <w:r>
        <w:rPr>
          <w:rFonts w:ascii="Arial" w:cs="Arial" w:eastAsia="Arial" w:hAnsi="Arial"/>
          <w:color w:val="333333"/>
          <w:sz w:val="22"/>
          <w:szCs w:val="22"/>
        </w:rPr>
        <w:t xml:space="preserve">If enabled, adds facility combustion CO₂ (from compressor drivers, heaters, etc.). Uses post-combustion methodology. Combined using blending logic from Section 6.2.</w:t>
      </w:r>
    </w:p>
    <w:p>
      <w:pPr>
        <w:spacing w:after="120"/>
      </w:pPr>
      <w:r>
        <w:rPr>
          <w:rFonts w:ascii="Arial" w:cs="Arial" w:eastAsia="Arial" w:hAnsi="Arial"/>
          <w:b/>
          <w:bCs/>
          <w:color w:val="666666"/>
          <w:sz w:val="22"/>
          <w:szCs w:val="22"/>
        </w:rPr>
        <w:t xml:space="preserve">Facility Decarbonization:</w:t>
      </w:r>
    </w:p>
    <w:p>
      <w:pPr>
        <w:spacing w:after="80"/>
        <w:ind w:left="360"/>
      </w:pPr>
      <w:r>
        <w:rPr>
          <w:rFonts w:ascii="Arial" w:cs="Arial" w:eastAsia="Arial" w:hAnsi="Arial"/>
          <w:b/>
          <w:bCs/>
          <w:color w:val="2D5B9E"/>
          <w:sz w:val="20"/>
          <w:szCs w:val="20"/>
        </w:rPr>
        <w:t xml:space="preserve">Decarb % = CO2_Captured ÷ (CO2_Captured + Uncaptured_Combustion_CO2)</w:t>
      </w:r>
    </w:p>
    <w:p>
      <w:pPr>
        <w:spacing w:after="120"/>
      </w:pPr>
      <w:r>
        <w:rPr>
          <w:rFonts w:ascii="Arial" w:cs="Arial" w:eastAsia="Arial" w:hAnsi="Arial"/>
          <w:color w:val="333333"/>
          <w:sz w:val="22"/>
          <w:szCs w:val="22"/>
        </w:rPr>
        <w:t xml:space="preserve">Calculated dynamically from throughput and the combustion CO₂ estimate.</w:t>
      </w:r>
    </w:p>
    <w:p>
      <w:r>
        <w:br w:type="page"/>
      </w:r>
    </w:p>
    <w:p>
      <w:pPr>
        <w:pStyle w:val="Heading2"/>
        <w:spacing w:before="240" w:after="140"/>
      </w:pPr>
      <w:r>
        <w:rPr>
          <w:rFonts w:ascii="Arial" w:cs="Arial" w:eastAsia="Arial" w:hAnsi="Arial"/>
          <w:b/>
          <w:bCs/>
          <w:color w:val="1A1A2E"/>
          <w:sz w:val="26"/>
          <w:szCs w:val="26"/>
        </w:rPr>
        <w:t xml:space="preserve">6.8 NGCC</w:t>
      </w:r>
    </w:p>
    <w:p>
      <w:pPr>
        <w:spacing w:after="120"/>
      </w:pPr>
      <w:r>
        <w:rPr>
          <w:rFonts w:ascii="Arial" w:cs="Arial" w:eastAsia="Arial" w:hAnsi="Arial"/>
          <w:color w:val="333333"/>
          <w:sz w:val="22"/>
          <w:szCs w:val="22"/>
        </w:rPr>
        <w:t xml:space="preserve">Post-combustion capture on dilute flue gas (~4% CO₂). Full amine system. Fundamentally different from high-purity sources: larger equipment list, MPC instead of purchased power, no fuel cost (penalty is in MPC).</w:t>
      </w:r>
    </w:p>
    <w:p>
      <w:pPr>
        <w:spacing w:after="40"/>
      </w:pPr>
      <w:r>
        <w:rPr>
          <w:rFonts w:ascii="Arial" w:cs="Arial" w:eastAsia="Arial" w:hAnsi="Arial"/>
          <w:b/>
          <w:bCs/>
          <w:color w:val="1B6B4A"/>
          <w:sz w:val="22"/>
          <w:szCs w:val="22"/>
        </w:rPr>
        <w:t xml:space="preserve">Complete Calculation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
        <w:gridCol w:w="1100"/>
        <w:gridCol w:w="400"/>
        <w:gridCol w:w="1100"/>
        <w:gridCol w:w="400"/>
        <w:gridCol w:w="900"/>
        <w:gridCol w:w="400"/>
        <w:gridCol w:w="1100"/>
        <w:gridCol w:w="400"/>
        <w:gridCol w:w="1000"/>
        <w:gridCol w:w="400"/>
        <w:gridCol w:w="900"/>
        <w:gridCol w:w="400"/>
        <w:gridCol w:w="800"/>
        <w:gridCol w:w="400"/>
        <w:gridCol w:w="800"/>
      </w:tblGrid>
      <w:tr>
        <w:tc>
          <w:tcPr>
            <w:tcW w:type="dxa" w:w="9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Size Ratio</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Adjustments</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CAPEX</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Capital</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Fixed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Var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MPC</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99999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9. Fuel=$0</w:t>
            </w:r>
          </w:p>
        </w:tc>
      </w:tr>
    </w:tbl>
    <w:p>
      <w:pPr>
        <w:spacing w:after="120"/>
      </w:pPr>
      <w:r>
        <w:rPr>
          <w:rFonts w:ascii="Arial" w:cs="Arial" w:eastAsia="Arial" w:hAnsi="Arial"/>
          <w:b/>
          <w:bCs/>
          <w:color w:val="1B6B4A"/>
          <w:sz w:val="22"/>
          <w:szCs w:val="22"/>
        </w:rPr>
        <w:t xml:space="preserve">Reference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 Derivation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F-Frame Ref MW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740 MW gross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DOE/NETL-2023/3848 Rev 3, Case B31A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F-Frame Heat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5.822 MMBtu/MWh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3-2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F-Frame Ref CO₂</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2,161,745 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At 85% CF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H-Frame Ref MW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1,009 MW gross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Case B32A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H-Frame Heat 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5.511 MMBtu/MWh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3-3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H-Frame Ref CO₂</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2,892,332 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At 85% CF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 Emission Factor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0.05306 t CO₂/MMBtu</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EPA standard for natural gas combustion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RDF (retrofit)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1.09</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weighted average of account-level 1.0–1.3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Lost MW (F-frame)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~99 MW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740 gross → 641 net after capture</w:t>
            </w:r>
          </w:p>
        </w:tc>
      </w:tr>
    </w:tbl>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 — Combustion Formula</w:t>
      </w:r>
    </w:p>
    <w:p>
      <w:pPr>
        <w:spacing w:after="120"/>
      </w:pPr>
      <w:r>
        <w:rPr>
          <w:rFonts w:ascii="Arial" w:cs="Arial" w:eastAsia="Arial" w:hAnsi="Arial"/>
          <w:color w:val="333333"/>
          <w:sz w:val="22"/>
          <w:szCs w:val="22"/>
        </w:rPr>
        <w:t xml:space="preserve">Power plants use the combustion formula instead of a product emission factor:</w:t>
      </w:r>
    </w:p>
    <w:p>
      <w:pPr>
        <w:spacing w:after="80"/>
        <w:ind w:left="360"/>
      </w:pPr>
      <w:r>
        <w:rPr>
          <w:rFonts w:ascii="Arial" w:cs="Arial" w:eastAsia="Arial" w:hAnsi="Arial"/>
          <w:b/>
          <w:bCs/>
          <w:color w:val="2D5B9E"/>
          <w:sz w:val="20"/>
          <w:szCs w:val="20"/>
        </w:rPr>
        <w:t xml:space="preserve">Annual_MWh = MW_gross × CF × 8,760</w:t>
      </w:r>
    </w:p>
    <w:p>
      <w:pPr>
        <w:spacing w:after="80"/>
        <w:ind w:left="360"/>
      </w:pPr>
      <w:r>
        <w:rPr>
          <w:rFonts w:ascii="Arial" w:cs="Arial" w:eastAsia="Arial" w:hAnsi="Arial"/>
          <w:b/>
          <w:bCs/>
          <w:color w:val="2D5B9E"/>
          <w:sz w:val="20"/>
          <w:szCs w:val="20"/>
        </w:rPr>
        <w:t xml:space="preserve">Annual_Fuel = Annual_MWh × Heat_Rate</w:t>
      </w:r>
    </w:p>
    <w:p>
      <w:pPr>
        <w:spacing w:after="80"/>
        <w:ind w:left="360"/>
      </w:pPr>
      <w:r>
        <w:rPr>
          <w:rFonts w:ascii="Arial" w:cs="Arial" w:eastAsia="Arial" w:hAnsi="Arial"/>
          <w:b/>
          <w:bCs/>
          <w:color w:val="2D5B9E"/>
          <w:sz w:val="20"/>
          <w:szCs w:val="20"/>
        </w:rPr>
        <w:t xml:space="preserve">CO2_Produced = Annual_Fuel × NG_EF</w:t>
      </w:r>
    </w:p>
    <w:p>
      <w:pPr>
        <w:spacing w:after="80"/>
        <w:ind w:left="360"/>
      </w:pPr>
      <w:r>
        <w:rPr>
          <w:rFonts w:ascii="Arial" w:cs="Arial" w:eastAsia="Arial" w:hAnsi="Arial"/>
          <w:b/>
          <w:bCs/>
          <w:color w:val="2D5B9E"/>
          <w:sz w:val="20"/>
          <w:szCs w:val="20"/>
        </w:rPr>
        <w:t xml:space="preserve">CO2_Captured = CO2_Produced × Capture_Rate</w:t>
      </w:r>
    </w:p>
    <w:p>
      <w:pPr>
        <w:spacing w:after="120"/>
      </w:pPr>
      <w:r>
        <w:rPr>
          <w:rFonts w:ascii="Arial" w:cs="Arial" w:eastAsia="Arial" w:hAnsi="Arial"/>
          <w:color w:val="333333"/>
          <w:sz w:val="22"/>
          <w:szCs w:val="22"/>
        </w:rPr>
        <w:t xml:space="preserve">Example: 740 MW F-frame, 85% CF, 5.822 HR, 90% CR:</w:t>
      </w:r>
    </w:p>
    <w:p>
      <w:pPr>
        <w:spacing w:after="80"/>
        <w:ind w:left="360"/>
      </w:pPr>
      <w:r>
        <w:rPr>
          <w:rFonts w:ascii="Arial" w:cs="Arial" w:eastAsia="Arial" w:hAnsi="Arial"/>
          <w:b/>
          <w:bCs/>
          <w:color w:val="2D5B9E"/>
          <w:sz w:val="20"/>
          <w:szCs w:val="20"/>
        </w:rPr>
        <w:t xml:space="preserve">Annual_MWh = 740 × 0.85 × 8,760 = 5,510,040 MWh</w:t>
      </w:r>
    </w:p>
    <w:p>
      <w:pPr>
        <w:spacing w:after="80"/>
        <w:ind w:left="360"/>
      </w:pPr>
      <w:r>
        <w:rPr>
          <w:rFonts w:ascii="Arial" w:cs="Arial" w:eastAsia="Arial" w:hAnsi="Arial"/>
          <w:b/>
          <w:bCs/>
          <w:color w:val="2D5B9E"/>
          <w:sz w:val="20"/>
          <w:szCs w:val="20"/>
        </w:rPr>
        <w:t xml:space="preserve">Annual_Fuel = 5,510,040 × 5.822 = 32,079,493 MMBtu</w:t>
      </w:r>
    </w:p>
    <w:p>
      <w:pPr>
        <w:spacing w:after="80"/>
        <w:ind w:left="360"/>
      </w:pPr>
      <w:r>
        <w:rPr>
          <w:rFonts w:ascii="Arial" w:cs="Arial" w:eastAsia="Arial" w:hAnsi="Arial"/>
          <w:b/>
          <w:bCs/>
          <w:color w:val="2D5B9E"/>
          <w:sz w:val="20"/>
          <w:szCs w:val="20"/>
        </w:rPr>
        <w:t xml:space="preserve">CO2_Produced = 32,079,493 × 0.05306 = 1,702,498 t/yr</w:t>
      </w:r>
    </w:p>
    <w:p>
      <w:pPr>
        <w:spacing w:after="80"/>
        <w:ind w:left="360"/>
      </w:pPr>
      <w:r>
        <w:rPr>
          <w:rFonts w:ascii="Arial" w:cs="Arial" w:eastAsia="Arial" w:hAnsi="Arial"/>
          <w:b/>
          <w:bCs/>
          <w:color w:val="2D5B9E"/>
          <w:sz w:val="20"/>
          <w:szCs w:val="20"/>
        </w:rPr>
        <w:t xml:space="preserve">CO2_Captured = 1,702,498 × 0.90 = 1,532,248 t/yr</w:t>
      </w:r>
    </w:p>
    <w:p>
      <w:pPr>
        <w:spacing w:after="120"/>
      </w:pPr>
      <w:r>
        <w:rPr>
          <w:rFonts w:ascii="Arial" w:cs="Arial" w:eastAsia="Arial" w:hAnsi="Arial"/>
          <w:color w:val="333333"/>
          <w:sz w:val="22"/>
          <w:szCs w:val="22"/>
        </w:rPr>
        <w:t xml:space="preserve">CRITICAL: MW is gross WITHOUT capture. Adding capture doesn’t change fuel flow.</w:t>
      </w:r>
    </w:p>
    <w:p>
      <w:pPr>
        <w:spacing w:after="120"/>
      </w:pPr>
      <w:r>
        <w:rPr>
          <w:rFonts w:ascii="Arial" w:cs="Arial" w:eastAsia="Arial" w:hAnsi="Arial"/>
          <w:b/>
          <w:bCs/>
          <w:color w:val="2D5B9E"/>
          <w:sz w:val="22"/>
          <w:szCs w:val="22"/>
        </w:rPr>
        <w:t xml:space="preserve">Back-solve:</w:t>
      </w:r>
    </w:p>
    <w:p>
      <w:pPr>
        <w:spacing w:after="80"/>
        <w:ind w:left="360"/>
      </w:pPr>
      <w:r>
        <w:rPr>
          <w:rFonts w:ascii="Arial" w:cs="Arial" w:eastAsia="Arial" w:hAnsi="Arial"/>
          <w:b/>
          <w:bCs/>
          <w:color w:val="2D5B9E"/>
          <w:sz w:val="20"/>
          <w:szCs w:val="20"/>
        </w:rPr>
        <w:t xml:space="preserve">From CO2_Captured: CO2_Produced = CO2_Captured ÷ CR</w:t>
      </w:r>
    </w:p>
    <w:p>
      <w:pPr>
        <w:spacing w:after="80"/>
        <w:ind w:left="360"/>
      </w:pPr>
      <w:r>
        <w:rPr>
          <w:rFonts w:ascii="Arial" w:cs="Arial" w:eastAsia="Arial" w:hAnsi="Arial"/>
          <w:b/>
          <w:bCs/>
          <w:color w:val="2D5B9E"/>
          <w:sz w:val="20"/>
          <w:szCs w:val="20"/>
        </w:rPr>
        <w:t xml:space="preserve">Annual_Fuel = CO2_Produced ÷ NG_EF</w:t>
      </w:r>
    </w:p>
    <w:p>
      <w:pPr>
        <w:spacing w:after="80"/>
        <w:ind w:left="360"/>
      </w:pPr>
      <w:r>
        <w:rPr>
          <w:rFonts w:ascii="Arial" w:cs="Arial" w:eastAsia="Arial" w:hAnsi="Arial"/>
          <w:b/>
          <w:bCs/>
          <w:color w:val="2D5B9E"/>
          <w:sz w:val="20"/>
          <w:szCs w:val="20"/>
        </w:rPr>
        <w:t xml:space="preserve">Annual_MWh = Annual_Fuel ÷ Heat_Rate</w:t>
      </w:r>
    </w:p>
    <w:p>
      <w:pPr>
        <w:spacing w:after="80"/>
        <w:ind w:left="360"/>
      </w:pPr>
      <w:r>
        <w:rPr>
          <w:rFonts w:ascii="Arial" w:cs="Arial" w:eastAsia="Arial" w:hAnsi="Arial"/>
          <w:b/>
          <w:bCs/>
          <w:color w:val="2D5B9E"/>
          <w:sz w:val="20"/>
          <w:szCs w:val="20"/>
        </w:rPr>
        <w:t xml:space="preserve">MW_gross = Annual_MWh ÷ (CF × 8,760)</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User_MW_gross ÷ Ref_MW_gross</w:t>
      </w:r>
    </w:p>
    <w:p>
      <w:pPr>
        <w:spacing w:after="120"/>
      </w:pPr>
      <w:r>
        <w:rPr>
          <w:rFonts w:ascii="Arial" w:cs="Arial" w:eastAsia="Arial" w:hAnsi="Arial"/>
          <w:color w:val="333333"/>
          <w:sz w:val="22"/>
          <w:szCs w:val="22"/>
        </w:rPr>
        <w:t xml:space="preserve">Model auto-selects nearest frame: ≤850 MW uses F-frame ref, &gt;850 MW uses H-frame ref.</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LF[Midwest]</w:t>
      </w:r>
    </w:p>
    <w:p>
      <w:pPr>
        <w:spacing w:after="120"/>
      </w:pPr>
      <w:r>
        <w:rPr>
          <w:rFonts w:ascii="Arial" w:cs="Arial" w:eastAsia="Arial" w:hAnsi="Arial"/>
          <w:color w:val="333333"/>
          <w:sz w:val="22"/>
          <w:szCs w:val="22"/>
        </w:rPr>
        <w:t xml:space="preserve">Note: NGCC reference uses Midwest baseline, not LA like industrial sources.</w:t>
      </w:r>
    </w:p>
    <w:p>
      <w:pPr>
        <w:spacing w:after="80"/>
        <w:ind w:left="360"/>
      </w:pPr>
      <w:r>
        <w:rPr>
          <w:rFonts w:ascii="Arial" w:cs="Arial" w:eastAsia="Arial" w:hAnsi="Arial"/>
          <w:b/>
          <w:bCs/>
          <w:color w:val="2D5B9E"/>
          <w:sz w:val="20"/>
          <w:szCs w:val="20"/>
        </w:rPr>
        <w:t xml:space="preserve">Tech_Capex = TECH[selected_technology].capex</w:t>
      </w:r>
    </w:p>
    <w:p>
      <w:pPr>
        <w:spacing w:after="120"/>
      </w:pPr>
      <w:r>
        <w:rPr>
          <w:rFonts w:ascii="Arial" w:cs="Arial" w:eastAsia="Arial" w:hAnsi="Arial"/>
          <w:color w:val="333333"/>
          <w:sz w:val="22"/>
          <w:szCs w:val="22"/>
        </w:rPr>
        <w:t xml:space="preserve">More technology options available for post-combustion: CANSOLV (baseline), Advanced Amine, Solid Sorbent, MOF, Membrane.</w:t>
      </w:r>
    </w:p>
    <w:p>
      <w:pPr>
        <w:spacing w:after="80"/>
        <w:ind w:left="360"/>
      </w:pPr>
      <w:r>
        <w:rPr>
          <w:rFonts w:ascii="Arial" w:cs="Arial" w:eastAsia="Arial" w:hAnsi="Arial"/>
          <w:b/>
          <w:bCs/>
          <w:color w:val="2D5B9E"/>
          <w:sz w:val="20"/>
          <w:szCs w:val="20"/>
        </w:rPr>
        <w:t xml:space="preserve">RDF = 1.09 (retrofit, NETL confirmed) or 1.00 (greenfield)</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Full amine system equipment list — much larger than high-purity. Accounts from NETL Exhibits B-1 through B-18:</w:t>
      </w:r>
    </w:p>
    <w:p>
      <w:pPr>
        <w:pStyle w:val="ListParagraph"/>
        <w:numPr>
          <w:ilvl w:val="0"/>
          <w:numId w:val="2"/>
        </w:numPr>
        <w:spacing w:after="60"/>
      </w:pPr>
      <w:r>
        <w:rPr>
          <w:rFonts w:ascii="Arial" w:cs="Arial" w:eastAsia="Arial" w:hAnsi="Arial"/>
          <w:color w:val="333333"/>
          <w:sz w:val="22"/>
          <w:szCs w:val="22"/>
        </w:rPr>
        <w:t xml:space="preserve">Account 3: Amine absorber + packing, fan/blower, pre-scrubber, lean/rich HX, pumps, stripper, reboiler, condenser, reclaimer, wash section, solvent storage</w:t>
      </w:r>
    </w:p>
    <w:p>
      <w:pPr>
        <w:pStyle w:val="ListParagraph"/>
        <w:numPr>
          <w:ilvl w:val="0"/>
          <w:numId w:val="2"/>
        </w:numPr>
        <w:spacing w:after="60"/>
      </w:pPr>
      <w:r>
        <w:rPr>
          <w:rFonts w:ascii="Arial" w:cs="Arial" w:eastAsia="Arial" w:hAnsi="Arial"/>
          <w:color w:val="333333"/>
          <w:sz w:val="22"/>
          <w:szCs w:val="22"/>
        </w:rPr>
        <w:t xml:space="preserve">Account 4: Pre-treatment (FGD polishing if needed — not default for NGCC)</w:t>
      </w:r>
    </w:p>
    <w:p>
      <w:pPr>
        <w:pStyle w:val="ListParagraph"/>
        <w:numPr>
          <w:ilvl w:val="0"/>
          <w:numId w:val="2"/>
        </w:numPr>
        <w:spacing w:after="60"/>
      </w:pPr>
      <w:r>
        <w:rPr>
          <w:rFonts w:ascii="Arial" w:cs="Arial" w:eastAsia="Arial" w:hAnsi="Arial"/>
          <w:color w:val="333333"/>
          <w:sz w:val="22"/>
          <w:szCs w:val="22"/>
        </w:rPr>
        <w:t xml:space="preserve">Account 5: CO₂ compression + dehydration</w:t>
      </w:r>
    </w:p>
    <w:p>
      <w:pPr>
        <w:pStyle w:val="ListParagraph"/>
        <w:numPr>
          <w:ilvl w:val="0"/>
          <w:numId w:val="2"/>
        </w:numPr>
        <w:spacing w:after="60"/>
      </w:pPr>
      <w:r>
        <w:rPr>
          <w:rFonts w:ascii="Arial" w:cs="Arial" w:eastAsia="Arial" w:hAnsi="Arial"/>
          <w:color w:val="333333"/>
          <w:sz w:val="22"/>
          <w:szCs w:val="22"/>
        </w:rPr>
        <w:t xml:space="preserve">Account 8: Cooling water system (larger — more heat rejection from amine system)</w:t>
      </w:r>
    </w:p>
    <w:p>
      <w:pPr>
        <w:pStyle w:val="ListParagraph"/>
        <w:numPr>
          <w:ilvl w:val="0"/>
          <w:numId w:val="2"/>
        </w:numPr>
        <w:spacing w:after="60"/>
      </w:pPr>
      <w:r>
        <w:rPr>
          <w:rFonts w:ascii="Arial" w:cs="Arial" w:eastAsia="Arial" w:hAnsi="Arial"/>
          <w:color w:val="333333"/>
          <w:sz w:val="22"/>
          <w:szCs w:val="22"/>
        </w:rPr>
        <w:t xml:space="preserve">Accounts 9–14: Piping, electrical, I&amp;C, site, buildings (all larger than high-purity)</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120"/>
      </w:pPr>
      <w:r>
        <w:rPr>
          <w:rFonts w:ascii="Arial" w:cs="Arial" w:eastAsia="Arial" w:hAnsi="Arial"/>
          <w:color w:val="333333"/>
          <w:sz w:val="22"/>
          <w:szCs w:val="22"/>
        </w:rPr>
        <w:t xml:space="preserve">Line-item TPC data from NETL Appendix B (EXTRACTED — see NGCC_Line_Item_Reference_Data.docx). F-90%: Pre-RDF TPC $551,801K, RDF 1.09, TPC $601,463K. Acct 5.1 CANSOLV 75.3%, Acct 5.4 Compression 11.0%.</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Num_Trains = 1 (fleet within reference range)</w:t>
      </w:r>
    </w:p>
    <w:p>
      <w:pPr>
        <w:spacing w:after="80"/>
        <w:ind w:left="360"/>
      </w:pPr>
      <w:r>
        <w:rPr>
          <w:rFonts w:ascii="Arial" w:cs="Arial" w:eastAsia="Arial" w:hAnsi="Arial"/>
          <w:b/>
          <w:bCs/>
          <w:color w:val="2D5B9E"/>
          <w:sz w:val="20"/>
          <w:szCs w:val="20"/>
        </w:rPr>
        <w:t xml:space="preserve">Operator_Ratio = 1.0 (base for amine system is 3.3 ops/shift, not 1.0)</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Base operators: 3.3 per shift (1.0 base + 2.3 for amine system). Additional per train: +1.5.</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120"/>
      </w:pPr>
      <w:r>
        <w:rPr>
          <w:rFonts w:ascii="Arial" w:cs="Arial" w:eastAsia="Arial" w:hAnsi="Arial"/>
          <w:color w:val="333333"/>
          <w:sz w:val="22"/>
          <w:szCs w:val="22"/>
        </w:rPr>
        <w:t xml:space="preserve">Dominant variable cost: solvent makeup (amine degradation). Replaces TEG from high-purity sources. Degradation rate depends on flue gas contaminants and technology.</w:t>
      </w:r>
    </w:p>
    <w:p>
      <w:pPr>
        <w:spacing w:after="80"/>
        <w:ind w:left="360"/>
      </w:pPr>
      <w:r>
        <w:rPr>
          <w:rFonts w:ascii="Arial" w:cs="Arial" w:eastAsia="Arial" w:hAnsi="Arial"/>
          <w:b/>
          <w:bCs/>
          <w:color w:val="2D5B9E"/>
          <w:sz w:val="20"/>
          <w:szCs w:val="20"/>
        </w:rPr>
        <w:t xml:space="preserve">Solvent_Makeup = Ref_Solvent × CO2_Ratio × CEPCI_Ratio</w:t>
      </w:r>
    </w:p>
    <w:p>
      <w:pPr>
        <w:spacing w:after="80"/>
        <w:ind w:left="360"/>
      </w:pPr>
      <w:r>
        <w:rPr>
          <w:rFonts w:ascii="Arial" w:cs="Arial" w:eastAsia="Arial" w:hAnsi="Arial"/>
          <w:b/>
          <w:bCs/>
          <w:color w:val="2D5B9E"/>
          <w:sz w:val="20"/>
          <w:szCs w:val="20"/>
        </w:rPr>
        <w:t xml:space="preserve">Water = Ref_Water × CO2_Ratio × CEPCI_Ratio</w:t>
      </w:r>
    </w:p>
    <w:p>
      <w:pPr>
        <w:spacing w:after="80"/>
        <w:ind w:left="360"/>
      </w:pPr>
      <w:r>
        <w:rPr>
          <w:rFonts w:ascii="Arial" w:cs="Arial" w:eastAsia="Arial" w:hAnsi="Arial"/>
          <w:b/>
          <w:bCs/>
          <w:color w:val="2D5B9E"/>
          <w:sz w:val="20"/>
          <w:szCs w:val="20"/>
        </w:rPr>
        <w:t xml:space="preserve">Chemicals = Ref_Chemicals × CO2_Ratio × CEPCI_Ratio</w:t>
      </w:r>
    </w:p>
    <w:p>
      <w:pPr>
        <w:spacing w:after="80"/>
        <w:ind w:left="360"/>
      </w:pPr>
      <w:r>
        <w:rPr>
          <w:rFonts w:ascii="Arial" w:cs="Arial" w:eastAsia="Arial" w:hAnsi="Arial"/>
          <w:b/>
          <w:bCs/>
          <w:color w:val="2D5B9E"/>
          <w:sz w:val="20"/>
          <w:szCs w:val="20"/>
        </w:rPr>
        <w:t xml:space="preserve">Waste = Ref_Waste × CO2_Ratio × CEPCI_Ratio</w:t>
      </w:r>
    </w:p>
    <w:p>
      <w:pPr>
        <w:spacing w:after="80"/>
        <w:ind w:left="360"/>
      </w:pPr>
      <w:r>
        <w:rPr>
          <w:rFonts w:ascii="Arial" w:cs="Arial" w:eastAsia="Arial" w:hAnsi="Arial"/>
          <w:b/>
          <w:bCs/>
          <w:color w:val="2D5B9E"/>
          <w:sz w:val="20"/>
          <w:szCs w:val="20"/>
        </w:rPr>
        <w:t xml:space="preserve">Total_Variable_OM = Maintenance_Material + Solvent_Makeup + Water + Chemicals + Waste</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 — MPC (Makeup Power Cost)</w:t>
      </w:r>
    </w:p>
    <w:p>
      <w:pPr>
        <w:spacing w:after="120"/>
      </w:pPr>
      <w:r>
        <w:rPr>
          <w:rFonts w:ascii="Arial" w:cs="Arial" w:eastAsia="Arial" w:hAnsi="Arial"/>
          <w:color w:val="333333"/>
          <w:sz w:val="22"/>
          <w:szCs w:val="22"/>
        </w:rPr>
        <w:t xml:space="preserve">FUNDAMENTAL DIFFERENCE from industrial sources. Power plants don’t buy electricity — they lose the ability to sell it.</w:t>
      </w:r>
    </w:p>
    <w:p>
      <w:pPr>
        <w:spacing w:after="80"/>
        <w:ind w:left="360"/>
      </w:pPr>
      <w:r>
        <w:rPr>
          <w:rFonts w:ascii="Arial" w:cs="Arial" w:eastAsia="Arial" w:hAnsi="Arial"/>
          <w:b/>
          <w:bCs/>
          <w:color w:val="2D5B9E"/>
          <w:sz w:val="20"/>
          <w:szCs w:val="20"/>
        </w:rPr>
        <w:t xml:space="preserve">Ref_Lost_MW = Ref_Gross_MW – Ref_Net_MW_after_capture</w:t>
      </w:r>
    </w:p>
    <w:p>
      <w:pPr>
        <w:spacing w:after="80"/>
        <w:ind w:left="360"/>
      </w:pPr>
      <w:r>
        <w:rPr>
          <w:rFonts w:ascii="Arial" w:cs="Arial" w:eastAsia="Arial" w:hAnsi="Arial"/>
          <w:b/>
          <w:bCs/>
          <w:color w:val="2D5B9E"/>
          <w:sz w:val="20"/>
          <w:szCs w:val="20"/>
        </w:rPr>
        <w:t xml:space="preserve">Ref_Lost_MW = 740 – 641 = 99 MW (F-frame)</w:t>
      </w:r>
    </w:p>
    <w:p>
      <w:pPr>
        <w:spacing w:after="80"/>
        <w:ind w:left="360"/>
      </w:pPr>
      <w:r>
        <w:rPr>
          <w:rFonts w:ascii="Arial" w:cs="Arial" w:eastAsia="Arial" w:hAnsi="Arial"/>
          <w:b/>
          <w:bCs/>
          <w:color w:val="2D5B9E"/>
          <w:sz w:val="20"/>
          <w:szCs w:val="20"/>
        </w:rPr>
        <w:t xml:space="preserve">Lost_MW = Ref_Lost_MW × (CO2_Captured ÷ Ref_CO2_Captured) × Tech.power</w:t>
      </w:r>
    </w:p>
    <w:p>
      <w:pPr>
        <w:spacing w:after="80"/>
        <w:ind w:left="360"/>
      </w:pPr>
      <w:r>
        <w:rPr>
          <w:rFonts w:ascii="Arial" w:cs="Arial" w:eastAsia="Arial" w:hAnsi="Arial"/>
          <w:b/>
          <w:bCs/>
          <w:color w:val="2D5B9E"/>
          <w:sz w:val="20"/>
          <w:szCs w:val="20"/>
        </w:rPr>
        <w:t xml:space="preserve">Annual_MPC = Lost_MW × 8,760 × CF × Projected_Sales_Price</w:t>
      </w:r>
    </w:p>
    <w:p>
      <w:pPr>
        <w:spacing w:after="80"/>
        <w:ind w:left="360"/>
      </w:pPr>
      <w:r>
        <w:rPr>
          <w:rFonts w:ascii="Arial" w:cs="Arial" w:eastAsia="Arial" w:hAnsi="Arial"/>
          <w:b/>
          <w:bCs/>
          <w:color w:val="2D5B9E"/>
          <w:sz w:val="20"/>
          <w:szCs w:val="20"/>
        </w:rPr>
        <w:t xml:space="preserve">Power_per_t = Annual_MPC ÷ CO2_Captured</w:t>
      </w:r>
    </w:p>
    <w:p>
      <w:pPr>
        <w:spacing w:after="120"/>
      </w:pPr>
      <w:r>
        <w:rPr>
          <w:rFonts w:ascii="Arial" w:cs="Arial" w:eastAsia="Arial" w:hAnsi="Arial"/>
          <w:color w:val="333333"/>
          <w:sz w:val="22"/>
          <w:szCs w:val="22"/>
        </w:rPr>
        <w:t xml:space="preserve">Lost MW includes: steam extraction to reboiler + auxiliary electrical load + off-design penalty (retrofit only).</w:t>
      </w:r>
    </w:p>
    <w:p>
      <w:pPr>
        <w:spacing w:after="80"/>
        <w:ind w:left="360"/>
      </w:pPr>
      <w:r>
        <w:rPr>
          <w:rFonts w:ascii="Arial" w:cs="Arial" w:eastAsia="Arial" w:hAnsi="Arial"/>
          <w:b/>
          <w:bCs/>
          <w:color w:val="2D5B9E"/>
          <w:sz w:val="20"/>
          <w:szCs w:val="20"/>
        </w:rPr>
        <w:t xml:space="preserve">PSP default = $30/MWh (NETL). User-overridable.</w:t>
      </w:r>
    </w:p>
    <w:p>
      <w:pPr>
        <w:spacing w:after="120"/>
      </w:pPr>
      <w:r>
        <w:rPr>
          <w:rFonts w:ascii="Arial" w:cs="Arial" w:eastAsia="Arial" w:hAnsi="Arial"/>
          <w:color w:val="333333"/>
          <w:sz w:val="22"/>
          <w:szCs w:val="22"/>
        </w:rPr>
        <w:t xml:space="preserve">Example: 99 MW lost, 85% CF, $30/MWh PSP:</w:t>
      </w:r>
    </w:p>
    <w:p>
      <w:pPr>
        <w:spacing w:after="80"/>
        <w:ind w:left="360"/>
      </w:pPr>
      <w:r>
        <w:rPr>
          <w:rFonts w:ascii="Arial" w:cs="Arial" w:eastAsia="Arial" w:hAnsi="Arial"/>
          <w:b/>
          <w:bCs/>
          <w:color w:val="2D5B9E"/>
          <w:sz w:val="20"/>
          <w:szCs w:val="20"/>
        </w:rPr>
        <w:t xml:space="preserve">Annual_MPC = 99 × 8,760 × 0.85 × 30 = $22,107,960</w:t>
      </w:r>
    </w:p>
    <w:p>
      <w:pPr>
        <w:spacing w:after="80"/>
        <w:ind w:left="360"/>
      </w:pPr>
      <w:r>
        <w:rPr>
          <w:rFonts w:ascii="Arial" w:cs="Arial" w:eastAsia="Arial" w:hAnsi="Arial"/>
          <w:b/>
          <w:bCs/>
          <w:color w:val="2D5B9E"/>
          <w:sz w:val="20"/>
          <w:szCs w:val="20"/>
        </w:rPr>
        <w:t xml:space="preserve">Power_per_t = $22,107,960 ÷ 1,532,248 = $14.43/t</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Fuel_per_t = $0</w:t>
      </w:r>
    </w:p>
    <w:p>
      <w:pPr>
        <w:spacing w:after="120"/>
      </w:pPr>
      <w:r>
        <w:rPr>
          <w:rFonts w:ascii="Arial" w:cs="Arial" w:eastAsia="Arial" w:hAnsi="Arial"/>
          <w:color w:val="333333"/>
          <w:sz w:val="22"/>
          <w:szCs w:val="22"/>
        </w:rPr>
        <w:t xml:space="preserve">NGCC burns the same fuel with or without capture. Fuel cost doesn’t change. The penalty is entirely in MPC (lost electricity from reduced net output).</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MPC + $0_Fuel</w:t>
      </w:r>
    </w:p>
    <w:p>
      <w:r>
        <w:br w:type="page"/>
      </w:r>
    </w:p>
    <w:p>
      <w:pPr>
        <w:pStyle w:val="Heading2"/>
        <w:spacing w:before="240" w:after="140"/>
      </w:pPr>
      <w:r>
        <w:rPr>
          <w:rFonts w:ascii="Arial" w:cs="Arial" w:eastAsia="Arial" w:hAnsi="Arial"/>
          <w:b/>
          <w:bCs/>
          <w:color w:val="1A1A2E"/>
          <w:sz w:val="26"/>
          <w:szCs w:val="26"/>
        </w:rPr>
        <w:t xml:space="preserve">6.9 Cement</w:t>
      </w:r>
    </w:p>
    <w:p>
      <w:pPr>
        <w:spacing w:after="120"/>
      </w:pPr>
      <w:r>
        <w:rPr>
          <w:rFonts w:ascii="Arial" w:cs="Arial" w:eastAsia="Arial" w:hAnsi="Arial"/>
          <w:color w:val="333333"/>
          <w:sz w:val="22"/>
          <w:szCs w:val="22"/>
        </w:rPr>
        <w:t xml:space="preserve">Post-combustion on mixed kiln exhaust (20–25% CO₂). Full amine system. New NG boiler for steam. Fuel cost is non-zero and significant. The highest-cost industrial capture pathway.</w:t>
      </w:r>
    </w:p>
    <w:p>
      <w:pPr>
        <w:spacing w:after="40"/>
      </w:pPr>
      <w:r>
        <w:rPr>
          <w:rFonts w:ascii="Arial" w:cs="Arial" w:eastAsia="Arial" w:hAnsi="Arial"/>
          <w:b/>
          <w:bCs/>
          <w:color w:val="1B6B4A"/>
          <w:sz w:val="22"/>
          <w:szCs w:val="22"/>
        </w:rPr>
        <w:t xml:space="preserve">Complete Calculation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
        <w:gridCol w:w="1100"/>
        <w:gridCol w:w="400"/>
        <w:gridCol w:w="1100"/>
        <w:gridCol w:w="400"/>
        <w:gridCol w:w="1000"/>
        <w:gridCol w:w="400"/>
        <w:gridCol w:w="1100"/>
        <w:gridCol w:w="400"/>
        <w:gridCol w:w="1000"/>
        <w:gridCol w:w="400"/>
        <w:gridCol w:w="900"/>
        <w:gridCol w:w="400"/>
        <w:gridCol w:w="800"/>
        <w:gridCol w:w="400"/>
        <w:gridCol w:w="800"/>
      </w:tblGrid>
      <w:tr>
        <w:tc>
          <w:tcPr>
            <w:tcW w:type="dxa" w:w="900"/>
            <w:tcBorders>
              <w:top w:val="single" w:color="CCCCCC" w:sz="1"/>
              <w:left w:val="single" w:color="CCCCCC" w:sz="1"/>
              <w:bottom w:val="single" w:color="CCCCCC" w:sz="1"/>
              <w:right w:val="single" w:color="CCCCCC" w:sz="1"/>
            </w:tcBorders>
            <w:shd w:fill="CC44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1. CO₂</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2. Size Ratio</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3. Adjustments</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2D5B9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4. CAPEX
+Boiler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1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5. Capital</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10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6. Fixed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9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7. Var O&amp;M</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1B6B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8. Power</w:t>
            </w:r>
          </w:p>
        </w:tc>
        <w:tc>
          <w:tcPr>
            <w:tcW w:type="dxa" w:w="400"/>
            <w:tcBorders>
              <w:top w:val="none" w:sz="0"/>
              <w:left w:val="none" w:sz="0"/>
              <w:bottom w:val="none" w:sz="0"/>
              <w:right w:val="none" w:sz="0"/>
            </w:tcBorders>
            <w:tcMar>
              <w:top w:type="dxa" w:w="40"/>
              <w:left w:type="dxa" w:w="0"/>
              <w:bottom w:type="dxa" w:w="40"/>
              <w:right w:type="dxa" w:w="0"/>
            </w:tcMar>
            <w:vAlign w:val="center"/>
          </w:tcPr>
          <w:p>
            <w:pPr>
              <w:jc w:val="center"/>
            </w:pPr>
            <w:r>
              <w:rPr>
                <w:rFonts w:ascii="Arial" w:cs="Arial" w:eastAsia="Arial" w:hAnsi="Arial"/>
                <w:b/>
                <w:bCs/>
                <w:color w:val="666666"/>
                <w:sz w:val="22"/>
                <w:szCs w:val="22"/>
              </w:rPr>
              <w:t xml:space="preserve">→</w:t>
            </w:r>
          </w:p>
        </w:tc>
        <w:tc>
          <w:tcPr>
            <w:tcW w:type="dxa" w:w="800"/>
            <w:tcBorders>
              <w:top w:val="single" w:color="CCCCCC" w:sz="1"/>
              <w:left w:val="single" w:color="CCCCCC" w:sz="1"/>
              <w:bottom w:val="single" w:color="CCCCCC" w:sz="1"/>
              <w:right w:val="single" w:color="CCCCCC" w:sz="1"/>
            </w:tcBorders>
            <w:shd w:fill="8C5A2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9. NG Fuel</w:t>
            </w:r>
          </w:p>
        </w:tc>
      </w:tr>
    </w:tbl>
    <w:p>
      <w:pPr>
        <w:spacing w:after="120"/>
      </w:pPr>
      <w:r>
        <w:rPr>
          <w:rFonts w:ascii="Arial" w:cs="Arial" w:eastAsia="Arial" w:hAnsi="Arial"/>
          <w:b/>
          <w:bCs/>
          <w:color w:val="1B6B4A"/>
          <w:sz w:val="22"/>
          <w:szCs w:val="22"/>
        </w:rPr>
        <w:t xml:space="preserve">Reference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 Derivation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Capacity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1,300,000 t cement/yr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6-21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 CO₂ (incl boiler)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1,213,802 t/yr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Exhibit 6-21. Includes boiler CO₂.</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EF (kiln 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~0.955 t CO₂/t cement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total ÷ ~1.15 (remove boiler) ÷ (cap × CF)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EF (incl boiler)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1.099 t CO₂/t cement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1,213,802 ÷ (1,300,000 × 0.85) = 1.099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Clinker Ratio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0.90 (default)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Affects calcination EF. User-overridable.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NETL Gas Price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$4.42/MMBtu</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QGESS standard</w:t>
            </w:r>
          </w:p>
        </w:tc>
      </w:tr>
    </w:tbl>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80"/>
        <w:ind w:left="360"/>
      </w:pPr>
      <w:r>
        <w:rPr>
          <w:rFonts w:ascii="Arial" w:cs="Arial" w:eastAsia="Arial" w:hAnsi="Arial"/>
          <w:b/>
          <w:bCs/>
          <w:color w:val="2D5B9E"/>
          <w:sz w:val="20"/>
          <w:szCs w:val="20"/>
        </w:rPr>
        <w:t xml:space="preserve">Annual_Output = Plant_Capacity × CF</w:t>
      </w:r>
    </w:p>
    <w:p>
      <w:pPr>
        <w:spacing w:after="80"/>
        <w:ind w:left="360"/>
      </w:pPr>
      <w:r>
        <w:rPr>
          <w:rFonts w:ascii="Arial" w:cs="Arial" w:eastAsia="Arial" w:hAnsi="Arial"/>
          <w:b/>
          <w:bCs/>
          <w:color w:val="2D5B9E"/>
          <w:sz w:val="20"/>
          <w:szCs w:val="20"/>
        </w:rPr>
        <w:t xml:space="preserve">Kiln_CO2 = Annual_Output × Kiln_EF</w:t>
      </w:r>
    </w:p>
    <w:p>
      <w:pPr>
        <w:spacing w:after="120"/>
      </w:pPr>
      <w:r>
        <w:rPr>
          <w:rFonts w:ascii="Arial" w:cs="Arial" w:eastAsia="Arial" w:hAnsi="Arial"/>
          <w:color w:val="333333"/>
          <w:sz w:val="22"/>
          <w:szCs w:val="22"/>
        </w:rPr>
        <w:t xml:space="preserve">If boiler capture toggle ON:</w:t>
      </w:r>
    </w:p>
    <w:p>
      <w:pPr>
        <w:spacing w:after="80"/>
        <w:ind w:left="360"/>
      </w:pPr>
      <w:r>
        <w:rPr>
          <w:rFonts w:ascii="Arial" w:cs="Arial" w:eastAsia="Arial" w:hAnsi="Arial"/>
          <w:b/>
          <w:bCs/>
          <w:color w:val="2D5B9E"/>
          <w:sz w:val="20"/>
          <w:szCs w:val="20"/>
        </w:rPr>
        <w:t xml:space="preserve">Boiler_CO2 = f(reboiler duty, boiler efficiency, NG emission factor)</w:t>
      </w:r>
    </w:p>
    <w:p>
      <w:pPr>
        <w:spacing w:after="80"/>
        <w:ind w:left="360"/>
      </w:pPr>
      <w:r>
        <w:rPr>
          <w:rFonts w:ascii="Arial" w:cs="Arial" w:eastAsia="Arial" w:hAnsi="Arial"/>
          <w:b/>
          <w:bCs/>
          <w:color w:val="2D5B9E"/>
          <w:sz w:val="20"/>
          <w:szCs w:val="20"/>
        </w:rPr>
        <w:t xml:space="preserve">Total_CO2 = Kiln_CO2 + Boiler_CO2</w:t>
      </w:r>
    </w:p>
    <w:p>
      <w:pPr>
        <w:spacing w:after="120"/>
      </w:pPr>
      <w:r>
        <w:rPr>
          <w:rFonts w:ascii="Arial" w:cs="Arial" w:eastAsia="Arial" w:hAnsi="Arial"/>
          <w:color w:val="333333"/>
          <w:sz w:val="22"/>
          <w:szCs w:val="22"/>
        </w:rPr>
        <w:t xml:space="preserve">If boiler capture toggle OFF:</w:t>
      </w:r>
    </w:p>
    <w:p>
      <w:pPr>
        <w:spacing w:after="80"/>
        <w:ind w:left="360"/>
      </w:pPr>
      <w:r>
        <w:rPr>
          <w:rFonts w:ascii="Arial" w:cs="Arial" w:eastAsia="Arial" w:hAnsi="Arial"/>
          <w:b/>
          <w:bCs/>
          <w:color w:val="2D5B9E"/>
          <w:sz w:val="20"/>
          <w:szCs w:val="20"/>
        </w:rPr>
        <w:t xml:space="preserve">Total_CO2 = Kiln_CO2 (boiler CO₂ is vented)</w:t>
      </w:r>
    </w:p>
    <w:p>
      <w:pPr>
        <w:spacing w:after="80"/>
        <w:ind w:left="360"/>
      </w:pPr>
      <w:r>
        <w:rPr>
          <w:rFonts w:ascii="Arial" w:cs="Arial" w:eastAsia="Arial" w:hAnsi="Arial"/>
          <w:b/>
          <w:bCs/>
          <w:color w:val="2D5B9E"/>
          <w:sz w:val="20"/>
          <w:szCs w:val="20"/>
        </w:rPr>
        <w:t xml:space="preserve">CO2_Captured = Total_CO2 × Capture_Rate</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Plant_Capacity ÷ Ref_Capacity</w:t>
      </w:r>
    </w:p>
    <w:p>
      <w:pPr>
        <w:spacing w:after="80"/>
        <w:ind w:left="360"/>
      </w:pPr>
      <w:r>
        <w:rPr>
          <w:rFonts w:ascii="Arial" w:cs="Arial" w:eastAsia="Arial" w:hAnsi="Arial"/>
          <w:b/>
          <w:bCs/>
          <w:color w:val="2D5B9E"/>
          <w:sz w:val="20"/>
          <w:szCs w:val="20"/>
        </w:rPr>
        <w:t xml:space="preserve">sR = Plant_Capacity ÷ 1,300,000</w:t>
      </w:r>
    </w:p>
    <w:p>
      <w:pPr>
        <w:spacing w:after="120"/>
      </w:pPr>
      <w:r>
        <w:rPr>
          <w:rFonts w:ascii="Arial" w:cs="Arial" w:eastAsia="Arial" w:hAnsi="Arial"/>
          <w:color w:val="333333"/>
          <w:sz w:val="22"/>
          <w:szCs w:val="22"/>
        </w:rPr>
        <w:t xml:space="preserve">Max single train ~4M t cement/yr (absorber column diameter limit). Most US plants within Tier B range.</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1.05 (NETL blanket LP factor. 99%: GF=$60.8, RF=$62.4).</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Full amine system PLUS new NG boiler. Equipment from NETL Exhibits 6-23/6-24 (NOT EXTRACTED 6-23/6-24 (NOT YET EXTRACTED). Cement#x2014; back-calc TPC ~$344M). Cement has Cansolv (Acct 5.1) + boiler (Acct 8) + compression (Acct 5.4) + BOP.</w:t>
      </w:r>
    </w:p>
    <w:p>
      <w:pPr>
        <w:pStyle w:val="ListParagraph"/>
        <w:numPr>
          <w:ilvl w:val="0"/>
          <w:numId w:val="2"/>
        </w:numPr>
        <w:spacing w:after="60"/>
      </w:pPr>
      <w:r>
        <w:rPr>
          <w:rFonts w:ascii="Arial" w:cs="Arial" w:eastAsia="Arial" w:hAnsi="Arial"/>
          <w:color w:val="333333"/>
          <w:sz w:val="22"/>
          <w:szCs w:val="22"/>
        </w:rPr>
        <w:t xml:space="preserve">Account 3: Full amine capture system (same as NGCC)</w:t>
      </w:r>
    </w:p>
    <w:p>
      <w:pPr>
        <w:pStyle w:val="ListParagraph"/>
        <w:numPr>
          <w:ilvl w:val="0"/>
          <w:numId w:val="2"/>
        </w:numPr>
        <w:spacing w:after="60"/>
      </w:pPr>
      <w:r>
        <w:rPr>
          <w:rFonts w:ascii="Arial" w:cs="Arial" w:eastAsia="Arial" w:hAnsi="Arial"/>
          <w:color w:val="333333"/>
          <w:sz w:val="22"/>
          <w:szCs w:val="22"/>
        </w:rPr>
        <w:t xml:space="preserve">Account 4: Pre-treatment (FGD polishing — toggle, default OFF for cement)</w:t>
      </w:r>
    </w:p>
    <w:p>
      <w:pPr>
        <w:pStyle w:val="ListParagraph"/>
        <w:numPr>
          <w:ilvl w:val="0"/>
          <w:numId w:val="2"/>
        </w:numPr>
        <w:spacing w:after="60"/>
      </w:pPr>
      <w:r>
        <w:rPr>
          <w:rFonts w:ascii="Arial" w:cs="Arial" w:eastAsia="Arial" w:hAnsi="Arial"/>
          <w:color w:val="333333"/>
          <w:sz w:val="22"/>
          <w:szCs w:val="22"/>
        </w:rPr>
        <w:t xml:space="preserve">Account 5: CO₂ compression + dehydration</w:t>
      </w:r>
    </w:p>
    <w:p>
      <w:pPr>
        <w:pStyle w:val="ListParagraph"/>
        <w:numPr>
          <w:ilvl w:val="0"/>
          <w:numId w:val="2"/>
        </w:numPr>
        <w:spacing w:after="60"/>
      </w:pPr>
      <w:r>
        <w:rPr>
          <w:rFonts w:ascii="Arial" w:cs="Arial" w:eastAsia="Arial" w:hAnsi="Arial"/>
          <w:color w:val="333333"/>
          <w:sz w:val="22"/>
          <w:szCs w:val="22"/>
        </w:rPr>
        <w:t xml:space="preserve">Account 8: NEW NG BOILER for steam generation (cement has no existing steam cycle)</w:t>
      </w:r>
    </w:p>
    <w:p>
      <w:pPr>
        <w:pStyle w:val="ListParagraph"/>
        <w:numPr>
          <w:ilvl w:val="0"/>
          <w:numId w:val="2"/>
        </w:numPr>
        <w:spacing w:after="60"/>
      </w:pPr>
      <w:r>
        <w:rPr>
          <w:rFonts w:ascii="Arial" w:cs="Arial" w:eastAsia="Arial" w:hAnsi="Arial"/>
          <w:color w:val="333333"/>
          <w:sz w:val="22"/>
          <w:szCs w:val="22"/>
        </w:rPr>
        <w:t xml:space="preserve">Account 8: Cooling water system</w:t>
      </w:r>
    </w:p>
    <w:p>
      <w:pPr>
        <w:pStyle w:val="ListParagraph"/>
        <w:numPr>
          <w:ilvl w:val="0"/>
          <w:numId w:val="2"/>
        </w:numPr>
        <w:spacing w:after="60"/>
      </w:pPr>
      <w:r>
        <w:rPr>
          <w:rFonts w:ascii="Arial" w:cs="Arial" w:eastAsia="Arial" w:hAnsi="Arial"/>
          <w:color w:val="333333"/>
          <w:sz w:val="22"/>
          <w:szCs w:val="22"/>
        </w:rPr>
        <w:t xml:space="preserve">Accounts 9–14: Piping, electrical, I&amp;C, site, buildings</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Base: 3.3 operators/shift (full amine system). Additional per train: +1.5.</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Solvent_Makeup = Ref_Solvent × CO2_Ratio × CEPCI_Ratio</w:t>
      </w:r>
    </w:p>
    <w:p>
      <w:pPr>
        <w:spacing w:after="80"/>
        <w:ind w:left="360"/>
      </w:pPr>
      <w:r>
        <w:rPr>
          <w:rFonts w:ascii="Arial" w:cs="Arial" w:eastAsia="Arial" w:hAnsi="Arial"/>
          <w:b/>
          <w:bCs/>
          <w:color w:val="2D5B9E"/>
          <w:sz w:val="20"/>
          <w:szCs w:val="20"/>
        </w:rPr>
        <w:t xml:space="preserve">Water = Ref_Water × CO2_Ratio × CEPCI_Ratio</w:t>
      </w:r>
    </w:p>
    <w:p>
      <w:pPr>
        <w:spacing w:after="80"/>
        <w:ind w:left="360"/>
      </w:pPr>
      <w:r>
        <w:rPr>
          <w:rFonts w:ascii="Arial" w:cs="Arial" w:eastAsia="Arial" w:hAnsi="Arial"/>
          <w:b/>
          <w:bCs/>
          <w:color w:val="2D5B9E"/>
          <w:sz w:val="20"/>
          <w:szCs w:val="20"/>
        </w:rPr>
        <w:t xml:space="preserve">Chemicals = Ref_Chemicals × CO2_Ratio × CEPCI_Ratio</w:t>
      </w:r>
    </w:p>
    <w:p>
      <w:pPr>
        <w:spacing w:after="80"/>
        <w:ind w:left="360"/>
      </w:pPr>
      <w:r>
        <w:rPr>
          <w:rFonts w:ascii="Arial" w:cs="Arial" w:eastAsia="Arial" w:hAnsi="Arial"/>
          <w:b/>
          <w:bCs/>
          <w:color w:val="2D5B9E"/>
          <w:sz w:val="20"/>
          <w:szCs w:val="20"/>
        </w:rPr>
        <w:t xml:space="preserve">Waste = Ref_Waste × CO2_Ratio × CEPCI_Ratio</w:t>
      </w:r>
    </w:p>
    <w:p>
      <w:pPr>
        <w:spacing w:after="80"/>
        <w:ind w:left="360"/>
      </w:pPr>
      <w:r>
        <w:rPr>
          <w:rFonts w:ascii="Arial" w:cs="Arial" w:eastAsia="Arial" w:hAnsi="Arial"/>
          <w:b/>
          <w:bCs/>
          <w:color w:val="2D5B9E"/>
          <w:sz w:val="20"/>
          <w:szCs w:val="20"/>
        </w:rPr>
        <w:t xml:space="preserve">Total_Variable_OM = Maintenance_Material + Solvent_Makeup + Water + Chemicals + Waste</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 — Purchased from Grid</w:t>
      </w:r>
    </w:p>
    <w:p>
      <w:pPr>
        <w:spacing w:after="120"/>
      </w:pPr>
      <w:r>
        <w:rPr>
          <w:rFonts w:ascii="Arial" w:cs="Arial" w:eastAsia="Arial" w:hAnsi="Arial"/>
          <w:color w:val="333333"/>
          <w:sz w:val="22"/>
          <w:szCs w:val="22"/>
        </w:rPr>
        <w:t xml:space="preserve">Cement is an industrial source — it buys electricity, not MPC.</w:t>
      </w:r>
    </w:p>
    <w:p>
      <w:pPr>
        <w:spacing w:after="80"/>
        <w:ind w:left="360"/>
      </w:pPr>
      <w:r>
        <w:rPr>
          <w:rFonts w:ascii="Arial" w:cs="Arial" w:eastAsia="Arial" w:hAnsi="Arial"/>
          <w:b/>
          <w:bCs/>
          <w:color w:val="2D5B9E"/>
          <w:sz w:val="20"/>
          <w:szCs w:val="20"/>
        </w:rPr>
        <w:t xml:space="preserve">Ref_MW = Cansolv + boiler + 8-stg centrif. Back-calc TPC ~$344M</w:t>
      </w:r>
    </w:p>
    <w:p>
      <w:pPr>
        <w:spacing w:after="80"/>
        <w:ind w:left="360"/>
      </w:pPr>
      <w:r>
        <w:rPr>
          <w:rFonts w:ascii="Arial" w:cs="Arial" w:eastAsia="Arial" w:hAnsi="Arial"/>
          <w:b/>
          <w:bCs/>
          <w:color w:val="2D5B9E"/>
          <w:sz w:val="20"/>
          <w:szCs w:val="20"/>
        </w:rPr>
        <w:t xml:space="preserve">Ref_Annual_MWh = Ref_MW × 8,760 × Ref_CF</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120"/>
      </w:pPr>
      <w:r>
        <w:rPr>
          <w:rFonts w:ascii="Arial" w:cs="Arial" w:eastAsia="Arial" w:hAnsi="Arial"/>
          <w:color w:val="333333"/>
          <w:sz w:val="22"/>
          <w:szCs w:val="22"/>
        </w:rPr>
        <w:t xml:space="preserve">Higher MW than high-purity because of amine system (absorber fan, solvent pumps, condenser, compression, cooling, boiler auxiliaries).</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 — Non-Zero (NG Boiler)</w:t>
      </w:r>
    </w:p>
    <w:p>
      <w:pPr>
        <w:spacing w:after="120"/>
      </w:pPr>
      <w:r>
        <w:rPr>
          <w:rFonts w:ascii="Arial" w:cs="Arial" w:eastAsia="Arial" w:hAnsi="Arial"/>
          <w:color w:val="333333"/>
          <w:sz w:val="22"/>
          <w:szCs w:val="22"/>
        </w:rPr>
        <w:t xml:space="preserve">THIS IS THE KEY DIFFERENCE. Cement has no existing steam cycle. A new NG boiler must supply all steam for solvent regeneration. Often the single largest OPEX line item.</w:t>
      </w:r>
    </w:p>
    <w:p>
      <w:pPr>
        <w:spacing w:after="80"/>
        <w:ind w:left="360"/>
      </w:pPr>
      <w:r>
        <w:rPr>
          <w:rFonts w:ascii="Arial" w:cs="Arial" w:eastAsia="Arial" w:hAnsi="Arial"/>
          <w:b/>
          <w:bCs/>
          <w:color w:val="2D5B9E"/>
          <w:sz w:val="20"/>
          <w:szCs w:val="20"/>
        </w:rPr>
        <w:t xml:space="preserve">Ref_Fuel = ~$5.7M/yr fuel at $4.42. Part of $16.5/t combined Power+Gas</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Adj_Fuel_Cost = Ref_Fuel × (User_Gas_Price ÷ $4.42) × CO2_Ratio</w:t>
      </w:r>
    </w:p>
    <w:p>
      <w:pPr>
        <w:spacing w:after="120"/>
      </w:pPr>
      <w:r>
        <w:rPr>
          <w:rFonts w:ascii="Arial" w:cs="Arial" w:eastAsia="Arial" w:hAnsi="Arial"/>
          <w:color w:val="333333"/>
          <w:sz w:val="22"/>
          <w:szCs w:val="22"/>
        </w:rPr>
        <w:t xml:space="preserve">Where User_Gas_Price = HH strip price + state basis differential. Auto-populated, user-overridable.</w:t>
      </w:r>
    </w:p>
    <w:p>
      <w:pPr>
        <w:spacing w:after="80"/>
        <w:ind w:left="360"/>
      </w:pPr>
      <w:r>
        <w:rPr>
          <w:rFonts w:ascii="Arial" w:cs="Arial" w:eastAsia="Arial" w:hAnsi="Arial"/>
          <w:b/>
          <w:bCs/>
          <w:color w:val="2D5B9E"/>
          <w:sz w:val="20"/>
          <w:szCs w:val="20"/>
        </w:rPr>
        <w:t xml:space="preserve">Fuel_per_t = Adj_Fuel_Cost ÷ CO2_Captured</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Power + Fuel</w:t>
      </w:r>
    </w:p>
    <w:p>
      <w:pPr>
        <w:spacing w:after="120"/>
      </w:pPr>
      <w:r>
        <w:rPr>
          <w:rFonts w:ascii="Arial" w:cs="Arial" w:eastAsia="Arial" w:hAnsi="Arial"/>
          <w:color w:val="333333"/>
          <w:sz w:val="22"/>
          <w:szCs w:val="22"/>
        </w:rPr>
        <w:t xml:space="preserve">ALL FIVE components are non-zero for cement. Fuel is typically 15–25% of total LCOC. Cement is the highest-cost industrial capture pathway.</w:t>
      </w:r>
    </w:p>
    <w:p>
      <w:r>
        <w:br w:type="page"/>
      </w:r>
    </w:p>
    <w:p>
      <w:pPr>
        <w:pStyle w:val="Heading2"/>
        <w:spacing w:before="240" w:after="140"/>
      </w:pPr>
      <w:r>
        <w:rPr>
          <w:rFonts w:ascii="Arial" w:cs="Arial" w:eastAsia="Arial" w:hAnsi="Arial"/>
          <w:b/>
          <w:bCs/>
          <w:color w:val="1A1A2E"/>
          <w:sz w:val="26"/>
          <w:szCs w:val="26"/>
        </w:rPr>
        <w:t xml:space="preserve">6.10 Coal</w:t>
      </w:r>
    </w:p>
    <w:p>
      <w:pPr>
        <w:spacing w:after="120"/>
      </w:pPr>
      <w:r>
        <w:rPr>
          <w:rFonts w:ascii="Arial" w:cs="Arial" w:eastAsia="Arial" w:hAnsi="Arial"/>
          <w:color w:val="333333"/>
          <w:sz w:val="22"/>
          <w:szCs w:val="22"/>
        </w:rPr>
        <w:t xml:space="preserve">Post-combustion. Same amine system as NGCC. Key differences: higher CO₂ concentration (12–14%), dirtier gas, pre-treatment required, MPC for power, shorter project life for retrofit.</w:t>
      </w:r>
    </w:p>
    <w:p>
      <w:pPr>
        <w:spacing w:after="120"/>
      </w:pPr>
      <w:r>
        <w:rPr>
          <w:rFonts w:ascii="Arial" w:cs="Arial" w:eastAsia="Arial" w:hAnsi="Arial"/>
          <w:b/>
          <w:bCs/>
          <w:color w:val="1B6B4A"/>
          <w:sz w:val="22"/>
          <w:szCs w:val="22"/>
        </w:rPr>
        <w:t xml:space="preserve">Differences from NGCC:</w:t>
      </w:r>
    </w:p>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80"/>
        <w:ind w:left="360"/>
      </w:pPr>
      <w:r>
        <w:rPr>
          <w:rFonts w:ascii="Arial" w:cs="Arial" w:eastAsia="Arial" w:hAnsi="Arial"/>
          <w:b/>
          <w:bCs/>
          <w:color w:val="2D5B9E"/>
          <w:sz w:val="20"/>
          <w:szCs w:val="20"/>
        </w:rPr>
        <w:t xml:space="preserve">Same combustion formula: MW × CF × 8,760 × HR × Coal_EF</w:t>
      </w:r>
    </w:p>
    <w:p>
      <w:pPr>
        <w:spacing w:after="80"/>
        <w:ind w:left="360"/>
      </w:pPr>
      <w:r>
        <w:rPr>
          <w:rFonts w:ascii="Arial" w:cs="Arial" w:eastAsia="Arial" w:hAnsi="Arial"/>
          <w:b/>
          <w:bCs/>
          <w:color w:val="2D5B9E"/>
          <w:sz w:val="20"/>
          <w:szCs w:val="20"/>
        </w:rPr>
        <w:t xml:space="preserve">Coal_EF = 0.09552 t CO₂/MMBtu (vs 0.05306 for NG)</w:t>
      </w:r>
    </w:p>
    <w:p>
      <w:pPr>
        <w:spacing w:after="80"/>
        <w:ind w:left="360"/>
      </w:pPr>
      <w:r>
        <w:rPr>
          <w:rFonts w:ascii="Arial" w:cs="Arial" w:eastAsia="Arial" w:hAnsi="Arial"/>
          <w:b/>
          <w:bCs/>
          <w:color w:val="2D5B9E"/>
          <w:sz w:val="20"/>
          <w:szCs w:val="20"/>
        </w:rPr>
        <w:t xml:space="preserve">Default HR = 8,800 BTU/kWh (IL#6 supercritical)</w:t>
      </w:r>
    </w:p>
    <w:p>
      <w:pPr>
        <w:spacing w:after="120"/>
      </w:pPr>
      <w:r>
        <w:rPr>
          <w:rFonts w:ascii="Arial" w:cs="Arial" w:eastAsia="Arial" w:hAnsi="Arial"/>
          <w:color w:val="333333"/>
          <w:sz w:val="22"/>
          <w:szCs w:val="22"/>
        </w:rPr>
        <w:t xml:space="preserve">Retrofit: MW = gross. Greenfield: MW = net (model derives gross).</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Retrofit: sR = MW_gross ÷ 580</w:t>
      </w:r>
    </w:p>
    <w:p>
      <w:pPr>
        <w:spacing w:after="80"/>
        <w:ind w:left="360"/>
      </w:pPr>
      <w:r>
        <w:rPr>
          <w:rFonts w:ascii="Arial" w:cs="Arial" w:eastAsia="Arial" w:hAnsi="Arial"/>
          <w:b/>
          <w:bCs/>
          <w:color w:val="2D5B9E"/>
          <w:sz w:val="20"/>
          <w:szCs w:val="20"/>
        </w:rPr>
        <w:t xml:space="preserve">Greenfield: sR = MW_net ÷ 550</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Retrofit: sR = MW_gross ÷ 580</w:t>
      </w:r>
    </w:p>
    <w:p>
      <w:pPr>
        <w:spacing w:after="80"/>
        <w:ind w:left="360"/>
      </w:pPr>
      <w:r>
        <w:rPr>
          <w:rFonts w:ascii="Arial" w:cs="Arial" w:eastAsia="Arial" w:hAnsi="Arial"/>
          <w:b/>
          <w:bCs/>
          <w:color w:val="2D5B9E"/>
          <w:sz w:val="20"/>
          <w:szCs w:val="20"/>
        </w:rPr>
        <w:t xml:space="preserve">Greenfield: sR = MW_net ÷ 550</w:t>
      </w:r>
    </w:p>
    <w:p>
      <w:pPr>
        <w:spacing w:after="120"/>
      </w:pPr>
      <w:r>
        <w:rPr>
          <w:rFonts w:ascii="Arial" w:cs="Arial" w:eastAsia="Arial" w:hAnsi="Arial"/>
          <w:color w:val="333333"/>
          <w:sz w:val="22"/>
          <w:szCs w:val="22"/>
        </w:rPr>
        <w:t xml:space="preserve">Full fleet within Tier B range of reference.</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LF[Midwest]</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1.09 (retrofit, same as NGCC) or 1.00 (greenfield)</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Same amine system as NGCC. Additional: pre-treatment CAPEX is default ON (FGD polishing for SO₂).</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Pre_Treatment_CAPEX = FGD polishing system (included in Ref_TPC when toggle ON)</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 — Shorter Project Life for Retrofit</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Default Project_Life = 20 years (retrofit) vs 30 (greenfield)</w:t>
      </w:r>
    </w:p>
    <w:p>
      <w:pPr>
        <w:spacing w:after="80"/>
        <w:ind w:left="360"/>
      </w:pPr>
      <w:r>
        <w:rPr>
          <w:rFonts w:ascii="Arial" w:cs="Arial" w:eastAsia="Arial" w:hAnsi="Arial"/>
          <w:b/>
          <w:bCs/>
          <w:color w:val="2D5B9E"/>
          <w:sz w:val="20"/>
          <w:szCs w:val="20"/>
        </w:rPr>
        <w:t xml:space="preserve">At 10% WACC: Annuity_Factor = 0.1175 (20yr) vs 0.1061 (30yr)</w:t>
      </w:r>
    </w:p>
    <w:p>
      <w:pPr>
        <w:spacing w:after="120"/>
      </w:pPr>
      <w:r>
        <w:rPr>
          <w:rFonts w:ascii="Arial" w:cs="Arial" w:eastAsia="Arial" w:hAnsi="Arial"/>
          <w:color w:val="333333"/>
          <w:sz w:val="22"/>
          <w:szCs w:val="22"/>
        </w:rPr>
        <w:t xml:space="preserve">11% higher capital per tonne from shorter life alone. This is the single biggest difference between coal and NGCC economics.</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3.3 operators/shift (same as NGCC — full amine system).</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120"/>
      </w:pPr>
      <w:r>
        <w:rPr>
          <w:rFonts w:ascii="Arial" w:cs="Arial" w:eastAsia="Arial" w:hAnsi="Arial"/>
          <w:color w:val="333333"/>
          <w:sz w:val="22"/>
          <w:szCs w:val="22"/>
        </w:rPr>
        <w:t xml:space="preserve">Higher variable O&amp;M than NGCC due to higher solvent degradation from coal flue gas contaminants (SO₂, particulates, heavy metals). Even with FGD polishing, more solvent makeup needed.</w:t>
      </w:r>
    </w:p>
    <w:p>
      <w:pPr>
        <w:spacing w:after="80"/>
        <w:ind w:left="360"/>
      </w:pPr>
      <w:r>
        <w:rPr>
          <w:rFonts w:ascii="Arial" w:cs="Arial" w:eastAsia="Arial" w:hAnsi="Arial"/>
          <w:b/>
          <w:bCs/>
          <w:color w:val="2D5B9E"/>
          <w:sz w:val="20"/>
          <w:szCs w:val="20"/>
        </w:rPr>
        <w:t xml:space="preserve">Solvent_Makeup = Ref_Solvent × CO2_Ratio × CEPCI_Ratio</w:t>
      </w:r>
    </w:p>
    <w:p>
      <w:pPr>
        <w:spacing w:after="80"/>
        <w:ind w:left="360"/>
      </w:pPr>
      <w:r>
        <w:rPr>
          <w:rFonts w:ascii="Arial" w:cs="Arial" w:eastAsia="Arial" w:hAnsi="Arial"/>
          <w:b/>
          <w:bCs/>
          <w:color w:val="2D5B9E"/>
          <w:sz w:val="20"/>
          <w:szCs w:val="20"/>
        </w:rPr>
        <w:t xml:space="preserve">Water = Ref_Water × CO2_Ratio × CEPCI_Ratio</w:t>
      </w:r>
    </w:p>
    <w:p>
      <w:pPr>
        <w:spacing w:after="80"/>
        <w:ind w:left="360"/>
      </w:pPr>
      <w:r>
        <w:rPr>
          <w:rFonts w:ascii="Arial" w:cs="Arial" w:eastAsia="Arial" w:hAnsi="Arial"/>
          <w:b/>
          <w:bCs/>
          <w:color w:val="2D5B9E"/>
          <w:sz w:val="20"/>
          <w:szCs w:val="20"/>
        </w:rPr>
        <w:t xml:space="preserve">Chemicals = Ref_Chemicals × CO2_Ratio × CEPCI_Ratio</w:t>
      </w:r>
    </w:p>
    <w:p>
      <w:pPr>
        <w:spacing w:after="80"/>
        <w:ind w:left="360"/>
      </w:pPr>
      <w:r>
        <w:rPr>
          <w:rFonts w:ascii="Arial" w:cs="Arial" w:eastAsia="Arial" w:hAnsi="Arial"/>
          <w:b/>
          <w:bCs/>
          <w:color w:val="2D5B9E"/>
          <w:sz w:val="20"/>
          <w:szCs w:val="20"/>
        </w:rPr>
        <w:t xml:space="preserve">Waste = Ref_Waste × CO2_Ratio × CEPCI_Ratio</w:t>
      </w:r>
    </w:p>
    <w:p>
      <w:pPr>
        <w:spacing w:after="80"/>
        <w:ind w:left="360"/>
      </w:pPr>
      <w:r>
        <w:rPr>
          <w:rFonts w:ascii="Arial" w:cs="Arial" w:eastAsia="Arial" w:hAnsi="Arial"/>
          <w:b/>
          <w:bCs/>
          <w:color w:val="2D5B9E"/>
          <w:sz w:val="20"/>
          <w:szCs w:val="20"/>
        </w:rPr>
        <w:t xml:space="preserve">Total_Variable_OM = Maintenance_Material + Solvent_Makeup + Water + Chemicals + Waste</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 — MPC (same as NGCC)</w:t>
      </w:r>
    </w:p>
    <w:p>
      <w:pPr>
        <w:spacing w:after="80"/>
        <w:ind w:left="360"/>
      </w:pPr>
      <w:r>
        <w:rPr>
          <w:rFonts w:ascii="Arial" w:cs="Arial" w:eastAsia="Arial" w:hAnsi="Arial"/>
          <w:b/>
          <w:bCs/>
          <w:color w:val="2D5B9E"/>
          <w:sz w:val="20"/>
          <w:szCs w:val="20"/>
        </w:rPr>
        <w:t xml:space="preserve">Lost_MW = Ref_Lost_MW × (CO2_Captured ÷ Ref_CO2_Captured) × Tech.power</w:t>
      </w:r>
    </w:p>
    <w:p>
      <w:pPr>
        <w:spacing w:after="80"/>
        <w:ind w:left="360"/>
      </w:pPr>
      <w:r>
        <w:rPr>
          <w:rFonts w:ascii="Arial" w:cs="Arial" w:eastAsia="Arial" w:hAnsi="Arial"/>
          <w:b/>
          <w:bCs/>
          <w:color w:val="2D5B9E"/>
          <w:sz w:val="20"/>
          <w:szCs w:val="20"/>
        </w:rPr>
        <w:t xml:space="preserve">Annual_MPC = Lost_MW × 8,760 × CF × Projected_Sales_Price</w:t>
      </w:r>
    </w:p>
    <w:p>
      <w:pPr>
        <w:spacing w:after="80"/>
        <w:ind w:left="360"/>
      </w:pPr>
      <w:r>
        <w:rPr>
          <w:rFonts w:ascii="Arial" w:cs="Arial" w:eastAsia="Arial" w:hAnsi="Arial"/>
          <w:b/>
          <w:bCs/>
          <w:color w:val="2D5B9E"/>
          <w:sz w:val="20"/>
          <w:szCs w:val="20"/>
        </w:rPr>
        <w:t xml:space="preserve">Power_per_t = Annual_MPC ÷ CO2_Captured</w:t>
      </w:r>
    </w:p>
    <w:p>
      <w:pPr>
        <w:spacing w:after="120"/>
      </w:pPr>
      <w:r>
        <w:rPr>
          <w:rFonts w:ascii="Arial" w:cs="Arial" w:eastAsia="Arial" w:hAnsi="Arial"/>
          <w:color w:val="333333"/>
          <w:sz w:val="22"/>
          <w:szCs w:val="22"/>
        </w:rPr>
        <w:t xml:space="preserve">Coal has different lost MW than NGCC (different steam cycle, different extraction point) but the formula is identical.</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Fuel_per_t = $0</w:t>
      </w:r>
    </w:p>
    <w:p>
      <w:pPr>
        <w:spacing w:after="120"/>
      </w:pPr>
      <w:r>
        <w:rPr>
          <w:rFonts w:ascii="Arial" w:cs="Arial" w:eastAsia="Arial" w:hAnsi="Arial"/>
          <w:color w:val="333333"/>
          <w:sz w:val="22"/>
          <w:szCs w:val="22"/>
        </w:rPr>
        <w:t xml:space="preserve">Same as NGCC — coal plant burns same fuel with or without capture. Penalty in MPC.</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MPC + $0_Fuel</w:t>
      </w:r>
    </w:p>
    <w:p>
      <w:pPr>
        <w:spacing w:after="120"/>
      </w:pPr>
      <w:r>
        <w:rPr>
          <w:rFonts w:ascii="Arial" w:cs="Arial" w:eastAsia="Arial" w:hAnsi="Arial"/>
          <w:color w:val="333333"/>
          <w:sz w:val="22"/>
          <w:szCs w:val="22"/>
        </w:rPr>
        <w:t xml:space="preserve">Coal LCOC is higher than NGCC because: higher pre-treatment costs, higher solvent degradation, and shorter project life (20yr retrofit default). Partially offset by higher CO₂ concentration (smaller absorber per tonne).</w:t>
      </w:r>
    </w:p>
    <w:p>
      <w:r>
        <w:br w:type="page"/>
      </w:r>
    </w:p>
    <w:p>
      <w:pPr>
        <w:pStyle w:val="Heading2"/>
        <w:spacing w:before="240" w:after="140"/>
      </w:pPr>
      <w:r>
        <w:rPr>
          <w:rFonts w:ascii="Arial" w:cs="Arial" w:eastAsia="Arial" w:hAnsi="Arial"/>
          <w:b/>
          <w:bCs/>
          <w:color w:val="1A1A2E"/>
          <w:sz w:val="26"/>
          <w:szCs w:val="26"/>
        </w:rPr>
        <w:t xml:space="preserve">6.11 Biomass / BECCS</w:t>
      </w:r>
    </w:p>
    <w:p>
      <w:pPr>
        <w:spacing w:after="120"/>
      </w:pPr>
      <w:r>
        <w:rPr>
          <w:rFonts w:ascii="Arial" w:cs="Arial" w:eastAsia="Arial" w:hAnsi="Arial"/>
          <w:color w:val="333333"/>
          <w:sz w:val="22"/>
          <w:szCs w:val="22"/>
        </w:rPr>
        <w:t xml:space="preserve">Same as coal structurally. All CO₂ is biogenic. Negative emissions. Key differences from coal: smaller scale, different contaminants, pre-treatment default off, biogenic tracking.</w:t>
      </w:r>
    </w:p>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80"/>
        <w:ind w:left="360"/>
      </w:pPr>
      <w:r>
        <w:rPr>
          <w:rFonts w:ascii="Arial" w:cs="Arial" w:eastAsia="Arial" w:hAnsi="Arial"/>
          <w:b/>
          <w:bCs/>
          <w:color w:val="2D5B9E"/>
          <w:sz w:val="20"/>
          <w:szCs w:val="20"/>
        </w:rPr>
        <w:t xml:space="preserve">Same combustion formula: MW × CF × 8,760 × HR × Biomass_EF</w:t>
      </w:r>
    </w:p>
    <w:p>
      <w:pPr>
        <w:spacing w:after="80"/>
        <w:ind w:left="360"/>
      </w:pPr>
      <w:r>
        <w:rPr>
          <w:rFonts w:ascii="Arial" w:cs="Arial" w:eastAsia="Arial" w:hAnsi="Arial"/>
          <w:b/>
          <w:bCs/>
          <w:color w:val="2D5B9E"/>
          <w:sz w:val="20"/>
          <w:szCs w:val="20"/>
        </w:rPr>
        <w:t xml:space="preserve">Biomass physical EF = 0.09552 (same as coal for equipment sizing)</w:t>
      </w:r>
    </w:p>
    <w:p>
      <w:pPr>
        <w:spacing w:after="80"/>
        <w:ind w:left="360"/>
      </w:pPr>
      <w:r>
        <w:rPr>
          <w:rFonts w:ascii="Arial" w:cs="Arial" w:eastAsia="Arial" w:hAnsi="Arial"/>
          <w:b/>
          <w:bCs/>
          <w:color w:val="2D5B9E"/>
          <w:sz w:val="20"/>
          <w:szCs w:val="20"/>
        </w:rPr>
        <w:t xml:space="preserve">Biogenic_Fraction = 100% (dedicated) or biomass% (cofiring)</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User_MW ÷ Ref_MW</w:t>
      </w:r>
    </w:p>
    <w:p>
      <w:pPr>
        <w:spacing w:after="80"/>
        <w:ind w:left="360"/>
      </w:pPr>
      <w:r>
        <w:rPr>
          <w:rFonts w:ascii="Arial" w:cs="Arial" w:eastAsia="Arial" w:hAnsi="Arial"/>
          <w:b/>
          <w:bCs/>
          <w:color w:val="2D5B9E"/>
          <w:sz w:val="20"/>
          <w:szCs w:val="20"/>
        </w:rPr>
        <w:t xml:space="preserve">sR = User_MW ÷ 50</w:t>
      </w:r>
    </w:p>
    <w:p>
      <w:pPr>
        <w:spacing w:after="120"/>
      </w:pPr>
      <w:r>
        <w:rPr>
          <w:rFonts w:ascii="Arial" w:cs="Arial" w:eastAsia="Arial" w:hAnsi="Arial"/>
          <w:color w:val="333333"/>
          <w:sz w:val="22"/>
          <w:szCs w:val="22"/>
        </w:rPr>
        <w:t xml:space="preserve">Reference at 50 MW (not 550 like coal). Max single train ~200 MW (fuel supply limit).</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LF[Ref_State]</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source-specific (HP: 1.01, LP: 1.05, NGCC: 1.09)</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Coal PC reference scaled to biomass parameters. Full amine system. Pre-treatment default OFF (low sulfur). HCl toggle available.</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120"/>
      </w:pPr>
      <w:r>
        <w:rPr>
          <w:rFonts w:ascii="Arial" w:cs="Arial" w:eastAsia="Arial" w:hAnsi="Arial"/>
          <w:color w:val="333333"/>
          <w:sz w:val="22"/>
          <w:szCs w:val="22"/>
        </w:rPr>
        <w:t xml:space="preserve">At 50 MW reference, CAPEX per tonne is significantly higher than coal (550 MW) due to scale.</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Solvent_Makeup = Ref_Solvent × CO2_Ratio × CEPCI_Ratio</w:t>
      </w:r>
    </w:p>
    <w:p>
      <w:pPr>
        <w:spacing w:after="80"/>
        <w:ind w:left="360"/>
      </w:pPr>
      <w:r>
        <w:rPr>
          <w:rFonts w:ascii="Arial" w:cs="Arial" w:eastAsia="Arial" w:hAnsi="Arial"/>
          <w:b/>
          <w:bCs/>
          <w:color w:val="2D5B9E"/>
          <w:sz w:val="20"/>
          <w:szCs w:val="20"/>
        </w:rPr>
        <w:t xml:space="preserve">Total_Variable_OM = Maintenance_Material + Solvent + Water + Chemicals + Waste</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 — MPC (same as coal)</w:t>
      </w:r>
    </w:p>
    <w:p>
      <w:pPr>
        <w:spacing w:after="80"/>
        <w:ind w:left="360"/>
      </w:pPr>
      <w:r>
        <w:rPr>
          <w:rFonts w:ascii="Arial" w:cs="Arial" w:eastAsia="Arial" w:hAnsi="Arial"/>
          <w:b/>
          <w:bCs/>
          <w:color w:val="2D5B9E"/>
          <w:sz w:val="20"/>
          <w:szCs w:val="20"/>
        </w:rPr>
        <w:t xml:space="preserve">Lost_MW = Ref_Lost_MW × CO2_Ratio × Tech.power</w:t>
      </w:r>
    </w:p>
    <w:p>
      <w:pPr>
        <w:spacing w:after="80"/>
        <w:ind w:left="360"/>
      </w:pPr>
      <w:r>
        <w:rPr>
          <w:rFonts w:ascii="Arial" w:cs="Arial" w:eastAsia="Arial" w:hAnsi="Arial"/>
          <w:b/>
          <w:bCs/>
          <w:color w:val="2D5B9E"/>
          <w:sz w:val="20"/>
          <w:szCs w:val="20"/>
        </w:rPr>
        <w:t xml:space="preserve">Annual_MPC = Lost_MW × 8,760 × CF × PSP</w:t>
      </w:r>
    </w:p>
    <w:p>
      <w:pPr>
        <w:spacing w:after="80"/>
        <w:ind w:left="360"/>
      </w:pPr>
      <w:r>
        <w:rPr>
          <w:rFonts w:ascii="Arial" w:cs="Arial" w:eastAsia="Arial" w:hAnsi="Arial"/>
          <w:b/>
          <w:bCs/>
          <w:color w:val="2D5B9E"/>
          <w:sz w:val="20"/>
          <w:szCs w:val="20"/>
        </w:rPr>
        <w:t xml:space="preserve">Power_per_t = Annual_MPC ÷ CO2_Captured</w:t>
      </w:r>
    </w:p>
    <w:p>
      <w:pPr>
        <w:spacing w:after="120"/>
      </w:pPr>
      <w:r>
        <w:rPr>
          <w:rFonts w:ascii="Arial" w:cs="Arial" w:eastAsia="Arial" w:hAnsi="Arial"/>
          <w:color w:val="333333"/>
          <w:sz w:val="22"/>
          <w:szCs w:val="22"/>
        </w:rPr>
        <w:t xml:space="preserve">At smaller biomass scale, parasitic load is a larger fraction of total output.</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Fuel_per_t = $0 (same fuel burn with or without capture; penalty in MPC)</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MPC + $0_Fuel</w:t>
      </w:r>
    </w:p>
    <w:p>
      <w:pPr>
        <w:spacing w:after="120"/>
      </w:pPr>
      <w:r>
        <w:rPr>
          <w:rFonts w:ascii="Arial" w:cs="Arial" w:eastAsia="Arial" w:hAnsi="Arial"/>
          <w:b/>
          <w:bCs/>
          <w:color w:val="666666"/>
          <w:sz w:val="22"/>
          <w:szCs w:val="22"/>
        </w:rPr>
        <w:t xml:space="preserve">Biogenic Tracking:</w:t>
      </w:r>
    </w:p>
    <w:p>
      <w:pPr>
        <w:spacing w:after="80"/>
        <w:ind w:left="360"/>
      </w:pPr>
      <w:r>
        <w:rPr>
          <w:rFonts w:ascii="Arial" w:cs="Arial" w:eastAsia="Arial" w:hAnsi="Arial"/>
          <w:b/>
          <w:bCs/>
          <w:color w:val="2D5B9E"/>
          <w:sz w:val="20"/>
          <w:szCs w:val="20"/>
        </w:rPr>
        <w:t xml:space="preserve">Biogenic_Fraction = 100% (dedicated biomass)</w:t>
      </w:r>
    </w:p>
    <w:p>
      <w:pPr>
        <w:spacing w:after="80"/>
        <w:ind w:left="360"/>
      </w:pPr>
      <w:r>
        <w:rPr>
          <w:rFonts w:ascii="Arial" w:cs="Arial" w:eastAsia="Arial" w:hAnsi="Arial"/>
          <w:b/>
          <w:bCs/>
          <w:color w:val="2D5B9E"/>
          <w:sz w:val="20"/>
          <w:szCs w:val="20"/>
        </w:rPr>
        <w:t xml:space="preserve">If cofiring: Biogenic_Fraction = biomass% by energy input</w:t>
      </w:r>
    </w:p>
    <w:p>
      <w:pPr>
        <w:spacing w:after="120"/>
      </w:pPr>
      <w:r>
        <w:rPr>
          <w:rFonts w:ascii="Arial" w:cs="Arial" w:eastAsia="Arial" w:hAnsi="Arial"/>
          <w:color w:val="333333"/>
          <w:sz w:val="22"/>
          <w:szCs w:val="22"/>
        </w:rPr>
        <w:t xml:space="preserve">Passes to financial model. Default 45Q ($85/t). Optional CDR premium for biogenic fraction.</w:t>
      </w:r>
    </w:p>
    <w:p>
      <w:r>
        <w:br w:type="page"/>
      </w:r>
    </w:p>
    <w:p>
      <w:pPr>
        <w:pStyle w:val="Heading2"/>
        <w:spacing w:before="240" w:after="140"/>
      </w:pPr>
      <w:r>
        <w:rPr>
          <w:rFonts w:ascii="Arial" w:cs="Arial" w:eastAsia="Arial" w:hAnsi="Arial"/>
          <w:b/>
          <w:bCs/>
          <w:color w:val="1A1A2E"/>
          <w:sz w:val="26"/>
          <w:szCs w:val="26"/>
        </w:rPr>
        <w:t xml:space="preserve">6.12 Hydrogen Production (Refinery &amp; Merchant)</w:t>
      </w:r>
    </w:p>
    <w:p>
      <w:pPr>
        <w:spacing w:after="120"/>
      </w:pPr>
      <w:r>
        <w:rPr>
          <w:rFonts w:ascii="Arial" w:cs="Arial" w:eastAsia="Arial" w:hAnsi="Arial"/>
          <w:color w:val="333333"/>
          <w:sz w:val="22"/>
          <w:szCs w:val="22"/>
        </w:rPr>
        <w:t xml:space="preserve">Same framework as ammonia. SMR/ATR toggle, capture scope options. Key difference: ADIP-Ultra pre-combustion capture on syngas (not compression-only). Higher emission factor (~9.5 t CO₂/t H₂).</w:t>
      </w:r>
    </w:p>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80"/>
        <w:ind w:left="360"/>
      </w:pPr>
      <w:r>
        <w:rPr>
          <w:rFonts w:ascii="Arial" w:cs="Arial" w:eastAsia="Arial" w:hAnsi="Arial"/>
          <w:b/>
          <w:bCs/>
          <w:color w:val="2D5B9E"/>
          <w:sz w:val="20"/>
          <w:szCs w:val="20"/>
        </w:rPr>
        <w:t xml:space="preserve">Annual_Output = Plant_Capacity × CF</w:t>
      </w:r>
    </w:p>
    <w:p>
      <w:pPr>
        <w:spacing w:after="80"/>
        <w:ind w:left="360"/>
      </w:pPr>
      <w:r>
        <w:rPr>
          <w:rFonts w:ascii="Arial" w:cs="Arial" w:eastAsia="Arial" w:hAnsi="Arial"/>
          <w:b/>
          <w:bCs/>
          <w:color w:val="2D5B9E"/>
          <w:sz w:val="20"/>
          <w:szCs w:val="20"/>
        </w:rPr>
        <w:t xml:space="preserve">Total_CO2 = Annual_Output × Total_EF</w:t>
      </w:r>
    </w:p>
    <w:p>
      <w:pPr>
        <w:spacing w:after="120"/>
      </w:pPr>
      <w:r>
        <w:rPr>
          <w:rFonts w:ascii="Arial" w:cs="Arial" w:eastAsia="Arial" w:hAnsi="Arial"/>
          <w:color w:val="333333"/>
          <w:sz w:val="22"/>
          <w:szCs w:val="22"/>
        </w:rPr>
        <w:t xml:space="preserve">SMR:</w:t>
      </w:r>
    </w:p>
    <w:p>
      <w:pPr>
        <w:spacing w:after="80"/>
        <w:ind w:left="360"/>
      </w:pPr>
      <w:r>
        <w:rPr>
          <w:rFonts w:ascii="Arial" w:cs="Arial" w:eastAsia="Arial" w:hAnsi="Arial"/>
          <w:b/>
          <w:bCs/>
          <w:color w:val="2D5B9E"/>
          <w:sz w:val="20"/>
          <w:szCs w:val="20"/>
        </w:rPr>
        <w:t xml:space="preserve">Syngas_CO2 = Total_CO2 × 0.60</w:t>
      </w:r>
    </w:p>
    <w:p>
      <w:pPr>
        <w:spacing w:after="80"/>
        <w:ind w:left="360"/>
      </w:pPr>
      <w:r>
        <w:rPr>
          <w:rFonts w:ascii="Arial" w:cs="Arial" w:eastAsia="Arial" w:hAnsi="Arial"/>
          <w:b/>
          <w:bCs/>
          <w:color w:val="2D5B9E"/>
          <w:sz w:val="20"/>
          <w:szCs w:val="20"/>
        </w:rPr>
        <w:t xml:space="preserve">Flue_Gas_CO2 = Total_CO2 × 0.40</w:t>
      </w:r>
    </w:p>
    <w:p>
      <w:pPr>
        <w:spacing w:after="120"/>
      </w:pPr>
      <w:r>
        <w:rPr>
          <w:rFonts w:ascii="Arial" w:cs="Arial" w:eastAsia="Arial" w:hAnsi="Arial"/>
          <w:color w:val="333333"/>
          <w:sz w:val="22"/>
          <w:szCs w:val="22"/>
        </w:rPr>
        <w:t xml:space="preserve">ATR:</w:t>
      </w:r>
    </w:p>
    <w:p>
      <w:pPr>
        <w:spacing w:after="80"/>
        <w:ind w:left="360"/>
      </w:pPr>
      <w:r>
        <w:rPr>
          <w:rFonts w:ascii="Arial" w:cs="Arial" w:eastAsia="Arial" w:hAnsi="Arial"/>
          <w:b/>
          <w:bCs/>
          <w:color w:val="2D5B9E"/>
          <w:sz w:val="20"/>
          <w:szCs w:val="20"/>
        </w:rPr>
        <w:t xml:space="preserve">Syngas_CO2 = Total_CO2 × 0.95</w:t>
      </w:r>
    </w:p>
    <w:p>
      <w:pPr>
        <w:spacing w:after="80"/>
        <w:ind w:left="360"/>
      </w:pPr>
      <w:r>
        <w:rPr>
          <w:rFonts w:ascii="Arial" w:cs="Arial" w:eastAsia="Arial" w:hAnsi="Arial"/>
          <w:b/>
          <w:bCs/>
          <w:color w:val="2D5B9E"/>
          <w:sz w:val="20"/>
          <w:szCs w:val="20"/>
        </w:rPr>
        <w:t xml:space="preserve">Flue_Gas_CO2 = Total_CO2 × 0.05</w:t>
      </w:r>
    </w:p>
    <w:p>
      <w:pPr>
        <w:spacing w:after="80"/>
        <w:ind w:left="360"/>
      </w:pPr>
      <w:r>
        <w:rPr>
          <w:rFonts w:ascii="Arial" w:cs="Arial" w:eastAsia="Arial" w:hAnsi="Arial"/>
          <w:b/>
          <w:bCs/>
          <w:color w:val="2D5B9E"/>
          <w:sz w:val="20"/>
          <w:szCs w:val="20"/>
        </w:rPr>
        <w:t xml:space="preserve">CO2_Captured = Selected_Scope_CO2 × Capture_Rate</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Plant_Capacity ÷ Ref_Capacity</w:t>
      </w:r>
    </w:p>
    <w:p>
      <w:pPr>
        <w:spacing w:after="80"/>
        <w:ind w:left="360"/>
      </w:pPr>
      <w:r>
        <w:rPr>
          <w:rFonts w:ascii="Arial" w:cs="Arial" w:eastAsia="Arial" w:hAnsi="Arial"/>
          <w:b/>
          <w:bCs/>
          <w:color w:val="2D5B9E"/>
          <w:sz w:val="20"/>
          <w:szCs w:val="20"/>
        </w:rPr>
        <w:t xml:space="preserve">sR = Plant_Capacity ÷ 87,000</w:t>
      </w:r>
    </w:p>
    <w:p>
      <w:pPr>
        <w:spacing w:after="120"/>
      </w:pPr>
      <w:r>
        <w:rPr>
          <w:rFonts w:ascii="Arial" w:cs="Arial" w:eastAsia="Arial" w:hAnsi="Arial"/>
          <w:color w:val="333333"/>
          <w:sz w:val="22"/>
          <w:szCs w:val="22"/>
        </w:rPr>
        <w:t xml:space="preserve">SMR max train ~237,000 t H₂/yr (PSA limit). ATR max train ~400,000 t H₂/yr (reactor/ASU limit). ATR uses 0.54 exponent.</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1.10 (refinery retrofit, congested site) or 1.00 (merchant greenfield)</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Syngas capture uses ADIP-Ultra AGR — different from both high-purity (compression-only) and post-combustion (amine). Includes:</w:t>
      </w:r>
    </w:p>
    <w:p>
      <w:pPr>
        <w:pStyle w:val="ListParagraph"/>
        <w:numPr>
          <w:ilvl w:val="0"/>
          <w:numId w:val="2"/>
        </w:numPr>
        <w:spacing w:after="60"/>
      </w:pPr>
      <w:r>
        <w:rPr>
          <w:rFonts w:ascii="Arial" w:cs="Arial" w:eastAsia="Arial" w:hAnsi="Arial"/>
          <w:color w:val="333333"/>
          <w:sz w:val="22"/>
          <w:szCs w:val="22"/>
        </w:rPr>
        <w:t xml:space="preserve">Account 3: ADIP-Ultra absorber, flash vessels, stripper (pre-combustion AGR)</w:t>
      </w:r>
    </w:p>
    <w:p>
      <w:pPr>
        <w:pStyle w:val="ListParagraph"/>
        <w:numPr>
          <w:ilvl w:val="0"/>
          <w:numId w:val="2"/>
        </w:numPr>
        <w:spacing w:after="60"/>
      </w:pPr>
      <w:r>
        <w:rPr>
          <w:rFonts w:ascii="Arial" w:cs="Arial" w:eastAsia="Arial" w:hAnsi="Arial"/>
          <w:color w:val="333333"/>
          <w:sz w:val="22"/>
          <w:szCs w:val="22"/>
        </w:rPr>
        <w:t xml:space="preserve">Account 5: Split-pressure compression (CO₂ at multiple inlet pressures)</w:t>
      </w:r>
    </w:p>
    <w:p>
      <w:pPr>
        <w:pStyle w:val="ListParagraph"/>
        <w:numPr>
          <w:ilvl w:val="0"/>
          <w:numId w:val="2"/>
        </w:numPr>
        <w:spacing w:after="60"/>
      </w:pPr>
      <w:r>
        <w:rPr>
          <w:rFonts w:ascii="Arial" w:cs="Arial" w:eastAsia="Arial" w:hAnsi="Arial"/>
          <w:color w:val="333333"/>
          <w:sz w:val="22"/>
          <w:szCs w:val="22"/>
        </w:rPr>
        <w:t xml:space="preserve">Account 8: Cooling water, boiler (if steam toggle OFF)</w:t>
      </w:r>
    </w:p>
    <w:p>
      <w:pPr>
        <w:pStyle w:val="ListParagraph"/>
        <w:numPr>
          <w:ilvl w:val="0"/>
          <w:numId w:val="2"/>
        </w:numPr>
        <w:spacing w:after="60"/>
      </w:pPr>
      <w:r>
        <w:rPr>
          <w:rFonts w:ascii="Arial" w:cs="Arial" w:eastAsia="Arial" w:hAnsi="Arial"/>
          <w:color w:val="333333"/>
          <w:sz w:val="22"/>
          <w:szCs w:val="22"/>
        </w:rPr>
        <w:t xml:space="preserve">Accounts 9–14: Standard BOP</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120"/>
      </w:pPr>
      <w:r>
        <w:rPr>
          <w:rFonts w:ascii="Arial" w:cs="Arial" w:eastAsia="Arial" w:hAnsi="Arial"/>
          <w:color w:val="333333"/>
          <w:sz w:val="22"/>
          <w:szCs w:val="22"/>
        </w:rPr>
        <w:t xml:space="preserve">Steam toggle: if ON (refinery has surplus steam), zeros out boiler CAPEX in Account 8. Significant cost reduction.</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Syngas-only: 1.0 ops/shift (similar to high-purity). Flue gas scope: 3.3 ops/shift (full amine). Both: 4.3.</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120"/>
      </w:pPr>
      <w:r>
        <w:rPr>
          <w:rFonts w:ascii="Arial" w:cs="Arial" w:eastAsia="Arial" w:hAnsi="Arial"/>
          <w:color w:val="333333"/>
          <w:sz w:val="22"/>
          <w:szCs w:val="22"/>
        </w:rPr>
        <w:t xml:space="preserve">Syngas: ADIP-Ultra solvent makeup (different from MEA). Flue gas: standard amine solvent.</w:t>
      </w:r>
    </w:p>
    <w:p>
      <w:pPr>
        <w:spacing w:after="80"/>
        <w:ind w:left="360"/>
      </w:pPr>
      <w:r>
        <w:rPr>
          <w:rFonts w:ascii="Arial" w:cs="Arial" w:eastAsia="Arial" w:hAnsi="Arial"/>
          <w:b/>
          <w:bCs/>
          <w:color w:val="2D5B9E"/>
          <w:sz w:val="20"/>
          <w:szCs w:val="20"/>
        </w:rPr>
        <w:t xml:space="preserve">Each_Consumable = Ref_Consumable × CO2_Ratio × CEPCI_Ratio</w:t>
      </w:r>
    </w:p>
    <w:p>
      <w:pPr>
        <w:spacing w:after="80"/>
        <w:ind w:left="360"/>
      </w:pPr>
      <w:r>
        <w:rPr>
          <w:rFonts w:ascii="Arial" w:cs="Arial" w:eastAsia="Arial" w:hAnsi="Arial"/>
          <w:b/>
          <w:bCs/>
          <w:color w:val="2D5B9E"/>
          <w:sz w:val="20"/>
          <w:szCs w:val="20"/>
        </w:rPr>
        <w:t xml:space="preserve">Total_Variable_OM = Maintenance_Material + Σ Consumables</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w:t>
      </w:r>
    </w:p>
    <w:p>
      <w:pPr>
        <w:spacing w:after="80"/>
        <w:ind w:left="360"/>
      </w:pPr>
      <w:r>
        <w:rPr>
          <w:rFonts w:ascii="Arial" w:cs="Arial" w:eastAsia="Arial" w:hAnsi="Arial"/>
          <w:b/>
          <w:bCs/>
          <w:color w:val="2D5B9E"/>
          <w:sz w:val="20"/>
          <w:szCs w:val="20"/>
        </w:rPr>
        <w:t xml:space="preserve">Ref_MW = ADIP-Ultra system. Back-calc TPC ~$132M</w:t>
      </w:r>
    </w:p>
    <w:p>
      <w:pPr>
        <w:spacing w:after="80"/>
        <w:ind w:left="360"/>
      </w:pPr>
      <w:r>
        <w:rPr>
          <w:rFonts w:ascii="Arial" w:cs="Arial" w:eastAsia="Arial" w:hAnsi="Arial"/>
          <w:b/>
          <w:bCs/>
          <w:color w:val="2D5B9E"/>
          <w:sz w:val="20"/>
          <w:szCs w:val="20"/>
        </w:rPr>
        <w:t xml:space="preserve">Ref_Annual_MWh = Ref_MW × 8,760 × Ref_CF</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120"/>
      </w:pPr>
      <w:r>
        <w:rPr>
          <w:rFonts w:ascii="Arial" w:cs="Arial" w:eastAsia="Arial" w:hAnsi="Arial"/>
          <w:color w:val="333333"/>
          <w:sz w:val="22"/>
          <w:szCs w:val="22"/>
        </w:rPr>
        <w:t xml:space="preserve">Purchased from grid (industrial source, not MPC).</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If steam toggle ON: Fuel_per_t = $0 (refinery supplies steam)</w:t>
      </w:r>
    </w:p>
    <w:p>
      <w:pPr>
        <w:spacing w:after="80"/>
        <w:ind w:left="360"/>
      </w:pPr>
      <w:r>
        <w:rPr>
          <w:rFonts w:ascii="Arial" w:cs="Arial" w:eastAsia="Arial" w:hAnsi="Arial"/>
          <w:b/>
          <w:bCs/>
          <w:color w:val="2D5B9E"/>
          <w:sz w:val="20"/>
          <w:szCs w:val="20"/>
        </w:rPr>
        <w:t xml:space="preserve">If steam toggle OFF: Fuel_per_t = Ref_Fuel × (Gas_Price ÷ $4.42) × CO2_Ratio ÷ CO2_Captured</w:t>
      </w:r>
    </w:p>
    <w:p>
      <w:pPr>
        <w:spacing w:after="120"/>
      </w:pPr>
      <w:r>
        <w:rPr>
          <w:rFonts w:ascii="Arial" w:cs="Arial" w:eastAsia="Arial" w:hAnsi="Arial"/>
          <w:color w:val="333333"/>
          <w:sz w:val="22"/>
          <w:szCs w:val="22"/>
        </w:rPr>
        <w:t xml:space="preserve">Boiler NG for steam generation. Zeroed out if refinery has surplus steam.</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Power + Fuel</w:t>
      </w:r>
    </w:p>
    <w:p>
      <w:pPr>
        <w:spacing w:after="120"/>
      </w:pPr>
      <w:r>
        <w:rPr>
          <w:rFonts w:ascii="Arial" w:cs="Arial" w:eastAsia="Arial" w:hAnsi="Arial"/>
          <w:b/>
          <w:bCs/>
          <w:color w:val="666666"/>
          <w:sz w:val="22"/>
          <w:szCs w:val="22"/>
        </w:rPr>
        <w:t xml:space="preserve">Both Streams (if selected):</w:t>
      </w:r>
    </w:p>
    <w:p>
      <w:pPr>
        <w:spacing w:after="80"/>
        <w:ind w:left="360"/>
      </w:pPr>
      <w:r>
        <w:rPr>
          <w:rFonts w:ascii="Arial" w:cs="Arial" w:eastAsia="Arial" w:hAnsi="Arial"/>
          <w:b/>
          <w:bCs/>
          <w:color w:val="2D5B9E"/>
          <w:sz w:val="20"/>
          <w:szCs w:val="20"/>
        </w:rPr>
        <w:t xml:space="preserve">Run Steps 1–10 for syngas (ADIP-Ultra costs) and flue gas (amine costs) separately</w:t>
      </w:r>
    </w:p>
    <w:p>
      <w:pPr>
        <w:spacing w:after="80"/>
        <w:ind w:left="360"/>
      </w:pPr>
      <w:r>
        <w:rPr>
          <w:rFonts w:ascii="Arial" w:cs="Arial" w:eastAsia="Arial" w:hAnsi="Arial"/>
          <w:b/>
          <w:bCs/>
          <w:color w:val="2D5B9E"/>
          <w:sz w:val="20"/>
          <w:szCs w:val="20"/>
        </w:rPr>
        <w:t xml:space="preserve">Blended_LCOC = (Annual_Cost_syngas + Annual_Cost_fluegas) ÷ (CO2_syngas + CO2_fluegas)</w:t>
      </w:r>
    </w:p>
    <w:p>
      <w:pPr>
        <w:spacing w:after="80"/>
        <w:ind w:left="360"/>
      </w:pPr>
      <w:r>
        <w:rPr>
          <w:rFonts w:ascii="Arial" w:cs="Arial" w:eastAsia="Arial" w:hAnsi="Arial"/>
          <w:b/>
          <w:bCs/>
          <w:color w:val="2D5B9E"/>
          <w:sz w:val="20"/>
          <w:szCs w:val="20"/>
        </w:rPr>
        <w:t xml:space="preserve">Shared infrastructure discount on Accounts 9–14</w:t>
      </w:r>
    </w:p>
    <w:p>
      <w:pPr>
        <w:spacing w:after="120"/>
      </w:pPr>
      <w:r>
        <w:rPr>
          <w:rFonts w:ascii="Arial" w:cs="Arial" w:eastAsia="Arial" w:hAnsi="Arial"/>
          <w:b/>
          <w:bCs/>
          <w:color w:val="666666"/>
          <w:sz w:val="22"/>
          <w:szCs w:val="22"/>
        </w:rPr>
        <w:t xml:space="preserve">45V Toggle:</w:t>
      </w:r>
    </w:p>
    <w:p>
      <w:pPr>
        <w:spacing w:after="120"/>
      </w:pPr>
      <w:r>
        <w:rPr>
          <w:rFonts w:ascii="Arial" w:cs="Arial" w:eastAsia="Arial" w:hAnsi="Arial"/>
          <w:color w:val="333333"/>
          <w:sz w:val="22"/>
          <w:szCs w:val="22"/>
        </w:rPr>
        <w:t xml:space="preserve">Optional: 45V hydrogen production credit as alternative to 45Q. Cannot stack. Changes revenue model, not LCOC calculation.</w:t>
      </w:r>
    </w:p>
    <w:p>
      <w:r>
        <w:br w:type="page"/>
      </w:r>
    </w:p>
    <w:p>
      <w:pPr>
        <w:pStyle w:val="Heading2"/>
        <w:spacing w:before="240" w:after="140"/>
      </w:pPr>
      <w:r>
        <w:rPr>
          <w:rFonts w:ascii="Arial" w:cs="Arial" w:eastAsia="Arial" w:hAnsi="Arial"/>
          <w:b/>
          <w:bCs/>
          <w:color w:val="1A1A2E"/>
          <w:sz w:val="26"/>
          <w:szCs w:val="26"/>
        </w:rPr>
        <w:t xml:space="preserve">6.13 Steel (BF-BOF)</w:t>
      </w:r>
    </w:p>
    <w:p>
      <w:pPr>
        <w:spacing w:after="120"/>
      </w:pPr>
      <w:r>
        <w:rPr>
          <w:rFonts w:ascii="Arial" w:cs="Arial" w:eastAsia="Arial" w:hAnsi="Arial"/>
          <w:color w:val="333333"/>
          <w:sz w:val="22"/>
          <w:szCs w:val="22"/>
        </w:rPr>
        <w:t xml:space="preserve">Post-combustion. Two parallel capture trains. New NG boiler. Pre-treatment required. Most complex industrial source.</w:t>
      </w:r>
    </w:p>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80"/>
        <w:ind w:left="360"/>
      </w:pPr>
      <w:r>
        <w:rPr>
          <w:rFonts w:ascii="Arial" w:cs="Arial" w:eastAsia="Arial" w:hAnsi="Arial"/>
          <w:b/>
          <w:bCs/>
          <w:color w:val="2D5B9E"/>
          <w:sz w:val="20"/>
          <w:szCs w:val="20"/>
        </w:rPr>
        <w:t xml:space="preserve">Annual_Output = Plant_Capacity × CF</w:t>
      </w:r>
    </w:p>
    <w:p>
      <w:pPr>
        <w:spacing w:after="80"/>
        <w:ind w:left="360"/>
      </w:pPr>
      <w:r>
        <w:rPr>
          <w:rFonts w:ascii="Arial" w:cs="Arial" w:eastAsia="Arial" w:hAnsi="Arial"/>
          <w:b/>
          <w:bCs/>
          <w:color w:val="2D5B9E"/>
          <w:sz w:val="20"/>
          <w:szCs w:val="20"/>
        </w:rPr>
        <w:t xml:space="preserve">Train1_CO2 = Annual_Output × EF_train1</w:t>
      </w:r>
    </w:p>
    <w:p>
      <w:pPr>
        <w:spacing w:after="80"/>
        <w:ind w:left="360"/>
      </w:pPr>
      <w:r>
        <w:rPr>
          <w:rFonts w:ascii="Arial" w:cs="Arial" w:eastAsia="Arial" w:hAnsi="Arial"/>
          <w:b/>
          <w:bCs/>
          <w:color w:val="2D5B9E"/>
          <w:sz w:val="20"/>
          <w:szCs w:val="20"/>
        </w:rPr>
        <w:t xml:space="preserve">Train2_CO2 = Annual_Output × EF_train2</w:t>
      </w:r>
    </w:p>
    <w:p>
      <w:pPr>
        <w:spacing w:after="80"/>
        <w:ind w:left="360"/>
      </w:pPr>
      <w:r>
        <w:rPr>
          <w:rFonts w:ascii="Arial" w:cs="Arial" w:eastAsia="Arial" w:hAnsi="Arial"/>
          <w:b/>
          <w:bCs/>
          <w:color w:val="2D5B9E"/>
          <w:sz w:val="20"/>
          <w:szCs w:val="20"/>
        </w:rPr>
        <w:t xml:space="preserve">Boiler_CO2 = f(reboiler duty) if boiler capture ON</w:t>
      </w:r>
    </w:p>
    <w:p>
      <w:pPr>
        <w:spacing w:after="80"/>
        <w:ind w:left="360"/>
      </w:pPr>
      <w:r>
        <w:rPr>
          <w:rFonts w:ascii="Arial" w:cs="Arial" w:eastAsia="Arial" w:hAnsi="Arial"/>
          <w:b/>
          <w:bCs/>
          <w:color w:val="2D5B9E"/>
          <w:sz w:val="20"/>
          <w:szCs w:val="20"/>
        </w:rPr>
        <w:t xml:space="preserve">CO2_Captured = Selected_Trains_CO2 × Capture_Rate</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Plant_Capacity ÷ Ref_Capacity</w:t>
      </w:r>
    </w:p>
    <w:p>
      <w:pPr>
        <w:spacing w:after="80"/>
        <w:ind w:left="360"/>
      </w:pPr>
      <w:r>
        <w:rPr>
          <w:rFonts w:ascii="Arial" w:cs="Arial" w:eastAsia="Arial" w:hAnsi="Arial"/>
          <w:b/>
          <w:bCs/>
          <w:color w:val="2D5B9E"/>
          <w:sz w:val="20"/>
          <w:szCs w:val="20"/>
        </w:rPr>
        <w:t xml:space="preserve">sR = Plant_Capacity ÷ 2,540,000</w:t>
      </w:r>
    </w:p>
    <w:p>
      <w:pPr>
        <w:spacing w:after="120"/>
      </w:pPr>
      <w:r>
        <w:rPr>
          <w:rFonts w:ascii="Arial" w:cs="Arial" w:eastAsia="Arial" w:hAnsi="Arial"/>
          <w:color w:val="333333"/>
          <w:sz w:val="22"/>
          <w:szCs w:val="22"/>
        </w:rPr>
        <w:t xml:space="preserve">Max ~7.5M t steel/yr per capture system. Rarely exceeded.</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1.05 (NETL blanket LP factor, though 1.10-1.15 may be warranted for BF-BOF congestion)</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 — Two Parallel Trains</w:t>
      </w:r>
    </w:p>
    <w:p>
      <w:pPr>
        <w:spacing w:after="120"/>
      </w:pPr>
      <w:r>
        <w:rPr>
          <w:rFonts w:ascii="Arial" w:cs="Arial" w:eastAsia="Arial" w:hAnsi="Arial"/>
          <w:color w:val="333333"/>
          <w:sz w:val="22"/>
          <w:szCs w:val="22"/>
        </w:rPr>
        <w:t xml:space="preserve">If both trains selected, CAPEX calculated per train then combined:</w:t>
      </w:r>
    </w:p>
    <w:p>
      <w:pPr>
        <w:spacing w:after="80"/>
        <w:ind w:left="360"/>
      </w:pPr>
      <w:r>
        <w:rPr>
          <w:rFonts w:ascii="Arial" w:cs="Arial" w:eastAsia="Arial" w:hAnsi="Arial"/>
          <w:b/>
          <w:bCs/>
          <w:color w:val="2D5B9E"/>
          <w:sz w:val="20"/>
          <w:szCs w:val="20"/>
        </w:rPr>
        <w:t xml:space="preserve">Train1_TPC = Σ Ref_TPC_Train1[i] × sR^exponent[i] × Combined_Adj</w:t>
      </w:r>
    </w:p>
    <w:p>
      <w:pPr>
        <w:spacing w:after="80"/>
        <w:ind w:left="360"/>
      </w:pPr>
      <w:r>
        <w:rPr>
          <w:rFonts w:ascii="Arial" w:cs="Arial" w:eastAsia="Arial" w:hAnsi="Arial"/>
          <w:b/>
          <w:bCs/>
          <w:color w:val="2D5B9E"/>
          <w:sz w:val="20"/>
          <w:szCs w:val="20"/>
        </w:rPr>
        <w:t xml:space="preserve">Train2_TPC = Σ Ref_TPC_Train2[i] × sR^exponent[i] × Combined_Adj</w:t>
      </w:r>
    </w:p>
    <w:p>
      <w:pPr>
        <w:spacing w:after="120"/>
      </w:pPr>
      <w:r>
        <w:rPr>
          <w:rFonts w:ascii="Arial" w:cs="Arial" w:eastAsia="Arial" w:hAnsi="Arial"/>
          <w:color w:val="333333"/>
          <w:sz w:val="22"/>
          <w:szCs w:val="22"/>
        </w:rPr>
        <w:t xml:space="preserve">Core equipment (Accounts 3, 5): fully additive per train.</w:t>
      </w:r>
    </w:p>
    <w:p>
      <w:pPr>
        <w:spacing w:after="120"/>
      </w:pPr>
      <w:r>
        <w:rPr>
          <w:rFonts w:ascii="Arial" w:cs="Arial" w:eastAsia="Arial" w:hAnsi="Arial"/>
          <w:color w:val="333333"/>
          <w:sz w:val="22"/>
          <w:szCs w:val="22"/>
        </w:rPr>
        <w:t xml:space="preserve">Shared infrastructure (Accounts 9–14): one site, one control room — discount ~30–40%.</w:t>
      </w:r>
    </w:p>
    <w:p>
      <w:pPr>
        <w:spacing w:after="80"/>
        <w:ind w:left="360"/>
      </w:pPr>
      <w:r>
        <w:rPr>
          <w:rFonts w:ascii="Arial" w:cs="Arial" w:eastAsia="Arial" w:hAnsi="Arial"/>
          <w:b/>
          <w:bCs/>
          <w:color w:val="2D5B9E"/>
          <w:sz w:val="20"/>
          <w:szCs w:val="20"/>
        </w:rPr>
        <w:t xml:space="preserve">Shared_Discount = (Shared_Train1 + Shared_Train2) × 0.35</w:t>
      </w:r>
    </w:p>
    <w:p>
      <w:pPr>
        <w:spacing w:after="80"/>
        <w:ind w:left="360"/>
      </w:pPr>
      <w:r>
        <w:rPr>
          <w:rFonts w:ascii="Arial" w:cs="Arial" w:eastAsia="Arial" w:hAnsi="Arial"/>
          <w:b/>
          <w:bCs/>
          <w:color w:val="2D5B9E"/>
          <w:sz w:val="20"/>
          <w:szCs w:val="20"/>
        </w:rPr>
        <w:t xml:space="preserve">Adj_TPC = Train1_TPC + Train2_TPC – Shared_Discount</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120"/>
      </w:pPr>
      <w:r>
        <w:rPr>
          <w:rFonts w:ascii="Arial" w:cs="Arial" w:eastAsia="Arial" w:hAnsi="Arial"/>
          <w:color w:val="333333"/>
          <w:sz w:val="22"/>
          <w:szCs w:val="22"/>
        </w:rPr>
        <w:t xml:space="preserve">Plus: new NG boiler (Account 8) + pre-treatment (Account 4, default ON). NETL data from Exhibits 6-47 through 6-50 (NOT YET EXTRACTED from PDF). Back-calc TPC ~$962,012K total both trains.</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4.6 operators/shift for two-train system (NETL). Single train: ~3.3. Additional per train: +1.3.</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120"/>
      </w:pPr>
      <w:r>
        <w:rPr>
          <w:rFonts w:ascii="Arial" w:cs="Arial" w:eastAsia="Arial" w:hAnsi="Arial"/>
          <w:color w:val="333333"/>
          <w:sz w:val="22"/>
          <w:szCs w:val="22"/>
        </w:rPr>
        <w:t xml:space="preserve">Higher solvent degradation than clean sources — steel gas has heavy contaminants even after pre-treatment.</w:t>
      </w:r>
    </w:p>
    <w:p>
      <w:pPr>
        <w:spacing w:after="80"/>
        <w:ind w:left="360"/>
      </w:pPr>
      <w:r>
        <w:rPr>
          <w:rFonts w:ascii="Arial" w:cs="Arial" w:eastAsia="Arial" w:hAnsi="Arial"/>
          <w:b/>
          <w:bCs/>
          <w:color w:val="2D5B9E"/>
          <w:sz w:val="20"/>
          <w:szCs w:val="20"/>
        </w:rPr>
        <w:t xml:space="preserve">Solvent_Makeup = Ref_Solvent × CO2_Ratio × CEPCI_Ratio</w:t>
      </w:r>
    </w:p>
    <w:p>
      <w:pPr>
        <w:spacing w:after="80"/>
        <w:ind w:left="360"/>
      </w:pPr>
      <w:r>
        <w:rPr>
          <w:rFonts w:ascii="Arial" w:cs="Arial" w:eastAsia="Arial" w:hAnsi="Arial"/>
          <w:b/>
          <w:bCs/>
          <w:color w:val="2D5B9E"/>
          <w:sz w:val="20"/>
          <w:szCs w:val="20"/>
        </w:rPr>
        <w:t xml:space="preserve">Total_Variable_OM = Maintenance_Material + Solvent + Water + Chemicals + Waste</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 — Purchased from Grid</w:t>
      </w:r>
    </w:p>
    <w:p>
      <w:pPr>
        <w:spacing w:after="80"/>
        <w:ind w:left="360"/>
      </w:pPr>
      <w:r>
        <w:rPr>
          <w:rFonts w:ascii="Arial" w:cs="Arial" w:eastAsia="Arial" w:hAnsi="Arial"/>
          <w:b/>
          <w:bCs/>
          <w:color w:val="2D5B9E"/>
          <w:sz w:val="20"/>
          <w:szCs w:val="20"/>
        </w:rPr>
        <w:t xml:space="preserve">Ref_MW = Two trains. Back-calc TPC ~$962M total</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 — Non-Zero (NG Boiler)</w:t>
      </w:r>
    </w:p>
    <w:p>
      <w:pPr>
        <w:spacing w:after="80"/>
        <w:ind w:left="360"/>
      </w:pPr>
      <w:r>
        <w:rPr>
          <w:rFonts w:ascii="Arial" w:cs="Arial" w:eastAsia="Arial" w:hAnsi="Arial"/>
          <w:b/>
          <w:bCs/>
          <w:color w:val="2D5B9E"/>
          <w:sz w:val="20"/>
          <w:szCs w:val="20"/>
        </w:rPr>
        <w:t xml:space="preserve">Adj_Fuel_Cost = Ref_Fuel × (User_Gas_Price ÷ $4.42) × CO2_Ratio</w:t>
      </w:r>
    </w:p>
    <w:p>
      <w:pPr>
        <w:spacing w:after="80"/>
        <w:ind w:left="360"/>
      </w:pPr>
      <w:r>
        <w:rPr>
          <w:rFonts w:ascii="Arial" w:cs="Arial" w:eastAsia="Arial" w:hAnsi="Arial"/>
          <w:b/>
          <w:bCs/>
          <w:color w:val="2D5B9E"/>
          <w:sz w:val="20"/>
          <w:szCs w:val="20"/>
        </w:rPr>
        <w:t xml:space="preserve">Fuel_per_t = Adj_Fuel_Cost ÷ CO2_Captured</w:t>
      </w:r>
    </w:p>
    <w:p>
      <w:pPr>
        <w:spacing w:after="120"/>
      </w:pPr>
      <w:r>
        <w:rPr>
          <w:rFonts w:ascii="Arial" w:cs="Arial" w:eastAsia="Arial" w:hAnsi="Arial"/>
          <w:color w:val="333333"/>
          <w:sz w:val="22"/>
          <w:szCs w:val="22"/>
        </w:rPr>
        <w:t xml:space="preserve">Same logic as cement — new NG boiler for steam. Steel mills don’t have a suitable steam cycle.</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Power + Fuel</w:t>
      </w:r>
    </w:p>
    <w:p>
      <w:pPr>
        <w:spacing w:after="120"/>
      </w:pPr>
      <w:r>
        <w:rPr>
          <w:rFonts w:ascii="Arial" w:cs="Arial" w:eastAsia="Arial" w:hAnsi="Arial"/>
          <w:color w:val="333333"/>
          <w:sz w:val="22"/>
          <w:szCs w:val="22"/>
        </w:rPr>
        <w:t xml:space="preserve">All five components non-zero. Retrofit only (no new BF-BOF plants). Pre-treatment included. Most complex industrial calculation due to dual trains.</w:t>
      </w:r>
    </w:p>
    <w:p>
      <w:r>
        <w:br w:type="page"/>
      </w:r>
    </w:p>
    <w:p>
      <w:pPr>
        <w:pStyle w:val="Heading2"/>
        <w:spacing w:before="240" w:after="140"/>
      </w:pPr>
      <w:r>
        <w:rPr>
          <w:rFonts w:ascii="Arial" w:cs="Arial" w:eastAsia="Arial" w:hAnsi="Arial"/>
          <w:b/>
          <w:bCs/>
          <w:color w:val="1A1A2E"/>
          <w:sz w:val="26"/>
          <w:szCs w:val="26"/>
        </w:rPr>
        <w:t xml:space="preserve">6.14 Pulp &amp; Paper</w:t>
      </w:r>
    </w:p>
    <w:p>
      <w:pPr>
        <w:spacing w:after="120"/>
      </w:pPr>
      <w:r>
        <w:rPr>
          <w:rFonts w:ascii="Arial" w:cs="Arial" w:eastAsia="Arial" w:hAnsi="Arial"/>
          <w:color w:val="333333"/>
          <w:sz w:val="22"/>
          <w:szCs w:val="22"/>
        </w:rPr>
        <w:t xml:space="preserve">Post-combustion. Stream selection (recovery boiler, lime kiln, or both). Biogenic/fossil tracking. Same amine system as cement.</w:t>
      </w:r>
    </w:p>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Derivation</w:t>
      </w:r>
    </w:p>
    <w:p>
      <w:pPr>
        <w:spacing w:after="80"/>
        <w:ind w:left="360"/>
      </w:pPr>
      <w:r>
        <w:rPr>
          <w:rFonts w:ascii="Arial" w:cs="Arial" w:eastAsia="Arial" w:hAnsi="Arial"/>
          <w:b/>
          <w:bCs/>
          <w:color w:val="2D5B9E"/>
          <w:sz w:val="20"/>
          <w:szCs w:val="20"/>
        </w:rPr>
        <w:t xml:space="preserve">Annual_Output = Plant_Capacity × CF</w:t>
      </w:r>
    </w:p>
    <w:p>
      <w:pPr>
        <w:spacing w:after="80"/>
        <w:ind w:left="360"/>
      </w:pPr>
      <w:r>
        <w:rPr>
          <w:rFonts w:ascii="Arial" w:cs="Arial" w:eastAsia="Arial" w:hAnsi="Arial"/>
          <w:b/>
          <w:bCs/>
          <w:color w:val="2D5B9E"/>
          <w:sz w:val="20"/>
          <w:szCs w:val="20"/>
        </w:rPr>
        <w:t xml:space="preserve">Recovery_Boiler_CO2 = Annual_Output × EF_recovery (biogenic)</w:t>
      </w:r>
    </w:p>
    <w:p>
      <w:pPr>
        <w:spacing w:after="80"/>
        <w:ind w:left="360"/>
      </w:pPr>
      <w:r>
        <w:rPr>
          <w:rFonts w:ascii="Arial" w:cs="Arial" w:eastAsia="Arial" w:hAnsi="Arial"/>
          <w:b/>
          <w:bCs/>
          <w:color w:val="2D5B9E"/>
          <w:sz w:val="20"/>
          <w:szCs w:val="20"/>
        </w:rPr>
        <w:t xml:space="preserve">Lime_Kiln_CO2 = Annual_Output × EF_limekiln (mixed bio/fossil)</w:t>
      </w:r>
    </w:p>
    <w:p>
      <w:pPr>
        <w:spacing w:after="80"/>
        <w:ind w:left="360"/>
      </w:pPr>
      <w:r>
        <w:rPr>
          <w:rFonts w:ascii="Arial" w:cs="Arial" w:eastAsia="Arial" w:hAnsi="Arial"/>
          <w:b/>
          <w:bCs/>
          <w:color w:val="2D5B9E"/>
          <w:sz w:val="20"/>
          <w:szCs w:val="20"/>
        </w:rPr>
        <w:t xml:space="preserve">CO2_Captured = Selected_Streams × Capture_Rate</w:t>
      </w:r>
    </w:p>
    <w:p>
      <w:pPr>
        <w:spacing w:after="80"/>
        <w:ind w:left="360"/>
      </w:pPr>
      <w:r>
        <w:rPr>
          <w:rFonts w:ascii="Arial" w:cs="Arial" w:eastAsia="Arial" w:hAnsi="Arial"/>
          <w:b/>
          <w:bCs/>
          <w:color w:val="2D5B9E"/>
          <w:sz w:val="20"/>
          <w:szCs w:val="20"/>
        </w:rPr>
        <w:t xml:space="preserve">Biogenic_Fraction = f(stream selection, lime kiln fuel type)</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Plant_Capacity ÷ Ref_Capacity</w:t>
      </w:r>
    </w:p>
    <w:p>
      <w:pPr>
        <w:spacing w:after="80"/>
        <w:ind w:left="360"/>
      </w:pPr>
      <w:r>
        <w:rPr>
          <w:rFonts w:ascii="Arial" w:cs="Arial" w:eastAsia="Arial" w:hAnsi="Arial"/>
          <w:b/>
          <w:bCs/>
          <w:color w:val="2D5B9E"/>
          <w:sz w:val="20"/>
          <w:szCs w:val="20"/>
        </w:rPr>
        <w:t xml:space="preserve">sR = Plant_Capacity ÷ 400,000</w:t>
      </w:r>
    </w:p>
    <w:p>
      <w:pPr>
        <w:spacing w:after="120"/>
      </w:pPr>
      <w:r>
        <w:rPr>
          <w:rFonts w:ascii="Arial" w:cs="Arial" w:eastAsia="Arial" w:hAnsi="Arial"/>
          <w:color w:val="333333"/>
          <w:sz w:val="22"/>
          <w:szCs w:val="22"/>
        </w:rPr>
        <w:t xml:space="preserve">Max single train ~1.2M t pulp/yr (absorber size). Both greenfield and retrofit available.</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CEPCI[2018]</w:t>
      </w:r>
    </w:p>
    <w:p>
      <w:pPr>
        <w:spacing w:after="80"/>
        <w:ind w:left="360"/>
      </w:pPr>
      <w:r>
        <w:rPr>
          <w:rFonts w:ascii="Arial" w:cs="Arial" w:eastAsia="Arial" w:hAnsi="Arial"/>
          <w:b/>
          <w:bCs/>
          <w:color w:val="2D5B9E"/>
          <w:sz w:val="20"/>
          <w:szCs w:val="20"/>
        </w:rPr>
        <w:t xml:space="preserve">Location_Ratio = LF[User_State] ÷ LF[LA]</w:t>
      </w:r>
    </w:p>
    <w:p>
      <w:pPr>
        <w:spacing w:after="80"/>
        <w:ind w:left="360"/>
      </w:pPr>
      <w:r>
        <w:rPr>
          <w:rFonts w:ascii="Arial" w:cs="Arial" w:eastAsia="Arial" w:hAnsi="Arial"/>
          <w:b/>
          <w:bCs/>
          <w:color w:val="2D5B9E"/>
          <w:sz w:val="20"/>
          <w:szCs w:val="20"/>
        </w:rPr>
        <w:t xml:space="preserve">Tech_Capex = TECH[selected_technology].capex</w:t>
      </w:r>
    </w:p>
    <w:p>
      <w:pPr>
        <w:spacing w:after="80"/>
        <w:ind w:left="360"/>
      </w:pPr>
      <w:r>
        <w:rPr>
          <w:rFonts w:ascii="Arial" w:cs="Arial" w:eastAsia="Arial" w:hAnsi="Arial"/>
          <w:b/>
          <w:bCs/>
          <w:color w:val="2D5B9E"/>
          <w:sz w:val="20"/>
          <w:szCs w:val="20"/>
        </w:rPr>
        <w:t xml:space="preserve">RDF = 1.05 (NETL blanket LP factor for pulp/paper)</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Same amine system as cement. If both streams selected, dual calculation:</w:t>
      </w:r>
    </w:p>
    <w:p>
      <w:pPr>
        <w:spacing w:after="80"/>
        <w:ind w:left="360"/>
      </w:pPr>
      <w:r>
        <w:rPr>
          <w:rFonts w:ascii="Arial" w:cs="Arial" w:eastAsia="Arial" w:hAnsi="Arial"/>
          <w:b/>
          <w:bCs/>
          <w:color w:val="2D5B9E"/>
          <w:sz w:val="20"/>
          <w:szCs w:val="20"/>
        </w:rPr>
        <w:t xml:space="preserve">If recovery boiler only: single capture system on recovery boiler exhaust</w:t>
      </w:r>
    </w:p>
    <w:p>
      <w:pPr>
        <w:spacing w:after="80"/>
        <w:ind w:left="360"/>
      </w:pPr>
      <w:r>
        <w:rPr>
          <w:rFonts w:ascii="Arial" w:cs="Arial" w:eastAsia="Arial" w:hAnsi="Arial"/>
          <w:b/>
          <w:bCs/>
          <w:color w:val="2D5B9E"/>
          <w:sz w:val="20"/>
          <w:szCs w:val="20"/>
        </w:rPr>
        <w:t xml:space="preserve">If lime kiln only: single capture system on lime kiln exhaust</w:t>
      </w:r>
    </w:p>
    <w:p>
      <w:pPr>
        <w:spacing w:after="80"/>
        <w:ind w:left="360"/>
      </w:pPr>
      <w:r>
        <w:rPr>
          <w:rFonts w:ascii="Arial" w:cs="Arial" w:eastAsia="Arial" w:hAnsi="Arial"/>
          <w:b/>
          <w:bCs/>
          <w:color w:val="2D5B9E"/>
          <w:sz w:val="20"/>
          <w:szCs w:val="20"/>
        </w:rPr>
        <w:t xml:space="preserve">If both: two systems + shared infrastructure discount</w:t>
      </w:r>
    </w:p>
    <w:p>
      <w:pPr>
        <w:spacing w:after="80"/>
        <w:ind w:left="360"/>
      </w:pPr>
      <w:r>
        <w:rPr>
          <w:rFonts w:ascii="Arial" w:cs="Arial" w:eastAsia="Arial" w:hAnsi="Arial"/>
          <w:b/>
          <w:bCs/>
          <w:color w:val="2D5B9E"/>
          <w:sz w:val="20"/>
          <w:szCs w:val="20"/>
        </w:rPr>
        <w:t xml:space="preserve">For each item i: Adj_Item[i] = Ref_TPC[i] × sR^exponent[i] × Combined_Adj</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120"/>
      </w:pPr>
      <w:r>
        <w:rPr>
          <w:rFonts w:ascii="Arial" w:cs="Arial" w:eastAsia="Arial" w:hAnsi="Arial"/>
          <w:color w:val="333333"/>
          <w:sz w:val="22"/>
          <w:szCs w:val="22"/>
        </w:rPr>
        <w:t xml:space="preserve">Steam availability (parked) affects whether a new NG boiler is needed. If surplus steam available, boiler CAPEX = $0.</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3.3 operators/shift (full amine). +1.5 per additional train if both streams.</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80"/>
        <w:ind w:left="360"/>
      </w:pPr>
      <w:r>
        <w:rPr>
          <w:rFonts w:ascii="Arial" w:cs="Arial" w:eastAsia="Arial" w:hAnsi="Arial"/>
          <w:b/>
          <w:bCs/>
          <w:color w:val="2D5B9E"/>
          <w:sz w:val="20"/>
          <w:szCs w:val="20"/>
        </w:rPr>
        <w:t xml:space="preserve">Solvent_Makeup = Ref_Solvent × CO2_Ratio × CEPCI_Ratio</w:t>
      </w:r>
    </w:p>
    <w:p>
      <w:pPr>
        <w:spacing w:after="80"/>
        <w:ind w:left="360"/>
      </w:pPr>
      <w:r>
        <w:rPr>
          <w:rFonts w:ascii="Arial" w:cs="Arial" w:eastAsia="Arial" w:hAnsi="Arial"/>
          <w:b/>
          <w:bCs/>
          <w:color w:val="2D5B9E"/>
          <w:sz w:val="20"/>
          <w:szCs w:val="20"/>
        </w:rPr>
        <w:t xml:space="preserve">Total_Variable_OM = Maintenance_Material + Solvent + Water + Chemicals + Waste</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 — Purchased from Grid</w:t>
      </w:r>
    </w:p>
    <w:p>
      <w:pPr>
        <w:spacing w:after="80"/>
        <w:ind w:left="360"/>
      </w:pPr>
      <w:r>
        <w:rPr>
          <w:rFonts w:ascii="Arial" w:cs="Arial" w:eastAsia="Arial" w:hAnsi="Arial"/>
          <w:b/>
          <w:bCs/>
          <w:color w:val="2D5B9E"/>
          <w:sz w:val="20"/>
          <w:szCs w:val="20"/>
        </w:rPr>
        <w:t xml:space="preserve">Ref_MW = ~from NETL Exhibit 6-62 (not yet extracted)</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w:t>
      </w:r>
    </w:p>
    <w:p>
      <w:pPr>
        <w:spacing w:after="80"/>
        <w:ind w:left="360"/>
      </w:pPr>
      <w:r>
        <w:rPr>
          <w:rFonts w:ascii="Arial" w:cs="Arial" w:eastAsia="Arial" w:hAnsi="Arial"/>
          <w:b/>
          <w:bCs/>
          <w:color w:val="2D5B9E"/>
          <w:sz w:val="20"/>
          <w:szCs w:val="20"/>
        </w:rPr>
        <w:t xml:space="preserve">If surplus steam available: Fuel_per_t = $0 (or reduced)</w:t>
      </w:r>
    </w:p>
    <w:p>
      <w:pPr>
        <w:spacing w:after="80"/>
        <w:ind w:left="360"/>
      </w:pPr>
      <w:r>
        <w:rPr>
          <w:rFonts w:ascii="Arial" w:cs="Arial" w:eastAsia="Arial" w:hAnsi="Arial"/>
          <w:b/>
          <w:bCs/>
          <w:color w:val="2D5B9E"/>
          <w:sz w:val="20"/>
          <w:szCs w:val="20"/>
        </w:rPr>
        <w:t xml:space="preserve">If no surplus steam: Fuel_per_t = Ref_Fuel × (Gas_Price ÷ $4.42) × CO2_Ratio ÷ CO2_Captured</w:t>
      </w:r>
    </w:p>
    <w:p>
      <w:pPr>
        <w:spacing w:after="120"/>
      </w:pPr>
      <w:r>
        <w:rPr>
          <w:rFonts w:ascii="Arial" w:cs="Arial" w:eastAsia="Arial" w:hAnsi="Arial"/>
          <w:color w:val="333333"/>
          <w:sz w:val="22"/>
          <w:szCs w:val="22"/>
        </w:rPr>
        <w:t xml:space="preserve">Steam availability is a parked question. Kraft mills have abundant steam from the recovery boiler but extracting it affects electricity generation.</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Power + Fuel</w:t>
      </w:r>
    </w:p>
    <w:p>
      <w:pPr>
        <w:spacing w:after="120"/>
      </w:pPr>
      <w:r>
        <w:rPr>
          <w:rFonts w:ascii="Arial" w:cs="Arial" w:eastAsia="Arial" w:hAnsi="Arial"/>
          <w:b/>
          <w:bCs/>
          <w:color w:val="666666"/>
          <w:sz w:val="22"/>
          <w:szCs w:val="22"/>
        </w:rPr>
        <w:t xml:space="preserve">Biogenic/Fossil Tracking:</w:t>
      </w:r>
    </w:p>
    <w:p>
      <w:pPr>
        <w:spacing w:after="80"/>
        <w:ind w:left="360"/>
      </w:pPr>
      <w:r>
        <w:rPr>
          <w:rFonts w:ascii="Arial" w:cs="Arial" w:eastAsia="Arial" w:hAnsi="Arial"/>
          <w:b/>
          <w:bCs/>
          <w:color w:val="2D5B9E"/>
          <w:sz w:val="20"/>
          <w:szCs w:val="20"/>
        </w:rPr>
        <w:t xml:space="preserve">Recovery_Boiler_CO2 = biogenic (black liquor is biomass)</w:t>
      </w:r>
    </w:p>
    <w:p>
      <w:pPr>
        <w:spacing w:after="80"/>
        <w:ind w:left="360"/>
      </w:pPr>
      <w:r>
        <w:rPr>
          <w:rFonts w:ascii="Arial" w:cs="Arial" w:eastAsia="Arial" w:hAnsi="Arial"/>
          <w:b/>
          <w:bCs/>
          <w:color w:val="2D5B9E"/>
          <w:sz w:val="20"/>
          <w:szCs w:val="20"/>
        </w:rPr>
        <w:t xml:space="preserve">Lime_Kiln_CO2 = mixed (calcination = mineral; combustion = depends on fuel)</w:t>
      </w:r>
    </w:p>
    <w:p>
      <w:pPr>
        <w:spacing w:after="80"/>
        <w:ind w:left="360"/>
      </w:pPr>
      <w:r>
        <w:rPr>
          <w:rFonts w:ascii="Arial" w:cs="Arial" w:eastAsia="Arial" w:hAnsi="Arial"/>
          <w:b/>
          <w:bCs/>
          <w:color w:val="2D5B9E"/>
          <w:sz w:val="20"/>
          <w:szCs w:val="20"/>
        </w:rPr>
        <w:t xml:space="preserve">Biogenic_Fraction = f(stream selection, lime kiln fuel type)</w:t>
      </w:r>
    </w:p>
    <w:p>
      <w:pPr>
        <w:spacing w:after="120"/>
      </w:pPr>
      <w:r>
        <w:rPr>
          <w:rFonts w:ascii="Arial" w:cs="Arial" w:eastAsia="Arial" w:hAnsi="Arial"/>
          <w:color w:val="333333"/>
          <w:sz w:val="22"/>
          <w:szCs w:val="22"/>
        </w:rPr>
        <w:t xml:space="preserve">Passes to financial model. Default 45Q ($85/t). Optional CDR premium on biogenic fraction.</w:t>
      </w:r>
    </w:p>
    <w:p>
      <w:r>
        <w:br w:type="page"/>
      </w:r>
    </w:p>
    <w:p>
      <w:pPr>
        <w:pStyle w:val="Heading2"/>
        <w:spacing w:before="240" w:after="140"/>
      </w:pPr>
      <w:r>
        <w:rPr>
          <w:rFonts w:ascii="Arial" w:cs="Arial" w:eastAsia="Arial" w:hAnsi="Arial"/>
          <w:b/>
          <w:bCs/>
          <w:color w:val="1A1A2E"/>
          <w:sz w:val="26"/>
          <w:szCs w:val="26"/>
        </w:rPr>
        <w:t xml:space="preserve">6.15 DAC</w:t>
      </w:r>
    </w:p>
    <w:p>
      <w:pPr>
        <w:spacing w:after="120"/>
      </w:pPr>
      <w:r>
        <w:rPr>
          <w:rFonts w:ascii="Arial" w:cs="Arial" w:eastAsia="Arial" w:hAnsi="Arial"/>
          <w:color w:val="333333"/>
          <w:sz w:val="22"/>
          <w:szCs w:val="22"/>
        </w:rPr>
        <w:t xml:space="preserve">Fundamentally different from all point sources. No NETL account framework. Direct CO₂ input. Different reference data (IEAGHG 2024). 100% CDR.</w:t>
      </w:r>
    </w:p>
    <w:p>
      <w:pPr>
        <w:spacing w:after="80"/>
      </w:pPr>
      <w:r>
        <w:rPr>
          <w:rFonts w:ascii="Arial" w:cs="Arial" w:eastAsia="Arial" w:hAnsi="Arial"/>
          <w:b/>
          <w:bCs/>
          <w:color w:val="1B6B4A"/>
          <w:sz w:val="22"/>
          <w:szCs w:val="22"/>
        </w:rPr>
        <w:t xml:space="preserve">Step 1: </w:t>
      </w:r>
      <w:r>
        <w:rPr>
          <w:rFonts w:ascii="Arial" w:cs="Arial" w:eastAsia="Arial" w:hAnsi="Arial"/>
          <w:b/>
          <w:bCs/>
          <w:color w:val="1A1A2E"/>
          <w:sz w:val="22"/>
          <w:szCs w:val="22"/>
        </w:rPr>
        <w:t xml:space="preserve">CO₂ — Direct Input</w:t>
      </w:r>
    </w:p>
    <w:p>
      <w:pPr>
        <w:spacing w:after="80"/>
        <w:ind w:left="360"/>
      </w:pPr>
      <w:r>
        <w:rPr>
          <w:rFonts w:ascii="Arial" w:cs="Arial" w:eastAsia="Arial" w:hAnsi="Arial"/>
          <w:b/>
          <w:bCs/>
          <w:color w:val="2D5B9E"/>
          <w:sz w:val="20"/>
          <w:szCs w:val="20"/>
        </w:rPr>
        <w:t xml:space="preserve">CO2_Captured = User_Input (t/yr)</w:t>
      </w:r>
    </w:p>
    <w:p>
      <w:pPr>
        <w:spacing w:after="120"/>
      </w:pPr>
      <w:r>
        <w:rPr>
          <w:rFonts w:ascii="Arial" w:cs="Arial" w:eastAsia="Arial" w:hAnsi="Arial"/>
          <w:color w:val="333333"/>
          <w:sz w:val="22"/>
          <w:szCs w:val="22"/>
        </w:rPr>
        <w:t xml:space="preserve">No derivation chain. No emission factor. No plant capacity conversion.</w:t>
      </w:r>
    </w:p>
    <w:p>
      <w:pPr>
        <w:spacing w:after="80"/>
      </w:pPr>
      <w:r>
        <w:rPr>
          <w:rFonts w:ascii="Arial" w:cs="Arial" w:eastAsia="Arial" w:hAnsi="Arial"/>
          <w:b/>
          <w:bCs/>
          <w:color w:val="1B6B4A"/>
          <w:sz w:val="22"/>
          <w:szCs w:val="22"/>
        </w:rPr>
        <w:t xml:space="preserve">Step 2: </w:t>
      </w:r>
      <w:r>
        <w:rPr>
          <w:rFonts w:ascii="Arial" w:cs="Arial" w:eastAsia="Arial" w:hAnsi="Arial"/>
          <w:b/>
          <w:bCs/>
          <w:color w:val="1A1A2E"/>
          <w:sz w:val="22"/>
          <w:szCs w:val="22"/>
        </w:rPr>
        <w:t xml:space="preserve">Size Ratio</w:t>
      </w:r>
    </w:p>
    <w:p>
      <w:pPr>
        <w:spacing w:after="80"/>
        <w:ind w:left="360"/>
      </w:pPr>
      <w:r>
        <w:rPr>
          <w:rFonts w:ascii="Arial" w:cs="Arial" w:eastAsia="Arial" w:hAnsi="Arial"/>
          <w:b/>
          <w:bCs/>
          <w:color w:val="2D5B9E"/>
          <w:sz w:val="20"/>
          <w:szCs w:val="20"/>
        </w:rPr>
        <w:t xml:space="preserve">sR = CO2_Captured ÷ 100,000</w:t>
      </w:r>
    </w:p>
    <w:p>
      <w:pPr>
        <w:spacing w:after="120"/>
      </w:pPr>
      <w:r>
        <w:rPr>
          <w:rFonts w:ascii="Arial" w:cs="Arial" w:eastAsia="Arial" w:hAnsi="Arial"/>
          <w:color w:val="333333"/>
          <w:sz w:val="22"/>
          <w:szCs w:val="22"/>
        </w:rPr>
        <w:t xml:space="preserve">Solid sorbent: exponent 0.85–0.95 (modular). Liquid solvent: exponent 0.6 (traditional). Liquid max train ~500,000 t/yr.</w:t>
      </w:r>
    </w:p>
    <w:p>
      <w:pPr>
        <w:spacing w:after="80"/>
      </w:pPr>
      <w:r>
        <w:rPr>
          <w:rFonts w:ascii="Arial" w:cs="Arial" w:eastAsia="Arial" w:hAnsi="Arial"/>
          <w:b/>
          <w:bCs/>
          <w:color w:val="1B6B4A"/>
          <w:sz w:val="22"/>
          <w:szCs w:val="22"/>
        </w:rPr>
        <w:t xml:space="preserve">Step 3: </w:t>
      </w:r>
      <w:r>
        <w:rPr>
          <w:rFonts w:ascii="Arial" w:cs="Arial" w:eastAsia="Arial" w:hAnsi="Arial"/>
          <w:b/>
          <w:bCs/>
          <w:color w:val="1A1A2E"/>
          <w:sz w:val="22"/>
          <w:szCs w:val="22"/>
        </w:rPr>
        <w:t xml:space="preserve">Adjustment Factors</w:t>
      </w:r>
    </w:p>
    <w:p>
      <w:pPr>
        <w:spacing w:after="80"/>
        <w:ind w:left="360"/>
      </w:pPr>
      <w:r>
        <w:rPr>
          <w:rFonts w:ascii="Arial" w:cs="Arial" w:eastAsia="Arial" w:hAnsi="Arial"/>
          <w:b/>
          <w:bCs/>
          <w:color w:val="2D5B9E"/>
          <w:sz w:val="20"/>
          <w:szCs w:val="20"/>
        </w:rPr>
        <w:t xml:space="preserve">CEPCI_Ratio = CEPCI[Cost_Year] ÷ CEPCI[IEAGHG_Base_Year]</w:t>
      </w:r>
    </w:p>
    <w:p>
      <w:pPr>
        <w:spacing w:after="120"/>
      </w:pPr>
      <w:r>
        <w:rPr>
          <w:rFonts w:ascii="Arial" w:cs="Arial" w:eastAsia="Arial" w:hAnsi="Arial"/>
          <w:color w:val="333333"/>
          <w:sz w:val="22"/>
          <w:szCs w:val="22"/>
        </w:rPr>
        <w:t xml:space="preserve">Note: IEAGHG 2024 base year may differ from NETL 2018. Need to confirm.</w:t>
      </w:r>
    </w:p>
    <w:p>
      <w:pPr>
        <w:spacing w:after="80"/>
        <w:ind w:left="360"/>
      </w:pPr>
      <w:r>
        <w:rPr>
          <w:rFonts w:ascii="Arial" w:cs="Arial" w:eastAsia="Arial" w:hAnsi="Arial"/>
          <w:b/>
          <w:bCs/>
          <w:color w:val="2D5B9E"/>
          <w:sz w:val="20"/>
          <w:szCs w:val="20"/>
        </w:rPr>
        <w:t xml:space="preserve">Location_Ratio = LF[User_State] ÷ LF[Ref_State]</w:t>
      </w:r>
    </w:p>
    <w:p>
      <w:pPr>
        <w:spacing w:after="80"/>
        <w:ind w:left="360"/>
      </w:pPr>
      <w:r>
        <w:rPr>
          <w:rFonts w:ascii="Arial" w:cs="Arial" w:eastAsia="Arial" w:hAnsi="Arial"/>
          <w:b/>
          <w:bCs/>
          <w:color w:val="2D5B9E"/>
          <w:sz w:val="20"/>
          <w:szCs w:val="20"/>
        </w:rPr>
        <w:t xml:space="preserve">Tech_Capex = 1.00 (solid sorbent) or 1.20 (liquid solvent)</w:t>
      </w:r>
    </w:p>
    <w:p>
      <w:pPr>
        <w:spacing w:after="120"/>
      </w:pPr>
      <w:r>
        <w:rPr>
          <w:rFonts w:ascii="Arial" w:cs="Arial" w:eastAsia="Arial" w:hAnsi="Arial"/>
          <w:color w:val="333333"/>
          <w:sz w:val="22"/>
          <w:szCs w:val="22"/>
        </w:rPr>
        <w:t xml:space="preserve">Technology selector switches the ENTIRE reference dataset, not just a scalar multiplier. Different equipment, different costs.</w:t>
      </w:r>
    </w:p>
    <w:p>
      <w:pPr>
        <w:spacing w:after="80"/>
        <w:ind w:left="360"/>
      </w:pPr>
      <w:r>
        <w:rPr>
          <w:rFonts w:ascii="Arial" w:cs="Arial" w:eastAsia="Arial" w:hAnsi="Arial"/>
          <w:b/>
          <w:bCs/>
          <w:color w:val="2D5B9E"/>
          <w:sz w:val="20"/>
          <w:szCs w:val="20"/>
        </w:rPr>
        <w:t xml:space="preserve">RDF = 1.00 (greenfield only for DAC)</w:t>
      </w:r>
    </w:p>
    <w:p>
      <w:pPr>
        <w:spacing w:after="80"/>
        <w:ind w:left="360"/>
      </w:pPr>
      <w:r>
        <w:rPr>
          <w:rFonts w:ascii="Arial" w:cs="Arial" w:eastAsia="Arial" w:hAnsi="Arial"/>
          <w:b/>
          <w:bCs/>
          <w:color w:val="2D5B9E"/>
          <w:sz w:val="20"/>
          <w:szCs w:val="20"/>
        </w:rPr>
        <w:t xml:space="preserve">Combined_Adj = CEPCI_Ratio × Location_Ratio × Tech_Capex × RDF</w:t>
      </w:r>
    </w:p>
    <w:p>
      <w:pPr>
        <w:spacing w:after="80"/>
      </w:pPr>
      <w:r>
        <w:rPr>
          <w:rFonts w:ascii="Arial" w:cs="Arial" w:eastAsia="Arial" w:hAnsi="Arial"/>
          <w:b/>
          <w:bCs/>
          <w:color w:val="1B6B4A"/>
          <w:sz w:val="22"/>
          <w:szCs w:val="22"/>
        </w:rPr>
        <w:t xml:space="preserve">Step 4: </w:t>
      </w:r>
      <w:r>
        <w:rPr>
          <w:rFonts w:ascii="Arial" w:cs="Arial" w:eastAsia="Arial" w:hAnsi="Arial"/>
          <w:b/>
          <w:bCs/>
          <w:color w:val="1A1A2E"/>
          <w:sz w:val="22"/>
          <w:szCs w:val="22"/>
        </w:rPr>
        <w:t xml:space="preserve">CAPEX</w:t>
      </w:r>
    </w:p>
    <w:p>
      <w:pPr>
        <w:spacing w:after="120"/>
      </w:pPr>
      <w:r>
        <w:rPr>
          <w:rFonts w:ascii="Arial" w:cs="Arial" w:eastAsia="Arial" w:hAnsi="Arial"/>
          <w:color w:val="333333"/>
          <w:sz w:val="22"/>
          <w:szCs w:val="22"/>
        </w:rPr>
        <w:t xml:space="preserve">Fundamentally different equipment from point sources:</w:t>
      </w:r>
    </w:p>
    <w:p>
      <w:pPr>
        <w:pStyle w:val="ListParagraph"/>
        <w:numPr>
          <w:ilvl w:val="0"/>
          <w:numId w:val="2"/>
        </w:numPr>
        <w:spacing w:after="60"/>
      </w:pPr>
      <w:r>
        <w:rPr>
          <w:rFonts w:ascii="Arial" w:cs="Arial" w:eastAsia="Arial" w:hAnsi="Arial"/>
          <w:color w:val="333333"/>
          <w:sz w:val="22"/>
          <w:szCs w:val="22"/>
        </w:rPr>
        <w:t xml:space="preserve">Air contactors — dominant CAPEX (no equivalent in point source capture)</w:t>
      </w:r>
    </w:p>
    <w:p>
      <w:pPr>
        <w:pStyle w:val="ListParagraph"/>
        <w:numPr>
          <w:ilvl w:val="0"/>
          <w:numId w:val="2"/>
        </w:numPr>
        <w:spacing w:after="60"/>
      </w:pPr>
      <w:r>
        <w:rPr>
          <w:rFonts w:ascii="Arial" w:cs="Arial" w:eastAsia="Arial" w:hAnsi="Arial"/>
          <w:color w:val="333333"/>
          <w:sz w:val="22"/>
          <w:szCs w:val="22"/>
        </w:rPr>
        <w:t xml:space="preserve">Fans/blowers — major power consumer, moving enormous air volumes</w:t>
      </w:r>
    </w:p>
    <w:p>
      <w:pPr>
        <w:pStyle w:val="ListParagraph"/>
        <w:numPr>
          <w:ilvl w:val="0"/>
          <w:numId w:val="2"/>
        </w:numPr>
        <w:spacing w:after="60"/>
      </w:pPr>
      <w:r>
        <w:rPr>
          <w:rFonts w:ascii="Arial" w:cs="Arial" w:eastAsia="Arial" w:hAnsi="Arial"/>
          <w:color w:val="333333"/>
          <w:sz w:val="22"/>
          <w:szCs w:val="22"/>
        </w:rPr>
        <w:t xml:space="preserve">Regeneration: heated sorbent beds (solid) or calciner + ASU (liquid)</w:t>
      </w:r>
    </w:p>
    <w:p>
      <w:pPr>
        <w:pStyle w:val="ListParagraph"/>
        <w:numPr>
          <w:ilvl w:val="0"/>
          <w:numId w:val="2"/>
        </w:numPr>
        <w:spacing w:after="60"/>
      </w:pPr>
      <w:r>
        <w:rPr>
          <w:rFonts w:ascii="Arial" w:cs="Arial" w:eastAsia="Arial" w:hAnsi="Arial"/>
          <w:color w:val="333333"/>
          <w:sz w:val="22"/>
          <w:szCs w:val="22"/>
        </w:rPr>
        <w:t xml:space="preserve">CO₂ compression (same as point source)</w:t>
      </w:r>
    </w:p>
    <w:p>
      <w:pPr>
        <w:pStyle w:val="ListParagraph"/>
        <w:numPr>
          <w:ilvl w:val="0"/>
          <w:numId w:val="2"/>
        </w:numPr>
        <w:spacing w:after="60"/>
      </w:pPr>
      <w:r>
        <w:rPr>
          <w:rFonts w:ascii="Arial" w:cs="Arial" w:eastAsia="Arial" w:hAnsi="Arial"/>
          <w:color w:val="333333"/>
          <w:sz w:val="22"/>
          <w:szCs w:val="22"/>
        </w:rPr>
        <w:t xml:space="preserve">Balance of plant</w:t>
      </w:r>
    </w:p>
    <w:p>
      <w:pPr>
        <w:spacing w:after="80"/>
        <w:ind w:left="360"/>
      </w:pPr>
      <w:r>
        <w:rPr>
          <w:rFonts w:ascii="Arial" w:cs="Arial" w:eastAsia="Arial" w:hAnsi="Arial"/>
          <w:b/>
          <w:bCs/>
          <w:color w:val="2D5B9E"/>
          <w:sz w:val="20"/>
          <w:szCs w:val="20"/>
        </w:rPr>
        <w:t xml:space="preserve">For each item i: Adj_Item[i] = Ref_Cost[i] × sR^exponent[i] × Combined_Adj</w:t>
      </w:r>
    </w:p>
    <w:p>
      <w:pPr>
        <w:spacing w:after="120"/>
      </w:pPr>
      <w:r>
        <w:rPr>
          <w:rFonts w:ascii="Arial" w:cs="Arial" w:eastAsia="Arial" w:hAnsi="Arial"/>
          <w:color w:val="333333"/>
          <w:sz w:val="22"/>
          <w:szCs w:val="22"/>
        </w:rPr>
        <w:t xml:space="preserve">Solid sorbent: exponent 0.85–0.95 per item (modular — add contactor units).</w:t>
      </w:r>
    </w:p>
    <w:p>
      <w:pPr>
        <w:spacing w:after="120"/>
      </w:pPr>
      <w:r>
        <w:rPr>
          <w:rFonts w:ascii="Arial" w:cs="Arial" w:eastAsia="Arial" w:hAnsi="Arial"/>
          <w:color w:val="333333"/>
          <w:sz w:val="22"/>
          <w:szCs w:val="22"/>
        </w:rPr>
        <w:t xml:space="preserve">Liquid solvent: exponent 0.6 per item (traditional process equipment scaling).</w:t>
      </w:r>
    </w:p>
    <w:p>
      <w:pPr>
        <w:spacing w:after="80"/>
        <w:ind w:left="360"/>
      </w:pPr>
      <w:r>
        <w:rPr>
          <w:rFonts w:ascii="Arial" w:cs="Arial" w:eastAsia="Arial" w:hAnsi="Arial"/>
          <w:b/>
          <w:bCs/>
          <w:color w:val="2D5B9E"/>
          <w:sz w:val="20"/>
          <w:szCs w:val="20"/>
        </w:rPr>
        <w:t xml:space="preserve">Adj_TPC = Σ Adj_Item[i]</w:t>
      </w:r>
    </w:p>
    <w:p>
      <w:pPr>
        <w:spacing w:after="80"/>
        <w:ind w:left="360"/>
      </w:pPr>
      <w:r>
        <w:rPr>
          <w:rFonts w:ascii="Arial" w:cs="Arial" w:eastAsia="Arial" w:hAnsi="Arial"/>
          <w:b/>
          <w:bCs/>
          <w:color w:val="2D5B9E"/>
          <w:sz w:val="20"/>
          <w:szCs w:val="20"/>
        </w:rPr>
        <w:t xml:space="preserve">Owners_Costs = 0.222 × Adj_TPC + Land</w:t>
      </w:r>
    </w:p>
    <w:p>
      <w:pPr>
        <w:spacing w:after="80"/>
        <w:ind w:left="360"/>
      </w:pPr>
      <w:r>
        <w:rPr>
          <w:rFonts w:ascii="Arial" w:cs="Arial" w:eastAsia="Arial" w:hAnsi="Arial"/>
          <w:b/>
          <w:bCs/>
          <w:color w:val="2D5B9E"/>
          <w:sz w:val="20"/>
          <w:szCs w:val="20"/>
        </w:rPr>
        <w:t xml:space="preserve">CAPEX = Adj_TPC + Owners_Costs</w:t>
      </w:r>
    </w:p>
    <w:p>
      <w:pPr>
        <w:spacing w:after="120"/>
      </w:pPr>
      <w:r>
        <w:rPr>
          <w:rFonts w:ascii="Arial" w:cs="Arial" w:eastAsia="Arial" w:hAnsi="Arial"/>
          <w:color w:val="333333"/>
          <w:sz w:val="22"/>
          <w:szCs w:val="22"/>
        </w:rPr>
        <w:t xml:space="preserve">Reference costs from IEAGHG 2024 (). Line-item structure to be defined during build. Back-calc TPC available.</w:t>
      </w:r>
    </w:p>
    <w:p>
      <w:pPr>
        <w:spacing w:after="80"/>
      </w:pPr>
      <w:r>
        <w:rPr>
          <w:rFonts w:ascii="Arial" w:cs="Arial" w:eastAsia="Arial" w:hAnsi="Arial"/>
          <w:b/>
          <w:bCs/>
          <w:color w:val="1B6B4A"/>
          <w:sz w:val="22"/>
          <w:szCs w:val="22"/>
        </w:rPr>
        <w:t xml:space="preserve">Step 5: </w:t>
      </w:r>
      <w:r>
        <w:rPr>
          <w:rFonts w:ascii="Arial" w:cs="Arial" w:eastAsia="Arial" w:hAnsi="Arial"/>
          <w:b/>
          <w:bCs/>
          <w:color w:val="1A1A2E"/>
          <w:sz w:val="22"/>
          <w:szCs w:val="22"/>
        </w:rPr>
        <w:t xml:space="preserve">Capital</w:t>
      </w:r>
    </w:p>
    <w:p>
      <w:pPr>
        <w:spacing w:after="80"/>
        <w:ind w:left="360"/>
      </w:pPr>
      <w:r>
        <w:rPr>
          <w:rFonts w:ascii="Arial" w:cs="Arial" w:eastAsia="Arial" w:hAnsi="Arial"/>
          <w:b/>
          <w:bCs/>
          <w:color w:val="2D5B9E"/>
          <w:sz w:val="20"/>
          <w:szCs w:val="20"/>
        </w:rPr>
        <w:t xml:space="preserve">Annuity_Factor = WACC ÷ (1 – (1 + WACC)^(–Project_Life))</w:t>
      </w:r>
    </w:p>
    <w:p>
      <w:pPr>
        <w:spacing w:after="80"/>
        <w:ind w:left="360"/>
      </w:pPr>
      <w:r>
        <w:rPr>
          <w:rFonts w:ascii="Arial" w:cs="Arial" w:eastAsia="Arial" w:hAnsi="Arial"/>
          <w:b/>
          <w:bCs/>
          <w:color w:val="2D5B9E"/>
          <w:sz w:val="20"/>
          <w:szCs w:val="20"/>
        </w:rPr>
        <w:t xml:space="preserve">Annual_Capital = CAPEX × Annuity_Factor</w:t>
      </w:r>
    </w:p>
    <w:p>
      <w:pPr>
        <w:spacing w:after="80"/>
        <w:ind w:left="360"/>
      </w:pPr>
      <w:r>
        <w:rPr>
          <w:rFonts w:ascii="Arial" w:cs="Arial" w:eastAsia="Arial" w:hAnsi="Arial"/>
          <w:b/>
          <w:bCs/>
          <w:color w:val="2D5B9E"/>
          <w:sz w:val="20"/>
          <w:szCs w:val="20"/>
        </w:rPr>
        <w:t xml:space="preserve">Capital_per_t = Annual_Capital ÷ CO2_Captured</w:t>
      </w:r>
    </w:p>
    <w:p>
      <w:pPr>
        <w:spacing w:after="80"/>
      </w:pPr>
      <w:r>
        <w:rPr>
          <w:rFonts w:ascii="Arial" w:cs="Arial" w:eastAsia="Arial" w:hAnsi="Arial"/>
          <w:b/>
          <w:bCs/>
          <w:color w:val="1B6B4A"/>
          <w:sz w:val="22"/>
          <w:szCs w:val="22"/>
        </w:rPr>
        <w:t xml:space="preserve">Step 6: </w:t>
      </w:r>
      <w:r>
        <w:rPr>
          <w:rFonts w:ascii="Arial" w:cs="Arial" w:eastAsia="Arial" w:hAnsi="Arial"/>
          <w:b/>
          <w:bCs/>
          <w:color w:val="1A1A2E"/>
          <w:sz w:val="22"/>
          <w:szCs w:val="22"/>
        </w:rPr>
        <w:t xml:space="preserve">Fixed O&amp;M</w:t>
      </w:r>
    </w:p>
    <w:p>
      <w:pPr>
        <w:spacing w:after="80"/>
        <w:ind w:left="360"/>
      </w:pPr>
      <w:r>
        <w:rPr>
          <w:rFonts w:ascii="Arial" w:cs="Arial" w:eastAsia="Arial" w:hAnsi="Arial"/>
          <w:b/>
          <w:bCs/>
          <w:color w:val="2D5B9E"/>
          <w:sz w:val="20"/>
          <w:szCs w:val="20"/>
        </w:rPr>
        <w:t xml:space="preserve">Operating_Labor = Ref_Op_Labor × Operator_Ratio × CEPCI_Ratio × Location_Ratio</w:t>
      </w:r>
    </w:p>
    <w:p>
      <w:pPr>
        <w:spacing w:after="120"/>
      </w:pPr>
      <w:r>
        <w:rPr>
          <w:rFonts w:ascii="Arial" w:cs="Arial" w:eastAsia="Arial" w:hAnsi="Arial"/>
          <w:color w:val="333333"/>
          <w:sz w:val="22"/>
          <w:szCs w:val="22"/>
        </w:rPr>
        <w:t xml:space="preserve">DAC plants are highly automated. Fewer operators per unit CO₂ than point sources. Solid sorbent is more modular (add operators with modules). Liquid solvent has a chemical plant structure (more traditional operator model).</w:t>
      </w:r>
    </w:p>
    <w:p>
      <w:pPr>
        <w:spacing w:after="80"/>
        <w:ind w:left="360"/>
      </w:pPr>
      <w:r>
        <w:rPr>
          <w:rFonts w:ascii="Arial" w:cs="Arial" w:eastAsia="Arial" w:hAnsi="Arial"/>
          <w:b/>
          <w:bCs/>
          <w:color w:val="2D5B9E"/>
          <w:sz w:val="20"/>
          <w:szCs w:val="20"/>
        </w:rPr>
        <w:t xml:space="preserve">Maintenance_Labor = Maint_Rate × Adj_TPC</w:t>
      </w:r>
    </w:p>
    <w:p>
      <w:pPr>
        <w:spacing w:after="80"/>
        <w:ind w:left="360"/>
      </w:pPr>
      <w:r>
        <w:rPr>
          <w:rFonts w:ascii="Arial" w:cs="Arial" w:eastAsia="Arial" w:hAnsi="Arial"/>
          <w:b/>
          <w:bCs/>
          <w:color w:val="2D5B9E"/>
          <w:sz w:val="20"/>
          <w:szCs w:val="20"/>
        </w:rPr>
        <w:t xml:space="preserve">Admin_Support = 0.30 × (Operating_Labor + Maintenance_Labor)</w:t>
      </w:r>
    </w:p>
    <w:p>
      <w:pPr>
        <w:spacing w:after="80"/>
        <w:ind w:left="360"/>
      </w:pPr>
      <w:r>
        <w:rPr>
          <w:rFonts w:ascii="Arial" w:cs="Arial" w:eastAsia="Arial" w:hAnsi="Arial"/>
          <w:b/>
          <w:bCs/>
          <w:color w:val="2D5B9E"/>
          <w:sz w:val="20"/>
          <w:szCs w:val="20"/>
        </w:rPr>
        <w:t xml:space="preserve">Property_Tax_Insurance = 0.02 × Adj_TPC</w:t>
      </w:r>
    </w:p>
    <w:p>
      <w:pPr>
        <w:spacing w:after="80"/>
        <w:ind w:left="360"/>
      </w:pPr>
      <w:r>
        <w:rPr>
          <w:rFonts w:ascii="Arial" w:cs="Arial" w:eastAsia="Arial" w:hAnsi="Arial"/>
          <w:b/>
          <w:bCs/>
          <w:color w:val="2D5B9E"/>
          <w:sz w:val="20"/>
          <w:szCs w:val="20"/>
        </w:rPr>
        <w:t xml:space="preserve">Total_Fixed_OM = Operating_Labor + Maintenance_Labor + Admin_Support + Property_Tax_Insurance</w:t>
      </w:r>
    </w:p>
    <w:p>
      <w:pPr>
        <w:spacing w:after="80"/>
        <w:ind w:left="360"/>
      </w:pPr>
      <w:r>
        <w:rPr>
          <w:rFonts w:ascii="Arial" w:cs="Arial" w:eastAsia="Arial" w:hAnsi="Arial"/>
          <w:b/>
          <w:bCs/>
          <w:color w:val="2D5B9E"/>
          <w:sz w:val="20"/>
          <w:szCs w:val="20"/>
        </w:rPr>
        <w:t xml:space="preserve">Fixed_OM_per_t = Total_Fixed_OM ÷ CO2_Captured</w:t>
      </w:r>
    </w:p>
    <w:p>
      <w:pPr>
        <w:spacing w:after="80"/>
      </w:pPr>
      <w:r>
        <w:rPr>
          <w:rFonts w:ascii="Arial" w:cs="Arial" w:eastAsia="Arial" w:hAnsi="Arial"/>
          <w:b/>
          <w:bCs/>
          <w:color w:val="1B6B4A"/>
          <w:sz w:val="22"/>
          <w:szCs w:val="22"/>
        </w:rPr>
        <w:t xml:space="preserve">Step 7: </w:t>
      </w:r>
      <w:r>
        <w:rPr>
          <w:rFonts w:ascii="Arial" w:cs="Arial" w:eastAsia="Arial" w:hAnsi="Arial"/>
          <w:b/>
          <w:bCs/>
          <w:color w:val="1A1A2E"/>
          <w:sz w:val="22"/>
          <w:szCs w:val="22"/>
        </w:rPr>
        <w:t xml:space="preserve">Variable O&amp;M</w:t>
      </w:r>
    </w:p>
    <w:p>
      <w:pPr>
        <w:spacing w:after="80"/>
        <w:ind w:left="360"/>
      </w:pPr>
      <w:r>
        <w:rPr>
          <w:rFonts w:ascii="Arial" w:cs="Arial" w:eastAsia="Arial" w:hAnsi="Arial"/>
          <w:b/>
          <w:bCs/>
          <w:color w:val="2D5B9E"/>
          <w:sz w:val="20"/>
          <w:szCs w:val="20"/>
        </w:rPr>
        <w:t xml:space="preserve">Maintenance_Material = Mat_Rate × Adj_TPC</w:t>
      </w:r>
    </w:p>
    <w:p>
      <w:pPr>
        <w:spacing w:after="80"/>
        <w:ind w:left="360"/>
      </w:pPr>
      <w:r>
        <w:rPr>
          <w:rFonts w:ascii="Arial" w:cs="Arial" w:eastAsia="Arial" w:hAnsi="Arial"/>
          <w:b/>
          <w:bCs/>
          <w:color w:val="2D5B9E"/>
          <w:sz w:val="20"/>
          <w:szCs w:val="20"/>
        </w:rPr>
        <w:t xml:space="preserve">CO2_Ratio = CO2_Captured ÷ Ref_CO2_Captured</w:t>
      </w:r>
    </w:p>
    <w:p>
      <w:pPr>
        <w:spacing w:after="120"/>
      </w:pPr>
      <w:r>
        <w:rPr>
          <w:rFonts w:ascii="Arial" w:cs="Arial" w:eastAsia="Arial" w:hAnsi="Arial"/>
          <w:color w:val="333333"/>
          <w:sz w:val="22"/>
          <w:szCs w:val="22"/>
        </w:rPr>
        <w:t xml:space="preserve">Dominant variable cost: sorbent replacement (solid — significant) or solvent makeup (liquid — less). Different consumable profile from point source amine.</w:t>
      </w:r>
    </w:p>
    <w:p>
      <w:pPr>
        <w:spacing w:after="80"/>
        <w:ind w:left="360"/>
      </w:pPr>
      <w:r>
        <w:rPr>
          <w:rFonts w:ascii="Arial" w:cs="Arial" w:eastAsia="Arial" w:hAnsi="Arial"/>
          <w:b/>
          <w:bCs/>
          <w:color w:val="2D5B9E"/>
          <w:sz w:val="20"/>
          <w:szCs w:val="20"/>
        </w:rPr>
        <w:t xml:space="preserve">Sorbent_or_Solvent = Ref_Sorbent × CO2_Ratio × CEPCI_Ratio</w:t>
      </w:r>
    </w:p>
    <w:p>
      <w:pPr>
        <w:spacing w:after="80"/>
        <w:ind w:left="360"/>
      </w:pPr>
      <w:r>
        <w:rPr>
          <w:rFonts w:ascii="Arial" w:cs="Arial" w:eastAsia="Arial" w:hAnsi="Arial"/>
          <w:b/>
          <w:bCs/>
          <w:color w:val="2D5B9E"/>
          <w:sz w:val="20"/>
          <w:szCs w:val="20"/>
        </w:rPr>
        <w:t xml:space="preserve">Water = Ref_Water × CO2_Ratio × CEPCI_Ratio</w:t>
      </w:r>
    </w:p>
    <w:p>
      <w:pPr>
        <w:spacing w:after="80"/>
        <w:ind w:left="360"/>
      </w:pPr>
      <w:r>
        <w:rPr>
          <w:rFonts w:ascii="Arial" w:cs="Arial" w:eastAsia="Arial" w:hAnsi="Arial"/>
          <w:b/>
          <w:bCs/>
          <w:color w:val="2D5B9E"/>
          <w:sz w:val="20"/>
          <w:szCs w:val="20"/>
        </w:rPr>
        <w:t xml:space="preserve">Total_Variable_OM = Maintenance_Material + Sorbent_or_Solvent + Water + Other</w:t>
      </w:r>
    </w:p>
    <w:p>
      <w:pPr>
        <w:spacing w:after="80"/>
        <w:ind w:left="360"/>
      </w:pPr>
      <w:r>
        <w:rPr>
          <w:rFonts w:ascii="Arial" w:cs="Arial" w:eastAsia="Arial" w:hAnsi="Arial"/>
          <w:b/>
          <w:bCs/>
          <w:color w:val="2D5B9E"/>
          <w:sz w:val="20"/>
          <w:szCs w:val="20"/>
        </w:rPr>
        <w:t xml:space="preserve">Variable_OM_per_t = Total_Variable_OM ÷ CO2_Captured</w:t>
      </w:r>
    </w:p>
    <w:p>
      <w:pPr>
        <w:spacing w:after="80"/>
      </w:pPr>
      <w:r>
        <w:rPr>
          <w:rFonts w:ascii="Arial" w:cs="Arial" w:eastAsia="Arial" w:hAnsi="Arial"/>
          <w:b/>
          <w:bCs/>
          <w:color w:val="1B6B4A"/>
          <w:sz w:val="22"/>
          <w:szCs w:val="22"/>
        </w:rPr>
        <w:t xml:space="preserve">Step 8: </w:t>
      </w:r>
      <w:r>
        <w:rPr>
          <w:rFonts w:ascii="Arial" w:cs="Arial" w:eastAsia="Arial" w:hAnsi="Arial"/>
          <w:b/>
          <w:bCs/>
          <w:color w:val="1A1A2E"/>
          <w:sz w:val="22"/>
          <w:szCs w:val="22"/>
        </w:rPr>
        <w:t xml:space="preserve">Power</w:t>
      </w:r>
    </w:p>
    <w:p>
      <w:pPr>
        <w:spacing w:after="80"/>
        <w:ind w:left="360"/>
      </w:pPr>
      <w:r>
        <w:rPr>
          <w:rFonts w:ascii="Arial" w:cs="Arial" w:eastAsia="Arial" w:hAnsi="Arial"/>
          <w:b/>
          <w:bCs/>
          <w:color w:val="2D5B9E"/>
          <w:sz w:val="20"/>
          <w:szCs w:val="20"/>
        </w:rPr>
        <w:t xml:space="preserve">Ref_MW = from IEAGHG 2024 (Tier 3 estimate)</w:t>
      </w:r>
    </w:p>
    <w:p>
      <w:pPr>
        <w:spacing w:after="80"/>
        <w:ind w:left="360"/>
      </w:pPr>
      <w:r>
        <w:rPr>
          <w:rFonts w:ascii="Arial" w:cs="Arial" w:eastAsia="Arial" w:hAnsi="Arial"/>
          <w:b/>
          <w:bCs/>
          <w:color w:val="2D5B9E"/>
          <w:sz w:val="20"/>
          <w:szCs w:val="20"/>
        </w:rPr>
        <w:t xml:space="preserve">Adj_MWh = Ref_Annual_MWh × CO2_Ratio × Tech_Power</w:t>
      </w:r>
    </w:p>
    <w:p>
      <w:pPr>
        <w:spacing w:after="80"/>
        <w:ind w:left="360"/>
      </w:pPr>
      <w:r>
        <w:rPr>
          <w:rFonts w:ascii="Arial" w:cs="Arial" w:eastAsia="Arial" w:hAnsi="Arial"/>
          <w:b/>
          <w:bCs/>
          <w:color w:val="2D5B9E"/>
          <w:sz w:val="20"/>
          <w:szCs w:val="20"/>
        </w:rPr>
        <w:t xml:space="preserve">Power_Cost = Adj_MWh × EIA_Elec_Price[User_State]</w:t>
      </w:r>
    </w:p>
    <w:p>
      <w:pPr>
        <w:spacing w:after="80"/>
        <w:ind w:left="360"/>
      </w:pPr>
      <w:r>
        <w:rPr>
          <w:rFonts w:ascii="Arial" w:cs="Arial" w:eastAsia="Arial" w:hAnsi="Arial"/>
          <w:b/>
          <w:bCs/>
          <w:color w:val="2D5B9E"/>
          <w:sz w:val="20"/>
          <w:szCs w:val="20"/>
        </w:rPr>
        <w:t xml:space="preserve">Power_per_t = Power_Cost ÷ CO2_Captured</w:t>
      </w:r>
    </w:p>
    <w:p>
      <w:pPr>
        <w:spacing w:after="120"/>
      </w:pPr>
      <w:r>
        <w:rPr>
          <w:rFonts w:ascii="Arial" w:cs="Arial" w:eastAsia="Arial" w:hAnsi="Arial"/>
          <w:color w:val="333333"/>
          <w:sz w:val="22"/>
          <w:szCs w:val="22"/>
        </w:rPr>
        <w:t xml:space="preserve">Fan power dominates (moving air at 420 ppm CO₂). Plus compression + ASU (liquid) + heat pump (solid, if electric).</w:t>
      </w:r>
    </w:p>
    <w:p>
      <w:pPr>
        <w:spacing w:after="80"/>
      </w:pPr>
      <w:r>
        <w:rPr>
          <w:rFonts w:ascii="Arial" w:cs="Arial" w:eastAsia="Arial" w:hAnsi="Arial"/>
          <w:b/>
          <w:bCs/>
          <w:color w:val="1B6B4A"/>
          <w:sz w:val="22"/>
          <w:szCs w:val="22"/>
        </w:rPr>
        <w:t xml:space="preserve">Step 9: </w:t>
      </w:r>
      <w:r>
        <w:rPr>
          <w:rFonts w:ascii="Arial" w:cs="Arial" w:eastAsia="Arial" w:hAnsi="Arial"/>
          <w:b/>
          <w:bCs/>
          <w:color w:val="1A1A2E"/>
          <w:sz w:val="22"/>
          <w:szCs w:val="22"/>
        </w:rPr>
        <w:t xml:space="preserve">Fuel — Non-Zero</w:t>
      </w:r>
    </w:p>
    <w:p>
      <w:pPr>
        <w:spacing w:after="80"/>
        <w:ind w:left="360"/>
      </w:pPr>
      <w:r>
        <w:rPr>
          <w:rFonts w:ascii="Arial" w:cs="Arial" w:eastAsia="Arial" w:hAnsi="Arial"/>
          <w:b/>
          <w:bCs/>
          <w:color w:val="2D5B9E"/>
          <w:sz w:val="20"/>
          <w:szCs w:val="20"/>
        </w:rPr>
        <w:t xml:space="preserve">Adj_Fuel_Cost = Ref_Fuel × (User_Gas_Price ÷ Ref_Gas_Price) × CO2_Ratio</w:t>
      </w:r>
    </w:p>
    <w:p>
      <w:pPr>
        <w:spacing w:after="80"/>
        <w:ind w:left="360"/>
      </w:pPr>
      <w:r>
        <w:rPr>
          <w:rFonts w:ascii="Arial" w:cs="Arial" w:eastAsia="Arial" w:hAnsi="Arial"/>
          <w:b/>
          <w:bCs/>
          <w:color w:val="2D5B9E"/>
          <w:sz w:val="20"/>
          <w:szCs w:val="20"/>
        </w:rPr>
        <w:t xml:space="preserve">Fuel_per_t = Adj_Fuel_Cost ÷ CO2_Captured</w:t>
      </w:r>
    </w:p>
    <w:p>
      <w:pPr>
        <w:spacing w:after="120"/>
      </w:pPr>
      <w:r>
        <w:rPr>
          <w:rFonts w:ascii="Arial" w:cs="Arial" w:eastAsia="Arial" w:hAnsi="Arial"/>
          <w:color w:val="333333"/>
          <w:sz w:val="22"/>
          <w:szCs w:val="22"/>
        </w:rPr>
        <w:t xml:space="preserve">NG for regeneration heat (solid sorbent at 80–120°C) or calciner (liquid solvent at 900°C).</w:t>
      </w:r>
    </w:p>
    <w:p>
      <w:pPr>
        <w:spacing w:after="80"/>
        <w:ind w:left="360"/>
      </w:pPr>
      <w:r>
        <w:rPr>
          <w:rFonts w:ascii="Arial" w:cs="Arial" w:eastAsia="Arial" w:hAnsi="Arial"/>
          <w:b/>
          <w:bCs/>
          <w:color w:val="2D5B9E"/>
          <w:sz w:val="20"/>
          <w:szCs w:val="20"/>
        </w:rPr>
        <w:t xml:space="preserve">If using waste heat or electric heat pump for solid: Fuel_per_t = $0</w:t>
      </w:r>
    </w:p>
    <w:p>
      <w:pPr>
        <w:spacing w:after="80"/>
      </w:pPr>
      <w:r>
        <w:rPr>
          <w:rFonts w:ascii="Arial" w:cs="Arial" w:eastAsia="Arial" w:hAnsi="Arial"/>
          <w:b/>
          <w:bCs/>
          <w:color w:val="1B6B4A"/>
          <w:sz w:val="22"/>
          <w:szCs w:val="22"/>
        </w:rPr>
        <w:t xml:space="preserve">Step 10: </w:t>
      </w:r>
      <w:r>
        <w:rPr>
          <w:rFonts w:ascii="Arial" w:cs="Arial" w:eastAsia="Arial" w:hAnsi="Arial"/>
          <w:b/>
          <w:bCs/>
          <w:color w:val="1A1A2E"/>
          <w:sz w:val="22"/>
          <w:szCs w:val="22"/>
        </w:rPr>
        <w:t xml:space="preserve">LCOC</w:t>
      </w:r>
    </w:p>
    <w:p>
      <w:pPr>
        <w:spacing w:after="80"/>
        <w:ind w:left="360"/>
      </w:pPr>
      <w:r>
        <w:rPr>
          <w:rFonts w:ascii="Arial" w:cs="Arial" w:eastAsia="Arial" w:hAnsi="Arial"/>
          <w:b/>
          <w:bCs/>
          <w:color w:val="2D5B9E"/>
          <w:sz w:val="20"/>
          <w:szCs w:val="20"/>
        </w:rPr>
        <w:t xml:space="preserve">LCOC = Capital + Fixed_OM + Variable_OM + Power + Fuel</w:t>
      </w:r>
    </w:p>
    <w:p>
      <w:pPr>
        <w:spacing w:after="120"/>
      </w:pPr>
      <w:r>
        <w:rPr>
          <w:rFonts w:ascii="Arial" w:cs="Arial" w:eastAsia="Arial" w:hAnsi="Arial"/>
          <w:color w:val="333333"/>
          <w:sz w:val="22"/>
          <w:szCs w:val="22"/>
        </w:rPr>
        <w:t xml:space="preserve">45Q at $180/t (not $85). FOAK $350–700/t solid, $250–500/t liquid. All five components non-zero (unless waste heat for solid sorbent zeros fuel). 100% CDR — every tonne is atmospheric removal.</w:t>
      </w:r>
    </w:p>
    <w:p>
      <w:r>
        <w:br w:type="page"/>
      </w:r>
    </w:p>
    <w:p>
      <w:pPr>
        <w:pStyle w:val="Heading1"/>
        <w:spacing w:before="360" w:after="160"/>
      </w:pPr>
      <w:r>
        <w:rPr>
          <w:rFonts w:ascii="Arial" w:cs="Arial" w:eastAsia="Arial" w:hAnsi="Arial"/>
          <w:b/>
          <w:bCs/>
          <w:color w:val="1B6B4A"/>
          <w:sz w:val="32"/>
          <w:szCs w:val="32"/>
        </w:rPr>
        <w:t xml:space="preserve">7. LCOC &amp; Financial Model</w:t>
      </w:r>
    </w:p>
    <w:p>
      <w:pPr>
        <w:pStyle w:val="Heading2"/>
        <w:spacing w:before="240" w:after="140"/>
      </w:pPr>
      <w:r>
        <w:rPr>
          <w:rFonts w:ascii="Arial" w:cs="Arial" w:eastAsia="Arial" w:hAnsi="Arial"/>
          <w:b/>
          <w:bCs/>
          <w:color w:val="1A1A2E"/>
          <w:sz w:val="26"/>
          <w:szCs w:val="26"/>
        </w:rPr>
        <w:t xml:space="preserve">7.1 LCOC Calculation</w:t>
      </w:r>
    </w:p>
    <w:p>
      <w:pPr>
        <w:spacing w:after="120"/>
      </w:pPr>
      <w:r>
        <w:rPr>
          <w:rFonts w:ascii="Arial" w:cs="Arial" w:eastAsia="Arial" w:hAnsi="Arial"/>
          <w:b/>
          <w:bCs/>
          <w:color w:val="333333"/>
          <w:sz w:val="22"/>
          <w:szCs w:val="22"/>
        </w:rPr>
        <w:t xml:space="preserve">LCOC = (CAPEX × Annuity Factor + Fixed O&amp;M + Variable O&amp;M + Power + Gas) ÷ Annual CO₂ Captured</w:t>
      </w:r>
    </w:p>
    <w:p>
      <w:pPr>
        <w:spacing w:after="120"/>
      </w:pPr>
      <w:r>
        <w:rPr>
          <w:rFonts w:ascii="Arial" w:cs="Arial" w:eastAsia="Arial" w:hAnsi="Arial"/>
          <w:color w:val="333333"/>
          <w:sz w:val="22"/>
          <w:szCs w:val="22"/>
        </w:rPr>
        <w:t xml:space="preserve">Annuity Factor = r ÷ (1 – (1+r)^(–n)), where r = discount rate and n = project life. This is the proper finite annuity formula. The previous model used CAPEX × rate (perpetuity assumption), which understates the capital.</w:t>
      </w:r>
    </w:p>
    <w:p>
      <w:pPr>
        <w:spacing w:after="120"/>
      </w:pPr>
      <w:r>
        <w:rPr>
          <w:rFonts w:ascii="Arial" w:cs="Arial" w:eastAsia="Arial" w:hAnsi="Arial"/>
          <w:color w:val="333333"/>
          <w:sz w:val="22"/>
          <w:szCs w:val="22"/>
        </w:rPr>
        <w:t xml:space="preserve">At 10% over 30 years: Annuity Factor = 0.1061 vs 0.10 in the old model (±6% difference).</w:t>
      </w:r>
    </w:p>
    <w:p>
      <w:pPr>
        <w:spacing w:after="120"/>
      </w:pPr>
      <w:r>
        <w:rPr>
          <w:rFonts w:ascii="Arial" w:cs="Arial" w:eastAsia="Arial" w:hAnsi="Arial"/>
          <w:color w:val="333333"/>
          <w:sz w:val="22"/>
          <w:szCs w:val="22"/>
        </w:rPr>
        <w:t xml:space="preserve">Annuity Factor varies by industry per NETL financial assumptions: Ammonia 5.51%, NGCC 7.73%, DAC 8.50%, etc.</w:t>
      </w:r>
    </w:p>
    <w:p>
      <w:pPr>
        <w:pStyle w:val="Heading2"/>
        <w:spacing w:before="240" w:after="140"/>
      </w:pPr>
      <w:r>
        <w:rPr>
          <w:rFonts w:ascii="Arial" w:cs="Arial" w:eastAsia="Arial" w:hAnsi="Arial"/>
          <w:b/>
          <w:bCs/>
          <w:color w:val="1A1A2E"/>
          <w:sz w:val="26"/>
          <w:szCs w:val="26"/>
        </w:rPr>
        <w:t xml:space="preserve">7.2 Year-by-Year Cash Flow</w:t>
      </w:r>
    </w:p>
    <w:p>
      <w:pPr>
        <w:pStyle w:val="ListParagraph"/>
        <w:numPr>
          <w:ilvl w:val="0"/>
          <w:numId w:val="2"/>
        </w:numPr>
        <w:spacing w:after="60"/>
      </w:pPr>
      <w:r>
        <w:rPr>
          <w:rFonts w:ascii="Arial" w:cs="Arial" w:eastAsia="Arial" w:hAnsi="Arial"/>
          <w:color w:val="333333"/>
          <w:sz w:val="22"/>
          <w:szCs w:val="22"/>
        </w:rPr>
        <w:t xml:space="preserve">Construction period: CAPEX distributed per NETL schedule, IDC accumulating</w:t>
      </w:r>
    </w:p>
    <w:p>
      <w:pPr>
        <w:pStyle w:val="ListParagraph"/>
        <w:numPr>
          <w:ilvl w:val="0"/>
          <w:numId w:val="2"/>
        </w:numPr>
        <w:spacing w:after="60"/>
      </w:pPr>
      <w:r>
        <w:rPr>
          <w:rFonts w:ascii="Arial" w:cs="Arial" w:eastAsia="Arial" w:hAnsi="Arial"/>
          <w:color w:val="333333"/>
          <w:sz w:val="22"/>
          <w:szCs w:val="22"/>
        </w:rPr>
        <w:t xml:space="preserve">Revenue: 45Q (with 12-year limit, inflation, transferability haircut) + VCM credits</w:t>
      </w:r>
    </w:p>
    <w:p>
      <w:pPr>
        <w:pStyle w:val="ListParagraph"/>
        <w:numPr>
          <w:ilvl w:val="0"/>
          <w:numId w:val="2"/>
        </w:numPr>
        <w:spacing w:after="60"/>
      </w:pPr>
      <w:r>
        <w:rPr>
          <w:rFonts w:ascii="Arial" w:cs="Arial" w:eastAsia="Arial" w:hAnsi="Arial"/>
          <w:color w:val="333333"/>
          <w:sz w:val="22"/>
          <w:szCs w:val="22"/>
        </w:rPr>
        <w:t xml:space="preserve">OPEX: escalating annually. Gas price from HH forward strip by operating year.</w:t>
      </w:r>
    </w:p>
    <w:p>
      <w:pPr>
        <w:pStyle w:val="ListParagraph"/>
        <w:numPr>
          <w:ilvl w:val="0"/>
          <w:numId w:val="2"/>
        </w:numPr>
        <w:spacing w:after="60"/>
      </w:pPr>
      <w:r>
        <w:rPr>
          <w:rFonts w:ascii="Arial" w:cs="Arial" w:eastAsia="Arial" w:hAnsi="Arial"/>
          <w:color w:val="333333"/>
          <w:sz w:val="22"/>
          <w:szCs w:val="22"/>
        </w:rPr>
        <w:t xml:space="preserve">Ramp-up: Years 1–2 at reduced capacity (default 70%/90%/100%)</w:t>
      </w:r>
    </w:p>
    <w:p>
      <w:pPr>
        <w:pStyle w:val="ListParagraph"/>
        <w:numPr>
          <w:ilvl w:val="0"/>
          <w:numId w:val="2"/>
        </w:numPr>
        <w:spacing w:after="60"/>
      </w:pPr>
      <w:r>
        <w:rPr>
          <w:rFonts w:ascii="Arial" w:cs="Arial" w:eastAsia="Arial" w:hAnsi="Arial"/>
          <w:color w:val="333333"/>
          <w:sz w:val="22"/>
          <w:szCs w:val="22"/>
        </w:rPr>
        <w:t xml:space="preserve">Depreciation: MACRS or bonus on basis reduced by 50% of ITC</w:t>
      </w:r>
    </w:p>
    <w:p>
      <w:pPr>
        <w:pStyle w:val="ListParagraph"/>
        <w:numPr>
          <w:ilvl w:val="0"/>
          <w:numId w:val="2"/>
        </w:numPr>
        <w:spacing w:after="60"/>
      </w:pPr>
      <w:r>
        <w:rPr>
          <w:rFonts w:ascii="Arial" w:cs="Arial" w:eastAsia="Arial" w:hAnsi="Arial"/>
          <w:color w:val="333333"/>
          <w:sz w:val="22"/>
          <w:szCs w:val="22"/>
        </w:rPr>
        <w:t xml:space="preserve">Taxes: max(0, (Revenue – OPEX – Depreciation – Interest) × effective rate)</w:t>
      </w:r>
    </w:p>
    <w:p>
      <w:pPr>
        <w:pStyle w:val="ListParagraph"/>
        <w:numPr>
          <w:ilvl w:val="0"/>
          <w:numId w:val="2"/>
        </w:numPr>
        <w:spacing w:after="60"/>
      </w:pPr>
      <w:r>
        <w:rPr>
          <w:rFonts w:ascii="Arial" w:cs="Arial" w:eastAsia="Arial" w:hAnsi="Arial"/>
          <w:color w:val="333333"/>
          <w:sz w:val="22"/>
          <w:szCs w:val="22"/>
        </w:rPr>
        <w:t xml:space="preserve">Net cash flow for NPV/IRR calculation</w:t>
      </w:r>
    </w:p>
    <w:p>
      <w:pPr>
        <w:pStyle w:val="Heading2"/>
        <w:spacing w:before="240" w:after="140"/>
      </w:pPr>
      <w:r>
        <w:rPr>
          <w:rFonts w:ascii="Arial" w:cs="Arial" w:eastAsia="Arial" w:hAnsi="Arial"/>
          <w:b/>
          <w:bCs/>
          <w:color w:val="1A1A2E"/>
          <w:sz w:val="26"/>
          <w:szCs w:val="26"/>
        </w:rPr>
        <w:t xml:space="preserve">7.3 Sensitivity Analysis</w:t>
      </w:r>
    </w:p>
    <w:p>
      <w:pPr>
        <w:pStyle w:val="ListParagraph"/>
        <w:numPr>
          <w:ilvl w:val="0"/>
          <w:numId w:val="2"/>
        </w:numPr>
        <w:spacing w:after="60"/>
      </w:pPr>
      <w:r>
        <w:rPr>
          <w:rFonts w:ascii="Arial" w:cs="Arial" w:eastAsia="Arial" w:hAnsi="Arial"/>
          <w:color w:val="333333"/>
          <w:sz w:val="22"/>
          <w:szCs w:val="22"/>
        </w:rPr>
        <w:t xml:space="preserve">Tornado chart: ±20% on each key variable, sorted by spread</w:t>
      </w:r>
    </w:p>
    <w:p>
      <w:pPr>
        <w:pStyle w:val="ListParagraph"/>
        <w:numPr>
          <w:ilvl w:val="0"/>
          <w:numId w:val="2"/>
        </w:numPr>
        <w:spacing w:after="60"/>
      </w:pPr>
      <w:r>
        <w:rPr>
          <w:rFonts w:ascii="Arial" w:cs="Arial" w:eastAsia="Arial" w:hAnsi="Arial"/>
          <w:color w:val="333333"/>
          <w:sz w:val="22"/>
          <w:szCs w:val="22"/>
        </w:rPr>
        <w:t xml:space="preserve">Sweep curves: 20 points across parameter range</w:t>
      </w:r>
    </w:p>
    <w:p>
      <w:pPr>
        <w:pStyle w:val="ListParagraph"/>
        <w:numPr>
          <w:ilvl w:val="0"/>
          <w:numId w:val="2"/>
        </w:numPr>
        <w:spacing w:after="60"/>
      </w:pPr>
      <w:r>
        <w:rPr>
          <w:rFonts w:ascii="Arial" w:cs="Arial" w:eastAsia="Arial" w:hAnsi="Arial"/>
          <w:color w:val="333333"/>
          <w:sz w:val="22"/>
          <w:szCs w:val="22"/>
        </w:rPr>
        <w:t xml:space="preserve">All calculations call calcLCOC — no inline math</w:t>
      </w:r>
    </w:p>
    <w:p>
      <w:pPr>
        <w:pStyle w:val="Heading2"/>
        <w:spacing w:before="240" w:after="140"/>
      </w:pPr>
      <w:r>
        <w:rPr>
          <w:rFonts w:ascii="Arial" w:cs="Arial" w:eastAsia="Arial" w:hAnsi="Arial"/>
          <w:b/>
          <w:bCs/>
          <w:color w:val="1A1A2E"/>
          <w:sz w:val="26"/>
          <w:szCs w:val="26"/>
        </w:rPr>
        <w:t xml:space="preserve">7.4 Monte Carlo Simulation</w:t>
      </w:r>
    </w:p>
    <w:p>
      <w:pPr>
        <w:pStyle w:val="ListParagraph"/>
        <w:numPr>
          <w:ilvl w:val="0"/>
          <w:numId w:val="2"/>
        </w:numPr>
        <w:spacing w:after="60"/>
      </w:pPr>
      <w:r>
        <w:rPr>
          <w:rFonts w:ascii="Arial" w:cs="Arial" w:eastAsia="Arial" w:hAnsi="Arial"/>
          <w:color w:val="333333"/>
          <w:sz w:val="22"/>
          <w:szCs w:val="22"/>
        </w:rPr>
        <w:t xml:space="preserve">User defines distributions for: electricity price, gas price, CF, CAPEX mult, WACC, 45Q rate, credit rates</w:t>
      </w:r>
    </w:p>
    <w:p>
      <w:pPr>
        <w:pStyle w:val="ListParagraph"/>
        <w:numPr>
          <w:ilvl w:val="0"/>
          <w:numId w:val="2"/>
        </w:numPr>
        <w:spacing w:after="60"/>
      </w:pPr>
      <w:r>
        <w:rPr>
          <w:rFonts w:ascii="Arial" w:cs="Arial" w:eastAsia="Arial" w:hAnsi="Arial"/>
          <w:color w:val="333333"/>
          <w:sz w:val="22"/>
          <w:szCs w:val="22"/>
        </w:rPr>
        <w:t xml:space="preserve">N iterations (default 1000), each calling calcLCOC</w:t>
      </w:r>
    </w:p>
    <w:p>
      <w:pPr>
        <w:pStyle w:val="ListParagraph"/>
        <w:numPr>
          <w:ilvl w:val="0"/>
          <w:numId w:val="2"/>
        </w:numPr>
        <w:spacing w:after="60"/>
      </w:pPr>
      <w:r>
        <w:rPr>
          <w:rFonts w:ascii="Arial" w:cs="Arial" w:eastAsia="Arial" w:hAnsi="Arial"/>
          <w:color w:val="333333"/>
          <w:sz w:val="22"/>
          <w:szCs w:val="22"/>
        </w:rPr>
        <w:t xml:space="preserve">Output: histogram, P10/P50/P90, scatter plots</w:t>
      </w:r>
    </w:p>
    <w:p>
      <w:r>
        <w:br w:type="page"/>
      </w:r>
    </w:p>
    <w:p>
      <w:pPr>
        <w:pStyle w:val="Heading1"/>
        <w:spacing w:before="360" w:after="160"/>
      </w:pPr>
      <w:r>
        <w:rPr>
          <w:rFonts w:ascii="Arial" w:cs="Arial" w:eastAsia="Arial" w:hAnsi="Arial"/>
          <w:b/>
          <w:bCs/>
          <w:color w:val="1B6B4A"/>
          <w:sz w:val="32"/>
          <w:szCs w:val="32"/>
        </w:rPr>
        <w:t xml:space="preserve">8. Technology Data</w:t>
      </w:r>
    </w:p>
    <w:p>
      <w:pPr>
        <w:spacing w:after="120"/>
      </w:pPr>
      <w:r>
        <w:rPr>
          <w:rFonts w:ascii="Arial" w:cs="Arial" w:eastAsia="Arial" w:hAnsi="Arial"/>
          <w:color w:val="333333"/>
          <w:sz w:val="22"/>
          <w:szCs w:val="22"/>
        </w:rPr>
        <w:t xml:space="preserve">9 capture technologies with multipliers relative to the amine (MEA) baseline. Compatible categories determine which technologies appear for each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900"/>
        <w:gridCol w:w="2700"/>
        <w:gridCol w:w="1100"/>
        <w:gridCol w:w="1260"/>
      </w:tblGrid>
      <w:tr>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Technology</w:t>
            </w:r>
          </w:p>
        </w:tc>
        <w:tc>
          <w:tcPr>
            <w:tcW w:type="dxa" w:w="9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CAPEX</w:t>
            </w:r>
          </w:p>
        </w:tc>
        <w:tc>
          <w:tcPr>
            <w:tcW w:type="dxa" w:w="9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OPEX</w:t>
            </w:r>
          </w:p>
        </w:tc>
        <w:tc>
          <w:tcPr>
            <w:tcW w:type="dxa" w:w="9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Power</w:t>
            </w:r>
          </w:p>
        </w:tc>
        <w:tc>
          <w:tcPr>
            <w:tcW w:type="dxa" w:w="27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Compatible With</w:t>
            </w:r>
          </w:p>
        </w:tc>
        <w:tc>
          <w:tcPr>
            <w:tcW w:type="dxa" w:w="11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Learning</w:t>
            </w:r>
          </w:p>
        </w:tc>
        <w:tc>
          <w:tcPr>
            <w:tcW w:type="dxa" w:w="12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Base Yr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Amine (MEA)</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HP, H₂, Industrial, Power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Advanced Amine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HP, H₂, Industrial, Power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Membrane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HP, H₂</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Cryogenic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Solid Sorbent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Industrial, Power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MOF</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0.65</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HP, H₂, Industrial, Power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2020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DAC Solid Sorbent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CDR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7%/yr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2020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DAC Liquid Solvent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0.85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CDR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2020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DOC Electrodialysis</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0.70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CDR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9%/yr</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2022</w:t>
            </w:r>
          </w:p>
        </w:tc>
      </w:tr>
    </w:tbl>
    <w:p>
      <w:pPr>
        <w:spacing w:after="120"/>
      </w:pPr>
      <w:r>
        <w:rPr>
          <w:rFonts w:ascii="Arial" w:cs="Arial" w:eastAsia="Arial" w:hAnsi="Arial"/>
          <w:color w:val="333333"/>
          <w:sz w:val="22"/>
          <w:szCs w:val="22"/>
        </w:rPr>
        <w:t xml:space="preserve">Learning rates interact with COD year: a project built in 2030 benefits from more cost reduction than one built in 2026.</w:t>
      </w:r>
    </w:p>
    <w:p>
      <w:r>
        <w:br w:type="page"/>
      </w:r>
    </w:p>
    <w:p>
      <w:pPr>
        <w:pStyle w:val="Heading1"/>
        <w:spacing w:before="360" w:after="160"/>
      </w:pPr>
      <w:r>
        <w:rPr>
          <w:rFonts w:ascii="Arial" w:cs="Arial" w:eastAsia="Arial" w:hAnsi="Arial"/>
          <w:b/>
          <w:bCs/>
          <w:color w:val="1B6B4A"/>
          <w:sz w:val="32"/>
          <w:szCs w:val="32"/>
        </w:rPr>
        <w:t xml:space="preserve">9. Embedded Data Tables</w:t>
      </w:r>
    </w:p>
    <w:p>
      <w:pPr>
        <w:spacing w:after="120"/>
      </w:pPr>
      <w:r>
        <w:rPr>
          <w:rFonts w:ascii="Arial" w:cs="Arial" w:eastAsia="Arial" w:hAnsi="Arial"/>
          <w:color w:val="333333"/>
          <w:sz w:val="22"/>
          <w:szCs w:val="22"/>
        </w:rPr>
        <w:t xml:space="preserve">The following data tables are embedded in the model as constants:</w:t>
      </w:r>
    </w:p>
    <w:p>
      <w:pPr>
        <w:pStyle w:val="ListParagraph"/>
        <w:numPr>
          <w:ilvl w:val="0"/>
          <w:numId w:val="2"/>
        </w:numPr>
        <w:spacing w:after="60"/>
      </w:pPr>
      <w:r>
        <w:rPr>
          <w:rFonts w:ascii="Arial" w:cs="Arial" w:eastAsia="Arial" w:hAnsi="Arial"/>
          <w:color w:val="333333"/>
          <w:sz w:val="22"/>
          <w:szCs w:val="22"/>
        </w:rPr>
        <w:t xml:space="preserve">Location factors by US state (RSMeans / NETL)</w:t>
      </w:r>
    </w:p>
    <w:p>
      <w:pPr>
        <w:pStyle w:val="ListParagraph"/>
        <w:numPr>
          <w:ilvl w:val="0"/>
          <w:numId w:val="2"/>
        </w:numPr>
        <w:spacing w:after="60"/>
      </w:pPr>
      <w:r>
        <w:rPr>
          <w:rFonts w:ascii="Arial" w:cs="Arial" w:eastAsia="Arial" w:hAnsi="Arial"/>
          <w:color w:val="333333"/>
          <w:sz w:val="22"/>
          <w:szCs w:val="22"/>
        </w:rPr>
        <w:t xml:space="preserve">Hub basis differentials by state (Bloomberg, range: –$1.79 WA to +$5.02 New England)</w:t>
      </w:r>
    </w:p>
    <w:p>
      <w:pPr>
        <w:pStyle w:val="ListParagraph"/>
        <w:numPr>
          <w:ilvl w:val="0"/>
          <w:numId w:val="2"/>
        </w:numPr>
        <w:spacing w:after="60"/>
      </w:pPr>
      <w:r>
        <w:rPr>
          <w:rFonts w:ascii="Arial" w:cs="Arial" w:eastAsia="Arial" w:hAnsi="Arial"/>
          <w:color w:val="333333"/>
          <w:sz w:val="22"/>
          <w:szCs w:val="22"/>
        </w:rPr>
        <w:t xml:space="preserve">CEPCI values by year (2018: 603.1 through 2026: 840.0 est)</w:t>
      </w:r>
    </w:p>
    <w:p>
      <w:pPr>
        <w:pStyle w:val="ListParagraph"/>
        <w:numPr>
          <w:ilvl w:val="0"/>
          <w:numId w:val="2"/>
        </w:numPr>
        <w:spacing w:after="60"/>
      </w:pPr>
      <w:r>
        <w:rPr>
          <w:rFonts w:ascii="Arial" w:cs="Arial" w:eastAsia="Arial" w:hAnsi="Arial"/>
          <w:color w:val="333333"/>
          <w:sz w:val="22"/>
          <w:szCs w:val="22"/>
        </w:rPr>
        <w:t xml:space="preserve">EIA industrial electricity prices by state (Table 5.6.a, 2024)</w:t>
      </w:r>
    </w:p>
    <w:p>
      <w:pPr>
        <w:pStyle w:val="ListParagraph"/>
        <w:numPr>
          <w:ilvl w:val="0"/>
          <w:numId w:val="2"/>
        </w:numPr>
        <w:spacing w:after="60"/>
      </w:pPr>
      <w:r>
        <w:rPr>
          <w:rFonts w:ascii="Arial" w:cs="Arial" w:eastAsia="Arial" w:hAnsi="Arial"/>
          <w:color w:val="333333"/>
          <w:sz w:val="22"/>
          <w:szCs w:val="22"/>
        </w:rPr>
        <w:t xml:space="preserve">State corporate tax rates (Enverus / Tax Foundation)</w:t>
      </w:r>
    </w:p>
    <w:p>
      <w:pPr>
        <w:pStyle w:val="ListParagraph"/>
        <w:numPr>
          <w:ilvl w:val="0"/>
          <w:numId w:val="2"/>
        </w:numPr>
        <w:spacing w:after="60"/>
      </w:pPr>
      <w:r>
        <w:rPr>
          <w:rFonts w:ascii="Arial" w:cs="Arial" w:eastAsia="Arial" w:hAnsi="Arial"/>
          <w:color w:val="333333"/>
          <w:sz w:val="22"/>
          <w:szCs w:val="22"/>
        </w:rPr>
        <w:t xml:space="preserve">Henry Hub forward price strip (Bloomberg, annual averages 2026–2038)</w:t>
      </w:r>
    </w:p>
    <w:p>
      <w:pPr>
        <w:pStyle w:val="ListParagraph"/>
        <w:numPr>
          <w:ilvl w:val="0"/>
          <w:numId w:val="2"/>
        </w:numPr>
        <w:spacing w:after="60"/>
      </w:pPr>
      <w:r>
        <w:rPr>
          <w:rFonts w:ascii="Arial" w:cs="Arial" w:eastAsia="Arial" w:hAnsi="Arial"/>
          <w:color w:val="333333"/>
          <w:sz w:val="22"/>
          <w:szCs w:val="22"/>
        </w:rPr>
        <w:t xml:space="preserve">MACRS depreciation schedules (Bonus 100%, 5/7/10/15/20-yr, straight-line)</w:t>
      </w:r>
    </w:p>
    <w:p>
      <w:pPr>
        <w:pStyle w:val="ListParagraph"/>
        <w:numPr>
          <w:ilvl w:val="0"/>
          <w:numId w:val="2"/>
        </w:numPr>
        <w:spacing w:after="60"/>
      </w:pPr>
      <w:r>
        <w:rPr>
          <w:rFonts w:ascii="Arial" w:cs="Arial" w:eastAsia="Arial" w:hAnsi="Arial"/>
          <w:color w:val="333333"/>
          <w:sz w:val="22"/>
          <w:szCs w:val="22"/>
        </w:rPr>
        <w:t xml:space="preserve">NETL reference costs by account for each source/technology/CR/BT combination</w:t>
      </w:r>
    </w:p>
    <w:p>
      <w:pPr>
        <w:pStyle w:val="ListParagraph"/>
        <w:numPr>
          <w:ilvl w:val="0"/>
          <w:numId w:val="2"/>
        </w:numPr>
        <w:spacing w:after="60"/>
      </w:pPr>
      <w:r>
        <w:rPr>
          <w:rFonts w:ascii="Arial" w:cs="Arial" w:eastAsia="Arial" w:hAnsi="Arial"/>
          <w:color w:val="333333"/>
          <w:sz w:val="22"/>
          <w:szCs w:val="22"/>
        </w:rPr>
        <w:t xml:space="preserve">NETL scaling exponents by equipment account</w:t>
      </w:r>
    </w:p>
    <w:p>
      <w:pPr>
        <w:pStyle w:val="ListParagraph"/>
        <w:numPr>
          <w:ilvl w:val="0"/>
          <w:numId w:val="2"/>
        </w:numPr>
        <w:spacing w:after="60"/>
      </w:pPr>
      <w:r>
        <w:rPr>
          <w:rFonts w:ascii="Arial" w:cs="Arial" w:eastAsia="Arial" w:hAnsi="Arial"/>
          <w:color w:val="333333"/>
          <w:sz w:val="22"/>
          <w:szCs w:val="22"/>
        </w:rPr>
        <w:t xml:space="preserve">Retrofit difficulty factors by account (NETL QGESS)</w:t>
      </w:r>
    </w:p>
    <w:p>
      <w:pPr>
        <w:pStyle w:val="ListParagraph"/>
        <w:numPr>
          <w:ilvl w:val="0"/>
          <w:numId w:val="2"/>
        </w:numPr>
        <w:spacing w:after="60"/>
      </w:pPr>
      <w:r>
        <w:rPr>
          <w:rFonts w:ascii="Arial" w:cs="Arial" w:eastAsia="Arial" w:hAnsi="Arial"/>
          <w:color w:val="333333"/>
          <w:sz w:val="22"/>
          <w:szCs w:val="22"/>
        </w:rPr>
        <w:t xml:space="preserve">NETL sector-specific financial assumptions (construction years, CAPEX distribution, debt/equity, Annuity Factor, TASC/CAPEX, project life)</w:t>
      </w:r>
    </w:p>
    <w:p>
      <w:pPr>
        <w:pStyle w:val="ListParagraph"/>
        <w:numPr>
          <w:ilvl w:val="0"/>
          <w:numId w:val="2"/>
        </w:numPr>
        <w:spacing w:after="60"/>
      </w:pPr>
      <w:r>
        <w:rPr>
          <w:rFonts w:ascii="Arial" w:cs="Arial" w:eastAsia="Arial" w:hAnsi="Arial"/>
          <w:color w:val="333333"/>
          <w:sz w:val="22"/>
          <w:szCs w:val="22"/>
        </w:rPr>
        <w:t xml:space="preserve">Technology compatibility matrix (which technologies apply to which source categories)</w:t>
      </w:r>
    </w:p>
    <w:p>
      <w:pPr>
        <w:pStyle w:val="ListParagraph"/>
        <w:numPr>
          <w:ilvl w:val="0"/>
          <w:numId w:val="2"/>
        </w:numPr>
        <w:spacing w:after="60"/>
      </w:pPr>
      <w:r>
        <w:rPr>
          <w:rFonts w:ascii="Arial" w:cs="Arial" w:eastAsia="Arial" w:hAnsi="Arial"/>
          <w:color w:val="333333"/>
          <w:sz w:val="22"/>
          <w:szCs w:val="22"/>
        </w:rPr>
        <w:t xml:space="preserve">Default credits: 45Q and 48C credit structures and rules, VCM credit types and reference prices</w:t>
      </w:r>
    </w:p>
    <w:p>
      <w:pPr>
        <w:pStyle w:val="ListParagraph"/>
        <w:numPr>
          <w:ilvl w:val="0"/>
          <w:numId w:val="2"/>
        </w:numPr>
        <w:spacing w:after="60"/>
      </w:pPr>
      <w:r>
        <w:rPr>
          <w:rFonts w:ascii="Arial" w:cs="Arial" w:eastAsia="Arial" w:hAnsi="Arial"/>
          <w:color w:val="333333"/>
          <w:sz w:val="22"/>
          <w:szCs w:val="22"/>
        </w:rPr>
        <w:t xml:space="preserve">Optional credits: 45V rates and CI thresholds, 45Z credit structure, RIN types and values, LCFS CI scoring</w:t>
      </w:r>
    </w:p>
    <w:p>
      <w:pPr>
        <w:pStyle w:val="ListParagraph"/>
        <w:numPr>
          <w:ilvl w:val="0"/>
          <w:numId w:val="2"/>
        </w:numPr>
        <w:spacing w:after="60"/>
      </w:pPr>
      <w:r>
        <w:rPr>
          <w:rFonts w:ascii="Arial" w:cs="Arial" w:eastAsia="Arial" w:hAnsi="Arial"/>
          <w:color w:val="333333"/>
          <w:sz w:val="22"/>
          <w:szCs w:val="22"/>
        </w:rPr>
        <w:t xml:space="preserve">State-level raw gas CO₂ content defaults for natural gas processing (basin-mapped)</w:t>
      </w:r>
    </w:p>
    <w:p>
      <w:pPr>
        <w:pStyle w:val="Heading2"/>
        <w:spacing w:before="240" w:after="140"/>
      </w:pPr>
      <w:r>
        <w:rPr>
          <w:rFonts w:ascii="Arial" w:cs="Arial" w:eastAsia="Arial" w:hAnsi="Arial"/>
          <w:b/>
          <w:bCs/>
          <w:color w:val="1A1A2E"/>
          <w:sz w:val="26"/>
          <w:szCs w:val="26"/>
        </w:rPr>
        <w:t xml:space="preserve">9.1 NGP State-Level Raw Gas CO₂ Content Defaults</w:t>
      </w:r>
    </w:p>
    <w:p>
      <w:pPr>
        <w:spacing w:after="120"/>
      </w:pPr>
      <w:r>
        <w:rPr>
          <w:rFonts w:ascii="Arial" w:cs="Arial" w:eastAsia="Arial" w:hAnsi="Arial"/>
          <w:color w:val="333333"/>
          <w:sz w:val="22"/>
          <w:szCs w:val="22"/>
        </w:rPr>
        <w:t xml:space="preserve">Default raw gas CO₂ content by state, mapped from dominant producing basins. All values user-overridable. Used in the three-variable back-solve chain for natural gas processing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CO₂ Default</w:t>
            </w:r>
          </w:p>
        </w:tc>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Dominant Basin(s)</w:t>
            </w:r>
          </w:p>
        </w:tc>
        <w:tc>
          <w:tcPr>
            <w:tcW w:type="dxa" w:w="4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Permian, Eagle Ford, Haynesville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Weighted average. Permian has higher CO₂ (5–12%), Eagle Ford/Haynesville lower (1–3%).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Permian (Delaware Basin)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Delaware Basin tends toward higher CO₂ than Midland Basin.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Green River, Wind River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LaBarge field is an extreme outlier at &gt;60%. Default excludes LaBarge.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Piceance, DJ Basin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Moderate CO₂ content.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Anadarko, SCOOP/STACK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Generally low to moderate CO₂.</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Haynesville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Low CO₂ content.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PA/WV/OH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&lt;1%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Marcellus, Utica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Very low CO₂. Small capture volumes. Weak economics.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Bakken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Associated gas processing.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KS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Hugoton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Mature basin, moderate CO₂.</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Uinta</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Moderate CO₂.</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Other states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National average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States without significant gas processing default to national average.</w:t>
            </w:r>
          </w:p>
        </w:tc>
      </w:tr>
    </w:tbl>
    <w:p>
      <w:pPr>
        <w:pStyle w:val="Heading2"/>
        <w:spacing w:before="240" w:after="140"/>
      </w:pPr>
      <w:r>
        <w:rPr>
          <w:rFonts w:ascii="Arial" w:cs="Arial" w:eastAsia="Arial" w:hAnsi="Arial"/>
          <w:b/>
          <w:bCs/>
          <w:color w:val="1A1A2E"/>
          <w:sz w:val="26"/>
          <w:szCs w:val="26"/>
        </w:rPr>
        <w:t xml:space="preserve">8.1 Emission Factor Reference Table</w:t>
      </w:r>
    </w:p>
    <w:p>
      <w:pPr>
        <w:spacing w:after="120"/>
      </w:pPr>
      <w:r>
        <w:rPr>
          <w:rFonts w:ascii="Arial" w:cs="Arial" w:eastAsia="Arial" w:hAnsi="Arial"/>
          <w:color w:val="333333"/>
          <w:sz w:val="22"/>
          <w:szCs w:val="22"/>
        </w:rPr>
        <w:t xml:space="preserve">Default emission factors for each source. All values user-overridable. Used in the back-solve chain to convert between plant capacity, annual output, CO₂ produced, and CO₂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100"/>
        <w:gridCol w:w="1100"/>
        <w:gridCol w:w="1100"/>
        <w:gridCol w:w="3060"/>
      </w:tblGrid>
      <w:tr>
        <w:tc>
          <w:tcPr>
            <w:tcW w:type="dxa" w:w="1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w:t>
            </w:r>
          </w:p>
        </w:tc>
        <w:tc>
          <w:tcPr>
            <w:tcW w:type="dxa" w:w="11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 EF</w:t>
            </w:r>
          </w:p>
        </w:tc>
        <w:tc>
          <w:tcPr>
            <w:tcW w:type="dxa" w:w="11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Process/Syngas</w:t>
            </w:r>
          </w:p>
        </w:tc>
        <w:tc>
          <w:tcPr>
            <w:tcW w:type="dxa" w:w="11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Flue Gas</w:t>
            </w:r>
          </w:p>
        </w:tc>
        <w:tc>
          <w:tcPr>
            <w:tcW w:type="dxa" w:w="30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(SMR)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NH₃</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1.24 (66%)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0.63 (34%)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KBR reference. Syngas from CO₂ stripper, flue gas from primary reformer.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(ATR)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NH₃</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~1.78 (95%)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~0.09 (5%)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Nearly all CO₂ in syngas. Minor emissions from feed preheater.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Refinery H₂ (SMR)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H₂</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~5.7 (60%)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~3.8 (40%)</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Depends on configuration. NETL reference uses NG feed.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Merchant H₂ (ATR)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H₂</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~9.0 (95%)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 (5%)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Nearly all in syngas stream.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Ethylene Oxide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EO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0.283+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0.283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Process CO₂ from oxidation side reaction. Depends on catalyst selectivity (80–90%).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Ethanol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CO₂/gal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~0.00527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0.00243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~0.00284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Fermentation: NETL ref (85% of stoichiometric 0.00287). Combustion: ~45% of on-site total.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 Processing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CO₂/MMSCF</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varies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varies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Depends on raw gas CO₂ content (field-specific).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cement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~0.55 (59%)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~0.38 (41%)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Process = calcination. Combustion = kiln fuel.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Steel (BOF)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steel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varies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varies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Multiple streams. Split depends on plant config.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Pulp/Paper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CO₂/t pulp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Combustion flue gas. Biogenic fraction.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NGCC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CO₂/MMBtu</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0.05306</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0.05306</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Via heat rate: MW × CF × 8760 × HR × EF.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CO₂/MMBtu</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0.09552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0.09552</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Via heat rate: MW × CF × 8760 × HR × EF.</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Biomass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CO₂/MMBtu</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 (biogenic)</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 (biogenic)</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CO₂ still physically produced and captured, but biogenic.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CO₂/BPD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 NETL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 NETL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Multiple AGR streams at different pressures.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GTL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 CO₂/BPD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 NETL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per NETL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Single AGR stream.</w:t>
            </w:r>
          </w:p>
        </w:tc>
      </w:tr>
    </w:tbl>
    <w:p>
      <w:pPr>
        <w:spacing w:after="200"/>
      </w:pPr>
      <w:r>
        <w:rPr>
          <w:rFonts w:ascii="Arial" w:cs="Arial" w:eastAsia="Arial" w:hAnsi="Arial"/>
          <w:color w:val="333333"/>
          <w:sz w:val="22"/>
          <w:szCs w:val="22"/>
        </w:rPr>
        <w:t xml:space="preserve">All emission factors are sourced from NETL reference studies and published literature. Values marked require further research. Power plant sources use the combustion formula (MW × CF × 8760 × heat rate × emission factor) rather than a simple ratio.</w:t>
      </w:r>
    </w:p>
    <w:p>
      <w:r>
        <w:br w:type="page"/>
      </w:r>
    </w:p>
    <w:p>
      <w:pPr>
        <w:pStyle w:val="Heading1"/>
        <w:spacing w:before="360" w:after="160"/>
      </w:pPr>
      <w:r>
        <w:rPr>
          <w:rFonts w:ascii="Arial" w:cs="Arial" w:eastAsia="Arial" w:hAnsi="Arial"/>
          <w:b/>
          <w:bCs/>
          <w:color w:val="1B6B4A"/>
          <w:sz w:val="32"/>
          <w:szCs w:val="32"/>
        </w:rPr>
        <w:t xml:space="preserve">10. Derived Constants &amp; Methodology</w:t>
      </w:r>
    </w:p>
    <w:p>
      <w:pPr>
        <w:spacing w:after="120"/>
      </w:pPr>
      <w:r>
        <w:rPr>
          <w:rFonts w:ascii="Arial" w:cs="Arial" w:eastAsia="Arial" w:hAnsi="Arial"/>
          <w:color w:val="333333"/>
          <w:sz w:val="22"/>
          <w:szCs w:val="22"/>
        </w:rPr>
        <w:t xml:space="preserve">This section documents constants that are not directly from a single source but are derived from NETL data through calculation. Each constant is stored in the model code with its derivation formula as a comment. All are user-overridable.</w:t>
      </w:r>
    </w:p>
    <w:p>
      <w:pPr>
        <w:pStyle w:val="Heading2"/>
        <w:spacing w:before="240" w:after="140"/>
      </w:pPr>
      <w:r>
        <w:rPr>
          <w:rFonts w:ascii="Arial" w:cs="Arial" w:eastAsia="Arial" w:hAnsi="Arial"/>
          <w:b/>
          <w:bCs/>
          <w:color w:val="1A1A2E"/>
          <w:sz w:val="26"/>
          <w:szCs w:val="26"/>
        </w:rPr>
        <w:t xml:space="preserve">10.1 Emission Factors (Corrected)</w:t>
      </w:r>
    </w:p>
    <w:p>
      <w:pPr>
        <w:spacing w:after="120"/>
      </w:pPr>
      <w:r>
        <w:rPr>
          <w:rFonts w:ascii="Arial" w:cs="Arial" w:eastAsia="Arial" w:hAnsi="Arial"/>
          <w:color w:val="333333"/>
          <w:sz w:val="22"/>
          <w:szCs w:val="22"/>
        </w:rPr>
        <w:t xml:space="preserve">Emission factors are calculated as: EF = NETL Reference CO₂ ÷ (Reference Capacity × Reference CF). The NETL study reports annual CO₂ at the reference capacity factor, not at nameplate. Previous model versions divided by nameplate only, understating the 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400"/>
        <w:gridCol w:w="1400"/>
        <w:gridCol w:w="2960"/>
      </w:tblGrid>
      <w:tr>
        <w:tc>
          <w:tcPr>
            <w:tcW w:type="dxa" w:w="1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Old EF</w:t>
            </w:r>
          </w:p>
        </w:tc>
        <w:tc>
          <w:tcPr>
            <w:tcW w:type="dxa" w:w="10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Corrected</w:t>
            </w:r>
          </w:p>
        </w:tc>
        <w:tc>
          <w:tcPr>
            <w:tcW w:type="dxa" w:w="1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NETL CO₂ (t/yr)</w:t>
            </w:r>
          </w:p>
        </w:tc>
        <w:tc>
          <w:tcPr>
            <w:tcW w:type="dxa" w:w="1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 Cap × CF</w:t>
            </w:r>
          </w:p>
        </w:tc>
        <w:tc>
          <w:tcPr>
            <w:tcW w:type="dxa" w:w="29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Derivation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syngas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1.24</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1.233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413,164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394,000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413,164 ÷ 334,900 = 1.233</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total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1.87</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1.868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Derived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1.233 ÷ 0.66 (syngas split) = 1.868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Ethylene Oxide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0.283</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0.333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103,276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364,500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103,276 ÷ 309,825 = 0.333. 18% higher than old.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Ethanol (ferm)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0.00243</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0.00286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121,586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50M gal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121,586 ÷ 42.5M = 0.00286. Now matches stoichiometric 0.00287.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Cement (kiln 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0.93</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~0.955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~1,055,480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1.3M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total 1,213,802 includes boiler CO₂. Remove ~15% boiler portion.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Cement (w/ boiler)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N/A</w:t>
            </w:r>
          </w:p>
        </w:tc>
        <w:tc>
          <w:tcPr>
            <w:tcW w:type="dxa" w:w="10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1.099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1,213,802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1.3M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1,213,802 ÷ 1,105,000 = 1.099. Includes boiler CO₂.</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Refinery H₂</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w:t>
            </w:r>
          </w:p>
        </w:tc>
        <w:tc>
          <w:tcPr>
            <w:tcW w:type="dxa" w:w="10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87,000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verification from NETL Exhibit 6-5.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Pulp &amp; Paper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w:t>
            </w:r>
          </w:p>
        </w:tc>
        <w:tc>
          <w:tcPr>
            <w:tcW w:type="dxa" w:w="1000"/>
            <w:tcBorders>
              <w:top w:val="single" w:color="CCCCCC" w:sz="1"/>
              <w:left w:val="single" w:color="CCCCCC" w:sz="1"/>
              <w:bottom w:val="single" w:color="CCCCCC" w:sz="1"/>
              <w:right w:val="single" w:color="CCCCCC" w:sz="1"/>
            </w:tcBorders>
            <w:shd w:fill="F4CCCC" w:val="clear"/>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400,000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verification from NETL Exhibit 6-24.</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Steel (captured)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~1.47</w:t>
            </w:r>
          </w:p>
        </w:tc>
        <w:tc>
          <w:tcPr>
            <w:tcW w:type="dxa" w:w="1000"/>
            <w:tcBorders>
              <w:top w:val="single" w:color="CCCCCC" w:sz="1"/>
              <w:left w:val="single" w:color="CCCCCC" w:sz="1"/>
              <w:bottom w:val="single" w:color="CCCCCC" w:sz="1"/>
              <w:right w:val="single" w:color="CCCCCC" w:sz="1"/>
            </w:tcBorders>
            <w:shd w:fill="FFEB9C"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0.669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1,299,514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2.54M × 0.85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1,299,514 ÷ 0.90 (CR) ÷ 2,159,000 = 0.669 (produced, selected streams)</w:t>
            </w:r>
          </w:p>
        </w:tc>
      </w:tr>
    </w:tbl>
    <w:p>
      <w:pPr>
        <w:pStyle w:val="Heading2"/>
        <w:spacing w:before="240" w:after="140"/>
      </w:pPr>
      <w:r>
        <w:rPr>
          <w:rFonts w:ascii="Arial" w:cs="Arial" w:eastAsia="Arial" w:hAnsi="Arial"/>
          <w:b/>
          <w:bCs/>
          <w:color w:val="1A1A2E"/>
          <w:sz w:val="26"/>
          <w:szCs w:val="26"/>
        </w:rPr>
        <w:t xml:space="preserve">10.2 Owner’s Cost Methodology</w:t>
      </w:r>
    </w:p>
    <w:p>
      <w:pPr>
        <w:spacing w:after="120"/>
      </w:pPr>
      <w:r>
        <w:rPr>
          <w:rFonts w:ascii="Arial" w:cs="Arial" w:eastAsia="Arial" w:hAnsi="Arial"/>
          <w:color w:val="333333"/>
          <w:sz w:val="22"/>
          <w:szCs w:val="22"/>
        </w:rPr>
        <w:t xml:space="preserve">Owner’s costs bridge from TPC (Total Plant Cost) to CAPEX (Total Capital Investment). Calculated per the NETL QGESS Cost Estimation Methodology, not as a blanket percentage. Each component has its own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46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Formula</w:t>
            </w:r>
          </w:p>
        </w:tc>
        <w:tc>
          <w:tcPr>
            <w:tcW w:type="dxa" w:w="2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Typical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Preproduction Costs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 months fixed O&amp;M + 1 month variable O&amp;M + 25% of 1 month fuel + 2% of TPC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~3–5% of TPC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Inventory Capital</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 of TPC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0.5%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Land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Fixed $ amount per source (acreage × $/acre). Does not scale with plant size.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~$100–300K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Financing Costs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2.7% of TPC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Other Owner’s Costs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 of TPC</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Total Owner’s Costs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Sum of above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~21–23% of TPC</w:t>
            </w:r>
          </w:p>
        </w:tc>
      </w:tr>
    </w:tbl>
    <w:p>
      <w:pPr>
        <w:spacing w:after="120"/>
      </w:pPr>
      <w:r>
        <w:rPr>
          <w:rFonts w:ascii="Arial" w:cs="Arial" w:eastAsia="Arial" w:hAnsi="Arial"/>
          <w:color w:val="333333"/>
          <w:sz w:val="22"/>
          <w:szCs w:val="22"/>
        </w:rPr>
        <w:t xml:space="preserve">The preproduction component varies by source because it depends on fixed O&amp;M, variable O&amp;M, and fuel — all of which differ between sources. High-purity sources (ammonia syngas, EO, ethanol) have lower O&amp;M and no fuel, so preproduction is lower. Low-purity sources (cement, steel) with NG boilers have higher O&amp;M and fuel, so preproduction is higher.</w:t>
      </w:r>
    </w:p>
    <w:p>
      <w:pPr>
        <w:spacing w:after="120"/>
      </w:pPr>
      <w:r>
        <w:rPr>
          <w:rFonts w:ascii="Arial" w:cs="Arial" w:eastAsia="Arial" w:hAnsi="Arial"/>
          <w:color w:val="333333"/>
          <w:sz w:val="22"/>
          <w:szCs w:val="22"/>
        </w:rPr>
        <w:t xml:space="preserve">In the model, owner’s costs are calculated from the adjusted TPC and adjusted O&amp;M values — not scaled separately from the NETL reference. This ensures they automatically reflect the user’s project size, location, and cost year.</w:t>
      </w:r>
    </w:p>
    <w:p>
      <w:pPr>
        <w:spacing w:after="120"/>
      </w:pPr>
      <w:r>
        <w:rPr>
          <w:rFonts w:ascii="Arial" w:cs="Arial" w:eastAsia="Arial" w:hAnsi="Arial"/>
          <w:b/>
          <w:bCs/>
          <w:color w:val="1B6B4A"/>
          <w:sz w:val="22"/>
          <w:szCs w:val="22"/>
        </w:rPr>
        <w:t xml:space="preserve">Back-Calculated Validation (Ammonia): </w:t>
      </w:r>
    </w:p>
    <w:p>
      <w:pPr>
        <w:spacing w:after="80"/>
        <w:ind w:left="360"/>
      </w:pPr>
      <w:r>
        <w:rPr>
          <w:rFonts w:ascii="Arial" w:cs="Arial" w:eastAsia="Arial" w:hAnsi="Arial"/>
          <w:b/>
          <w:bCs/>
          <w:color w:val="2D5B9E"/>
          <w:sz w:val="20"/>
          <w:szCs w:val="20"/>
        </w:rPr>
        <w:t xml:space="preserve">NETL Capital = $6.1/t at Annuity Factor 5.51%, CO₂ = 413,164 t/yr</w:t>
      </w:r>
    </w:p>
    <w:p>
      <w:pPr>
        <w:spacing w:after="80"/>
        <w:ind w:left="360"/>
      </w:pPr>
      <w:r>
        <w:rPr>
          <w:rFonts w:ascii="Arial" w:cs="Arial" w:eastAsia="Arial" w:hAnsi="Arial"/>
          <w:b/>
          <w:bCs/>
          <w:color w:val="2D5B9E"/>
          <w:sz w:val="20"/>
          <w:szCs w:val="20"/>
        </w:rPr>
        <w:t xml:space="preserve">CAPEX = $6.1 × 413,164 ÷ 0.0551 = $45,738K</w:t>
      </w:r>
    </w:p>
    <w:p>
      <w:pPr>
        <w:spacing w:after="80"/>
        <w:ind w:left="360"/>
      </w:pPr>
      <w:r>
        <w:rPr>
          <w:rFonts w:ascii="Arial" w:cs="Arial" w:eastAsia="Arial" w:hAnsi="Arial"/>
          <w:b/>
          <w:bCs/>
          <w:color w:val="2D5B9E"/>
          <w:sz w:val="20"/>
          <w:szCs w:val="20"/>
        </w:rPr>
        <w:t xml:space="preserve">TPC = $37,347K (from Exhibit 5-6)</w:t>
      </w:r>
    </w:p>
    <w:p>
      <w:pPr>
        <w:spacing w:after="80"/>
        <w:ind w:left="360"/>
      </w:pPr>
      <w:r>
        <w:rPr>
          <w:rFonts w:ascii="Arial" w:cs="Arial" w:eastAsia="Arial" w:hAnsi="Arial"/>
          <w:b/>
          <w:bCs/>
          <w:color w:val="2D5B9E"/>
          <w:sz w:val="20"/>
          <w:szCs w:val="20"/>
        </w:rPr>
        <w:t xml:space="preserve">Owner’s Costs = $45,738 – $37,347 = $8,391K = 22.5% of TPC</w:t>
      </w:r>
    </w:p>
    <w:p>
      <w:pPr>
        <w:spacing w:after="120"/>
      </w:pPr>
      <w:r>
        <w:rPr>
          <w:rFonts w:ascii="Arial" w:cs="Arial" w:eastAsia="Arial" w:hAnsi="Arial"/>
          <w:color w:val="333333"/>
          <w:sz w:val="22"/>
          <w:szCs w:val="22"/>
        </w:rPr>
        <w:t xml:space="preserve">Owner’s cost ratios by source (back-calculated from NETL COC where available, QGESS formula where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2360"/>
      </w:tblGrid>
      <w:tr>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TPC ($K)</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CAPEX ($K)</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Owner’s ($K)</w:t>
            </w:r>
          </w:p>
        </w:tc>
        <w:tc>
          <w:tcPr>
            <w:tcW w:type="dxa" w:w="1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OC % TPC</w:t>
            </w:r>
          </w:p>
        </w:tc>
        <w:tc>
          <w:tcPr>
            <w:tcW w:type="dxa" w:w="2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(syngas)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$37,347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$45,738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$8,391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22.5%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Back-calc from COC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Ethylene Oxide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5-11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Ethanol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5-13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 Processing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5-15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6-10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Refinery H₂</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6-5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Steel (BF-BOF)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6-18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Pulp &amp; Paper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Needs Exhibit 6-24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NGCC (F-frame)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From FEBRev4a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Coal (SC PC)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From FEBRev4a</w:t>
            </w:r>
          </w:p>
        </w:tc>
      </w:tr>
    </w:tbl>
    <w:p>
      <w:pPr>
        <w:spacing w:after="120"/>
      </w:pPr>
      <w:r>
        <w:rPr>
          <w:rFonts w:ascii="Arial" w:cs="Arial" w:eastAsia="Arial" w:hAnsi="Arial"/>
          <w:color w:val="333333"/>
          <w:sz w:val="22"/>
          <w:szCs w:val="22"/>
        </w:rPr>
        <w:t xml:space="preserve">Back-calculated values will be verified from NETL exhibit screenshots during the build phase. The QGESS formula methodology serves as the fallback for any source where the exact owner’s cost exhibit is not available.</w:t>
      </w:r>
    </w:p>
    <w:p>
      <w:pPr>
        <w:pStyle w:val="Heading2"/>
        <w:spacing w:before="240" w:after="140"/>
      </w:pPr>
      <w:r>
        <w:rPr>
          <w:rFonts w:ascii="Arial" w:cs="Arial" w:eastAsia="Arial" w:hAnsi="Arial"/>
          <w:b/>
          <w:bCs/>
          <w:color w:val="1A1A2E"/>
          <w:sz w:val="26"/>
          <w:szCs w:val="26"/>
        </w:rPr>
        <w:t xml:space="preserve">10.3 Stream Split Ratios</w:t>
      </w:r>
    </w:p>
    <w:p>
      <w:pPr>
        <w:spacing w:after="120"/>
      </w:pPr>
      <w:r>
        <w:rPr>
          <w:rFonts w:ascii="Arial" w:cs="Arial" w:eastAsia="Arial" w:hAnsi="Arial"/>
          <w:color w:val="333333"/>
          <w:sz w:val="22"/>
          <w:szCs w:val="22"/>
        </w:rPr>
        <w:t xml:space="preserve">For sources with multiple CO₂ streams, the split between streams is stored as a constant with its source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c>
          <w:tcPr>
            <w:tcW w:type="dxa" w:w="22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Syngas/Process</w:t>
            </w:r>
          </w:p>
        </w:tc>
        <w:tc>
          <w:tcPr>
            <w:tcW w:type="dxa" w:w="14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Flue Gas</w:t>
            </w:r>
          </w:p>
        </w:tc>
        <w:tc>
          <w:tcPr>
            <w:tcW w:type="dxa" w:w="43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 &amp; 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(SMR)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34%</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KBR article cited in NETL study. Process CO₂ from reforming, flue from furnace.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Ammonia (ATR)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95%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IEAGHG 2022-07. Nearly all CO₂ in syngas. Minor from feed preheater.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Refinery H₂ (SMR)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reference. Syngas via ADIP-Ultra, flue from reformer furnace.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Ethanol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55% (ferm)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45% (comb)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reference. Fermentation is biogenic. Combustion depends on fuel.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59% (calcination)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41% (fuel comb)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Mixed in kiln exhaust. Cannot separate. Calcination fraction depends on clinker ratio.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Steel (BF-BOF)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Train 1 (larger)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Train 2 (smaller)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Two separate capture trains. Split from Exhibit 6-14.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Pulp &amp; Paper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60–70% (recovery)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15–25% (lime kiln)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Recovery boiler is biogenic. Lime kiln is mixed. Remainder from aux boilers.</w:t>
            </w:r>
          </w:p>
        </w:tc>
      </w:tr>
    </w:tbl>
    <w:p>
      <w:r>
        <w:br w:type="page"/>
      </w:r>
    </w:p>
    <w:p>
      <w:pPr>
        <w:pStyle w:val="Heading1"/>
        <w:spacing w:before="360" w:after="160"/>
      </w:pPr>
      <w:r>
        <w:rPr>
          <w:rFonts w:ascii="Arial" w:cs="Arial" w:eastAsia="Arial" w:hAnsi="Arial"/>
          <w:b/>
          <w:bCs/>
          <w:color w:val="1B6B4A"/>
          <w:sz w:val="32"/>
          <w:szCs w:val="32"/>
        </w:rPr>
        <w:t xml:space="preserve">11. Validation &amp; Testing</w:t>
      </w:r>
    </w:p>
    <w:p>
      <w:pPr>
        <w:pStyle w:val="Heading2"/>
        <w:spacing w:before="240" w:after="140"/>
      </w:pPr>
      <w:r>
        <w:rPr>
          <w:rFonts w:ascii="Arial" w:cs="Arial" w:eastAsia="Arial" w:hAnsi="Arial"/>
          <w:b/>
          <w:bCs/>
          <w:color w:val="1A1A2E"/>
          <w:sz w:val="26"/>
          <w:szCs w:val="26"/>
        </w:rPr>
        <w:t xml:space="preserve">11.1 Reference Case Validation</w:t>
      </w:r>
    </w:p>
    <w:p>
      <w:pPr>
        <w:spacing w:after="120"/>
      </w:pPr>
      <w:r>
        <w:rPr>
          <w:rFonts w:ascii="Arial" w:cs="Arial" w:eastAsia="Arial" w:hAnsi="Arial"/>
          <w:color w:val="333333"/>
          <w:sz w:val="22"/>
          <w:szCs w:val="22"/>
        </w:rPr>
        <w:t xml:space="preserve">The model must reproduce published NETL results within ±5% for these test cases:</w:t>
      </w:r>
    </w:p>
    <w:p>
      <w:pPr>
        <w:pStyle w:val="ListParagraph"/>
        <w:numPr>
          <w:ilvl w:val="0"/>
          <w:numId w:val="2"/>
        </w:numPr>
        <w:spacing w:after="60"/>
      </w:pPr>
      <w:r>
        <w:rPr>
          <w:rFonts w:ascii="Arial" w:cs="Arial" w:eastAsia="Arial" w:hAnsi="Arial"/>
          <w:color w:val="333333"/>
          <w:sz w:val="22"/>
          <w:szCs w:val="22"/>
        </w:rPr>
        <w:t xml:space="preserve">NGCC F-frame, 90% capture, retrofit, 85% CF, 2018$, Midwest → LCOC ~$61.8/t</w:t>
      </w:r>
    </w:p>
    <w:p>
      <w:pPr>
        <w:pStyle w:val="ListParagraph"/>
        <w:numPr>
          <w:ilvl w:val="0"/>
          <w:numId w:val="2"/>
        </w:numPr>
        <w:spacing w:after="60"/>
      </w:pPr>
      <w:r>
        <w:rPr>
          <w:rFonts w:ascii="Arial" w:cs="Arial" w:eastAsia="Arial" w:hAnsi="Arial"/>
          <w:color w:val="333333"/>
          <w:sz w:val="22"/>
          <w:szCs w:val="22"/>
        </w:rPr>
        <w:t xml:space="preserve">NGCC H-frame, 95% capture, retrofit, 85% CF, 2018$, Midwest → LCOC ~$55.9/t</w:t>
      </w:r>
    </w:p>
    <w:p>
      <w:pPr>
        <w:pStyle w:val="ListParagraph"/>
        <w:numPr>
          <w:ilvl w:val="0"/>
          <w:numId w:val="2"/>
        </w:numPr>
        <w:spacing w:after="60"/>
      </w:pPr>
      <w:r>
        <w:rPr>
          <w:rFonts w:ascii="Arial" w:cs="Arial" w:eastAsia="Arial" w:hAnsi="Arial"/>
          <w:color w:val="333333"/>
          <w:sz w:val="22"/>
          <w:szCs w:val="22"/>
        </w:rPr>
        <w:t xml:space="preserve">Ammonia, syngas only, greenfield, 85% CF, 2018$, Midwest → LCOC ~$19.0/t</w:t>
      </w:r>
    </w:p>
    <w:p>
      <w:pPr>
        <w:pStyle w:val="ListParagraph"/>
        <w:numPr>
          <w:ilvl w:val="0"/>
          <w:numId w:val="2"/>
        </w:numPr>
        <w:spacing w:after="60"/>
      </w:pPr>
      <w:r>
        <w:rPr>
          <w:rFonts w:ascii="Arial" w:cs="Arial" w:eastAsia="Arial" w:hAnsi="Arial"/>
          <w:color w:val="333333"/>
          <w:sz w:val="22"/>
          <w:szCs w:val="22"/>
        </w:rPr>
        <w:t xml:space="preserve">Cement, 99% capture, greenfield, 85% CF, 2018$, Midwest → LCOC ~$60.8/t</w:t>
      </w:r>
    </w:p>
    <w:p>
      <w:pPr>
        <w:pStyle w:val="ListParagraph"/>
        <w:numPr>
          <w:ilvl w:val="0"/>
          <w:numId w:val="2"/>
        </w:numPr>
        <w:spacing w:after="60"/>
      </w:pPr>
      <w:r>
        <w:rPr>
          <w:rFonts w:ascii="Arial" w:cs="Arial" w:eastAsia="Arial" w:hAnsi="Arial"/>
          <w:color w:val="333333"/>
          <w:sz w:val="22"/>
          <w:szCs w:val="22"/>
        </w:rPr>
        <w:t xml:space="preserve">Refinery H₂, 99% capture, greenfield, 85% CF, 2018$, Midwest → LCOC ~$57.3/t</w:t>
      </w:r>
    </w:p>
    <w:p>
      <w:pPr>
        <w:pStyle w:val="Heading2"/>
        <w:spacing w:before="240" w:after="140"/>
      </w:pPr>
      <w:r>
        <w:rPr>
          <w:rFonts w:ascii="Arial" w:cs="Arial" w:eastAsia="Arial" w:hAnsi="Arial"/>
          <w:b/>
          <w:bCs/>
          <w:color w:val="1A1A2E"/>
          <w:sz w:val="26"/>
          <w:szCs w:val="26"/>
        </w:rPr>
        <w:t xml:space="preserve">11.2 Known Bugs Fixed from Previous Model</w:t>
      </w:r>
    </w:p>
    <w:p>
      <w:pPr>
        <w:pStyle w:val="ListParagraph"/>
        <w:numPr>
          <w:ilvl w:val="0"/>
          <w:numId w:val="2"/>
        </w:numPr>
        <w:spacing w:after="60"/>
      </w:pPr>
      <w:r>
        <w:rPr>
          <w:rFonts w:ascii="Arial" w:cs="Arial" w:eastAsia="Arial" w:hAnsi="Arial"/>
          <w:color w:val="333333"/>
          <w:sz w:val="22"/>
          <w:szCs w:val="22"/>
        </w:rPr>
        <w:t xml:space="preserve">NGCC capacity basis: use gross-without-capture MW (740 F-frame, 1,009 H-frame), not net-after-capture</w:t>
      </w:r>
    </w:p>
    <w:p>
      <w:pPr>
        <w:pStyle w:val="ListParagraph"/>
        <w:numPr>
          <w:ilvl w:val="0"/>
          <w:numId w:val="2"/>
        </w:numPr>
        <w:spacing w:after="60"/>
      </w:pPr>
      <w:r>
        <w:rPr>
          <w:rFonts w:ascii="Arial" w:cs="Arial" w:eastAsia="Arial" w:hAnsi="Arial"/>
          <w:color w:val="333333"/>
          <w:sz w:val="22"/>
          <w:szCs w:val="22"/>
        </w:rPr>
        <w:t xml:space="preserve">Annuity Factor formula: use finite annuity r/(1–(1+r)^–n), not simplified CAPEX × rate</w:t>
      </w:r>
    </w:p>
    <w:p>
      <w:pPr>
        <w:pStyle w:val="ListParagraph"/>
        <w:numPr>
          <w:ilvl w:val="0"/>
          <w:numId w:val="2"/>
        </w:numPr>
        <w:spacing w:after="60"/>
      </w:pPr>
      <w:r>
        <w:rPr>
          <w:rFonts w:ascii="Arial" w:cs="Arial" w:eastAsia="Arial" w:hAnsi="Arial"/>
          <w:color w:val="333333"/>
          <w:sz w:val="22"/>
          <w:szCs w:val="22"/>
        </w:rPr>
        <w:t xml:space="preserve">Batch/Summary consistency: batch tab uses identical parameter assembly as summary tab, including source-specific CF defaults</w:t>
      </w:r>
    </w:p>
    <w:p>
      <w:pPr>
        <w:pStyle w:val="Heading2"/>
        <w:spacing w:before="240" w:after="140"/>
      </w:pPr>
      <w:r>
        <w:rPr>
          <w:rFonts w:ascii="Arial" w:cs="Arial" w:eastAsia="Arial" w:hAnsi="Arial"/>
          <w:b/>
          <w:bCs/>
          <w:color w:val="1A1A2E"/>
          <w:sz w:val="26"/>
          <w:szCs w:val="26"/>
        </w:rPr>
        <w:t xml:space="preserve">11.3 Rounding and Precision</w:t>
      </w:r>
    </w:p>
    <w:p>
      <w:pPr>
        <w:spacing w:after="120"/>
      </w:pPr>
      <w:r>
        <w:rPr>
          <w:rFonts w:ascii="Arial" w:cs="Arial" w:eastAsia="Arial" w:hAnsi="Arial"/>
          <w:color w:val="333333"/>
          <w:sz w:val="22"/>
          <w:szCs w:val="22"/>
        </w:rPr>
        <w:t xml:space="preserve">Define consistent precision: CAPEX in $M to 1 decimal, $/tonne to 2 decimals, percentages to 1 decimal. Avoid compounding rounding errors across calculation steps by carrying full precision internally and rounding only for display.</w:t>
      </w:r>
    </w:p>
    <w:p>
      <w:r>
        <w:br w:type="page"/>
      </w:r>
    </w:p>
    <w:p>
      <w:pPr>
        <w:pStyle w:val="Heading1"/>
        <w:spacing w:before="360" w:after="160"/>
      </w:pPr>
      <w:r>
        <w:rPr>
          <w:rFonts w:ascii="Arial" w:cs="Arial" w:eastAsia="Arial" w:hAnsi="Arial"/>
          <w:b/>
          <w:bCs/>
          <w:color w:val="1B6B4A"/>
          <w:sz w:val="32"/>
          <w:szCs w:val="32"/>
        </w:rPr>
        <w:t xml:space="preserve">12. Build Phases</w:t>
      </w:r>
    </w:p>
    <w:p>
      <w:pPr>
        <w:pStyle w:val="Heading2"/>
        <w:spacing w:before="240" w:after="140"/>
      </w:pPr>
      <w:r>
        <w:rPr>
          <w:rFonts w:ascii="Arial" w:cs="Arial" w:eastAsia="Arial" w:hAnsi="Arial"/>
          <w:b/>
          <w:bCs/>
          <w:color w:val="1A1A2E"/>
          <w:sz w:val="26"/>
          <w:szCs w:val="26"/>
        </w:rPr>
        <w:t xml:space="preserve">Phase 1: Core Cost Engine</w:t>
      </w:r>
    </w:p>
    <w:p>
      <w:pPr>
        <w:pStyle w:val="ListParagraph"/>
        <w:numPr>
          <w:ilvl w:val="0"/>
          <w:numId w:val="2"/>
        </w:numPr>
        <w:spacing w:after="60"/>
      </w:pPr>
      <w:r>
        <w:rPr>
          <w:rFonts w:ascii="Arial" w:cs="Arial" w:eastAsia="Arial" w:hAnsi="Arial"/>
          <w:color w:val="333333"/>
          <w:sz w:val="22"/>
          <w:szCs w:val="22"/>
        </w:rPr>
        <w:t xml:space="preserve">Single-file architecture with calcLCOC as the sole calculation engine</w:t>
      </w:r>
    </w:p>
    <w:p>
      <w:pPr>
        <w:pStyle w:val="ListParagraph"/>
        <w:numPr>
          <w:ilvl w:val="0"/>
          <w:numId w:val="2"/>
        </w:numPr>
        <w:spacing w:after="60"/>
      </w:pPr>
      <w:r>
        <w:rPr>
          <w:rFonts w:ascii="Arial" w:cs="Arial" w:eastAsia="Arial" w:hAnsi="Arial"/>
          <w:color w:val="333333"/>
          <w:sz w:val="22"/>
          <w:szCs w:val="22"/>
        </w:rPr>
        <w:t xml:space="preserve">Tier 1 technologies (CANSOLV) with NGCC + ammonia (SMR syngas) + 2–3 industrial sources</w:t>
      </w:r>
    </w:p>
    <w:p>
      <w:pPr>
        <w:pStyle w:val="ListParagraph"/>
        <w:numPr>
          <w:ilvl w:val="0"/>
          <w:numId w:val="2"/>
        </w:numPr>
        <w:spacing w:after="60"/>
      </w:pPr>
      <w:r>
        <w:rPr>
          <w:rFonts w:ascii="Arial" w:cs="Arial" w:eastAsia="Arial" w:hAnsi="Arial"/>
          <w:color w:val="333333"/>
          <w:sz w:val="22"/>
          <w:szCs w:val="22"/>
        </w:rPr>
        <w:t xml:space="preserve">Full CAPEX build-up (BEC through CAPEX) with equipment-level awareness</w:t>
      </w:r>
    </w:p>
    <w:p>
      <w:pPr>
        <w:pStyle w:val="ListParagraph"/>
        <w:numPr>
          <w:ilvl w:val="0"/>
          <w:numId w:val="2"/>
        </w:numPr>
        <w:spacing w:after="60"/>
      </w:pPr>
      <w:r>
        <w:rPr>
          <w:rFonts w:ascii="Arial" w:cs="Arial" w:eastAsia="Arial" w:hAnsi="Arial"/>
          <w:color w:val="333333"/>
          <w:sz w:val="22"/>
          <w:szCs w:val="22"/>
        </w:rPr>
        <w:t xml:space="preserve">OPEX calculation (all four LCOC components)</w:t>
      </w:r>
    </w:p>
    <w:p>
      <w:pPr>
        <w:pStyle w:val="ListParagraph"/>
        <w:numPr>
          <w:ilvl w:val="0"/>
          <w:numId w:val="2"/>
        </w:numPr>
        <w:spacing w:after="60"/>
      </w:pPr>
      <w:r>
        <w:rPr>
          <w:rFonts w:ascii="Arial" w:cs="Arial" w:eastAsia="Arial" w:hAnsi="Arial"/>
          <w:color w:val="333333"/>
          <w:sz w:val="22"/>
          <w:szCs w:val="22"/>
        </w:rPr>
        <w:t xml:space="preserve">LCOC with proper Annuity Factor</w:t>
      </w:r>
    </w:p>
    <w:p>
      <w:pPr>
        <w:pStyle w:val="ListParagraph"/>
        <w:numPr>
          <w:ilvl w:val="0"/>
          <w:numId w:val="2"/>
        </w:numPr>
        <w:spacing w:after="60"/>
      </w:pPr>
      <w:r>
        <w:rPr>
          <w:rFonts w:ascii="Arial" w:cs="Arial" w:eastAsia="Arial" w:hAnsi="Arial"/>
          <w:color w:val="333333"/>
          <w:sz w:val="22"/>
          <w:szCs w:val="22"/>
        </w:rPr>
        <w:t xml:space="preserve">Summary and Model tabs</w:t>
      </w:r>
    </w:p>
    <w:p>
      <w:pPr>
        <w:pStyle w:val="ListParagraph"/>
        <w:numPr>
          <w:ilvl w:val="0"/>
          <w:numId w:val="2"/>
        </w:numPr>
        <w:spacing w:after="60"/>
      </w:pPr>
      <w:r>
        <w:rPr>
          <w:rFonts w:ascii="Arial" w:cs="Arial" w:eastAsia="Arial" w:hAnsi="Arial"/>
          <w:color w:val="333333"/>
          <w:sz w:val="22"/>
          <w:szCs w:val="22"/>
        </w:rPr>
        <w:t xml:space="preserve">Validation against NETL published results</w:t>
      </w:r>
    </w:p>
    <w:p>
      <w:pPr>
        <w:pStyle w:val="Heading2"/>
        <w:spacing w:before="240" w:after="140"/>
      </w:pPr>
      <w:r>
        <w:rPr>
          <w:rFonts w:ascii="Arial" w:cs="Arial" w:eastAsia="Arial" w:hAnsi="Arial"/>
          <w:b/>
          <w:bCs/>
          <w:color w:val="1A1A2E"/>
          <w:sz w:val="26"/>
          <w:szCs w:val="26"/>
        </w:rPr>
        <w:t xml:space="preserve">Phase 2: Full Financial Model + Extended Sources</w:t>
      </w:r>
    </w:p>
    <w:p>
      <w:pPr>
        <w:pStyle w:val="ListParagraph"/>
        <w:numPr>
          <w:ilvl w:val="0"/>
          <w:numId w:val="2"/>
        </w:numPr>
        <w:spacing w:after="60"/>
      </w:pPr>
      <w:r>
        <w:rPr>
          <w:rFonts w:ascii="Arial" w:cs="Arial" w:eastAsia="Arial" w:hAnsi="Arial"/>
          <w:color w:val="333333"/>
          <w:sz w:val="22"/>
          <w:szCs w:val="22"/>
        </w:rPr>
        <w:t xml:space="preserve">Year-by-year cash flow with 45Q, 48C, VCM credits, depreciation, taxes</w:t>
      </w:r>
    </w:p>
    <w:p>
      <w:pPr>
        <w:pStyle w:val="ListParagraph"/>
        <w:numPr>
          <w:ilvl w:val="0"/>
          <w:numId w:val="2"/>
        </w:numPr>
        <w:spacing w:after="60"/>
      </w:pPr>
      <w:r>
        <w:rPr>
          <w:rFonts w:ascii="Arial" w:cs="Arial" w:eastAsia="Arial" w:hAnsi="Arial"/>
          <w:color w:val="333333"/>
          <w:sz w:val="22"/>
          <w:szCs w:val="22"/>
        </w:rPr>
        <w:t xml:space="preserve">NPV, IRR, breakeven calculations</w:t>
      </w:r>
    </w:p>
    <w:p>
      <w:pPr>
        <w:pStyle w:val="ListParagraph"/>
        <w:numPr>
          <w:ilvl w:val="0"/>
          <w:numId w:val="2"/>
        </w:numPr>
        <w:spacing w:after="60"/>
      </w:pPr>
      <w:r>
        <w:rPr>
          <w:rFonts w:ascii="Arial" w:cs="Arial" w:eastAsia="Arial" w:hAnsi="Arial"/>
          <w:color w:val="333333"/>
          <w:sz w:val="22"/>
          <w:szCs w:val="22"/>
        </w:rPr>
        <w:t xml:space="preserve">All industrial sources from NETL study</w:t>
      </w:r>
    </w:p>
    <w:p>
      <w:pPr>
        <w:pStyle w:val="ListParagraph"/>
        <w:numPr>
          <w:ilvl w:val="0"/>
          <w:numId w:val="2"/>
        </w:numPr>
        <w:spacing w:after="60"/>
      </w:pPr>
      <w:r>
        <w:rPr>
          <w:rFonts w:ascii="Arial" w:cs="Arial" w:eastAsia="Arial" w:hAnsi="Arial"/>
          <w:color w:val="333333"/>
          <w:sz w:val="22"/>
          <w:szCs w:val="22"/>
        </w:rPr>
        <w:t xml:space="preserve">Coal from NETL Baseline Vol. 1</w:t>
      </w:r>
    </w:p>
    <w:p>
      <w:pPr>
        <w:pStyle w:val="ListParagraph"/>
        <w:numPr>
          <w:ilvl w:val="0"/>
          <w:numId w:val="2"/>
        </w:numPr>
        <w:spacing w:after="60"/>
      </w:pPr>
      <w:r>
        <w:rPr>
          <w:rFonts w:ascii="Arial" w:cs="Arial" w:eastAsia="Arial" w:hAnsi="Arial"/>
          <w:color w:val="333333"/>
          <w:sz w:val="22"/>
          <w:szCs w:val="22"/>
        </w:rPr>
        <w:t xml:space="preserve">Ammonia SMR/ATR toggle with capture scope options</w:t>
      </w:r>
    </w:p>
    <w:p>
      <w:pPr>
        <w:pStyle w:val="ListParagraph"/>
        <w:numPr>
          <w:ilvl w:val="0"/>
          <w:numId w:val="2"/>
        </w:numPr>
        <w:spacing w:after="60"/>
      </w:pPr>
      <w:r>
        <w:rPr>
          <w:rFonts w:ascii="Arial" w:cs="Arial" w:eastAsia="Arial" w:hAnsi="Arial"/>
          <w:color w:val="333333"/>
          <w:sz w:val="22"/>
          <w:szCs w:val="22"/>
        </w:rPr>
        <w:t xml:space="preserve">Hydrogen production (refinery + merchant)</w:t>
      </w:r>
    </w:p>
    <w:p>
      <w:pPr>
        <w:pStyle w:val="ListParagraph"/>
        <w:numPr>
          <w:ilvl w:val="0"/>
          <w:numId w:val="2"/>
        </w:numPr>
        <w:spacing w:after="60"/>
      </w:pPr>
      <w:r>
        <w:rPr>
          <w:rFonts w:ascii="Arial" w:cs="Arial" w:eastAsia="Arial" w:hAnsi="Arial"/>
          <w:color w:val="333333"/>
          <w:sz w:val="22"/>
          <w:szCs w:val="22"/>
        </w:rPr>
        <w:t xml:space="preserve">Urea diversion toggle</w:t>
      </w:r>
    </w:p>
    <w:p>
      <w:pPr>
        <w:pStyle w:val="ListParagraph"/>
        <w:numPr>
          <w:ilvl w:val="0"/>
          <w:numId w:val="2"/>
        </w:numPr>
        <w:spacing w:after="60"/>
      </w:pPr>
      <w:r>
        <w:rPr>
          <w:rFonts w:ascii="Arial" w:cs="Arial" w:eastAsia="Arial" w:hAnsi="Arial"/>
          <w:color w:val="333333"/>
          <w:sz w:val="22"/>
          <w:szCs w:val="22"/>
        </w:rPr>
        <w:t xml:space="preserve">Location factors, CEPCI, gas forward strip</w:t>
      </w:r>
    </w:p>
    <w:p>
      <w:pPr>
        <w:pStyle w:val="ListParagraph"/>
        <w:numPr>
          <w:ilvl w:val="0"/>
          <w:numId w:val="2"/>
        </w:numPr>
        <w:spacing w:after="60"/>
      </w:pPr>
      <w:r>
        <w:rPr>
          <w:rFonts w:ascii="Arial" w:cs="Arial" w:eastAsia="Arial" w:hAnsi="Arial"/>
          <w:color w:val="333333"/>
          <w:sz w:val="22"/>
          <w:szCs w:val="22"/>
        </w:rPr>
        <w:t xml:space="preserve">Sensitivity analysis (tornado + sweep)</w:t>
      </w:r>
    </w:p>
    <w:p>
      <w:pPr>
        <w:pStyle w:val="ListParagraph"/>
        <w:numPr>
          <w:ilvl w:val="0"/>
          <w:numId w:val="2"/>
        </w:numPr>
        <w:spacing w:after="60"/>
      </w:pPr>
      <w:r>
        <w:rPr>
          <w:rFonts w:ascii="Arial" w:cs="Arial" w:eastAsia="Arial" w:hAnsi="Arial"/>
          <w:color w:val="333333"/>
          <w:sz w:val="22"/>
          <w:szCs w:val="22"/>
        </w:rPr>
        <w:t xml:space="preserve">Cash Flow tab</w:t>
      </w:r>
    </w:p>
    <w:p>
      <w:pPr>
        <w:pStyle w:val="Heading2"/>
        <w:spacing w:before="240" w:after="140"/>
      </w:pPr>
      <w:r>
        <w:rPr>
          <w:rFonts w:ascii="Arial" w:cs="Arial" w:eastAsia="Arial" w:hAnsi="Arial"/>
          <w:b/>
          <w:bCs/>
          <w:color w:val="1A1A2E"/>
          <w:sz w:val="26"/>
          <w:szCs w:val="26"/>
        </w:rPr>
        <w:t xml:space="preserve">Phase 3: Extended Technologies, CDR &amp; Comparison</w:t>
      </w:r>
    </w:p>
    <w:p>
      <w:pPr>
        <w:pStyle w:val="ListParagraph"/>
        <w:numPr>
          <w:ilvl w:val="0"/>
          <w:numId w:val="2"/>
        </w:numPr>
        <w:spacing w:after="60"/>
      </w:pPr>
      <w:r>
        <w:rPr>
          <w:rFonts w:ascii="Arial" w:cs="Arial" w:eastAsia="Arial" w:hAnsi="Arial"/>
          <w:color w:val="333333"/>
          <w:sz w:val="22"/>
          <w:szCs w:val="22"/>
        </w:rPr>
        <w:t xml:space="preserve">Tier 2 technologies (KS-1, AMP/PZ, BECCS)</w:t>
      </w:r>
    </w:p>
    <w:p>
      <w:pPr>
        <w:pStyle w:val="ListParagraph"/>
        <w:numPr>
          <w:ilvl w:val="0"/>
          <w:numId w:val="2"/>
        </w:numPr>
        <w:spacing w:after="60"/>
      </w:pPr>
      <w:r>
        <w:rPr>
          <w:rFonts w:ascii="Arial" w:cs="Arial" w:eastAsia="Arial" w:hAnsi="Arial"/>
          <w:color w:val="333333"/>
          <w:sz w:val="22"/>
          <w:szCs w:val="22"/>
        </w:rPr>
        <w:t xml:space="preserve">Tier 3 technologies (MOFs, membranes, DAC solid/liquid, DOC)</w:t>
      </w:r>
    </w:p>
    <w:p>
      <w:pPr>
        <w:pStyle w:val="ListParagraph"/>
        <w:numPr>
          <w:ilvl w:val="0"/>
          <w:numId w:val="2"/>
        </w:numPr>
        <w:spacing w:after="60"/>
      </w:pPr>
      <w:r>
        <w:rPr>
          <w:rFonts w:ascii="Arial" w:cs="Arial" w:eastAsia="Arial" w:hAnsi="Arial"/>
          <w:color w:val="333333"/>
          <w:sz w:val="22"/>
          <w:szCs w:val="22"/>
        </w:rPr>
        <w:t xml:space="preserve">Technology comparison view</w:t>
      </w:r>
    </w:p>
    <w:p>
      <w:pPr>
        <w:pStyle w:val="ListParagraph"/>
        <w:numPr>
          <w:ilvl w:val="0"/>
          <w:numId w:val="2"/>
        </w:numPr>
        <w:spacing w:after="60"/>
      </w:pPr>
      <w:r>
        <w:rPr>
          <w:rFonts w:ascii="Arial" w:cs="Arial" w:eastAsia="Arial" w:hAnsi="Arial"/>
          <w:color w:val="333333"/>
          <w:sz w:val="22"/>
          <w:szCs w:val="22"/>
        </w:rPr>
        <w:t xml:space="preserve">Train-based scaling for extreme capacities</w:t>
      </w:r>
    </w:p>
    <w:p>
      <w:pPr>
        <w:pStyle w:val="ListParagraph"/>
        <w:numPr>
          <w:ilvl w:val="0"/>
          <w:numId w:val="2"/>
        </w:numPr>
        <w:spacing w:after="60"/>
      </w:pPr>
      <w:r>
        <w:rPr>
          <w:rFonts w:ascii="Arial" w:cs="Arial" w:eastAsia="Arial" w:hAnsi="Arial"/>
          <w:color w:val="333333"/>
          <w:sz w:val="22"/>
          <w:szCs w:val="22"/>
        </w:rPr>
        <w:t xml:space="preserve">Biomass / BECCS source</w:t>
      </w:r>
    </w:p>
    <w:p>
      <w:pPr>
        <w:pStyle w:val="ListParagraph"/>
        <w:numPr>
          <w:ilvl w:val="0"/>
          <w:numId w:val="2"/>
        </w:numPr>
        <w:spacing w:after="60"/>
      </w:pPr>
      <w:r>
        <w:rPr>
          <w:rFonts w:ascii="Arial" w:cs="Arial" w:eastAsia="Arial" w:hAnsi="Arial"/>
          <w:color w:val="333333"/>
          <w:sz w:val="22"/>
          <w:szCs w:val="22"/>
        </w:rPr>
        <w:t xml:space="preserve">Monte Carlo simulation</w:t>
      </w:r>
    </w:p>
    <w:p>
      <w:pPr>
        <w:pStyle w:val="ListParagraph"/>
        <w:numPr>
          <w:ilvl w:val="0"/>
          <w:numId w:val="2"/>
        </w:numPr>
        <w:spacing w:after="60"/>
      </w:pPr>
      <w:r>
        <w:rPr>
          <w:rFonts w:ascii="Arial" w:cs="Arial" w:eastAsia="Arial" w:hAnsi="Arial"/>
          <w:color w:val="333333"/>
          <w:sz w:val="22"/>
          <w:szCs w:val="22"/>
        </w:rPr>
        <w:t xml:space="preserve">Batch processing with Excel import/export</w:t>
      </w:r>
    </w:p>
    <w:p>
      <w:pPr>
        <w:pStyle w:val="ListParagraph"/>
        <w:numPr>
          <w:ilvl w:val="0"/>
          <w:numId w:val="2"/>
        </w:numPr>
        <w:spacing w:after="60"/>
      </w:pPr>
      <w:r>
        <w:rPr>
          <w:rFonts w:ascii="Arial" w:cs="Arial" w:eastAsia="Arial" w:hAnsi="Arial"/>
          <w:color w:val="333333"/>
          <w:sz w:val="22"/>
          <w:szCs w:val="22"/>
        </w:rPr>
        <w:t xml:space="preserve">State heatmap and learning curve charts</w:t>
      </w:r>
    </w:p>
    <w:p>
      <w:pPr>
        <w:pStyle w:val="ListParagraph"/>
        <w:numPr>
          <w:ilvl w:val="0"/>
          <w:numId w:val="2"/>
        </w:numPr>
        <w:spacing w:after="60"/>
      </w:pPr>
      <w:r>
        <w:rPr>
          <w:rFonts w:ascii="Arial" w:cs="Arial" w:eastAsia="Arial" w:hAnsi="Arial"/>
          <w:color w:val="333333"/>
          <w:sz w:val="22"/>
          <w:szCs w:val="22"/>
        </w:rPr>
        <w:t xml:space="preserve">Dynamic tooltips</w:t>
      </w:r>
    </w:p>
    <w:p>
      <w:r>
        <w:br w:type="page"/>
      </w:r>
    </w:p>
    <w:p>
      <w:pPr>
        <w:pStyle w:val="Heading1"/>
        <w:spacing w:before="360" w:after="160"/>
      </w:pPr>
      <w:r>
        <w:rPr>
          <w:rFonts w:ascii="Arial" w:cs="Arial" w:eastAsia="Arial" w:hAnsi="Arial"/>
          <w:b/>
          <w:bCs/>
          <w:color w:val="1B6B4A"/>
          <w:sz w:val="32"/>
          <w:szCs w:val="32"/>
        </w:rPr>
        <w:t xml:space="preserve">13.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c>
          <w:tcPr>
            <w:tcW w:type="dxa" w:w="5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Question</w:t>
            </w:r>
          </w:p>
        </w:tc>
        <w:tc>
          <w:tcPr>
            <w:tcW w:type="dxa" w:w="5060"/>
            <w:tcBorders>
              <w:top w:val="single" w:color="CCCCCC" w:sz="1"/>
              <w:left w:val="single" w:color="CCCCCC" w:sz="1"/>
              <w:bottom w:val="single" w:color="CCCCCC" w:sz="1"/>
              <w:right w:val="single" w:color="CCCCCC" w:sz="1"/>
            </w:tcBorders>
            <w:shd w:fill="1B6B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Options / Context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Coal SC capacity basis — gross or net?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Need to verify from FEBRev4a. Apply same fix as NGCC if net.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Biomass reference cost data?</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biomass cofiring study in progress. Use literature ($40–120/t) as Tier 2 placeholder?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ATR reference cost anchoring?</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Use IEAGHG 2022-07 as primary, supplemented by ICF 2023 for train sizing. Tier 2 confidence.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SMR flue gas capture reference?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No direct NETL reference. Derive from industrial combustion parameters? Use SSRN Zhang et al. 2024?</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T&amp;S costs — include as optional adder?</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NETL assumes $10/t. Important for full-chain economics and 45Q project viability.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Working capital treatment?</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60-day fuel/consumable inventory: CAPEX, year 1 OPEX, or separate working capital line?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45Q commence construction deadline?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Projects must begin construction by Jan 2033. Validate COD year + construction period against this?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EAF steel as separate source?</w:t>
            </w:r>
          </w:p>
        </w:tc>
        <w:tc>
          <w:tcPr>
            <w:tcW w:type="dxa" w:w="5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20"/>
                <w:szCs w:val="20"/>
              </w:rPr>
              <w:t xml:space="preserve">Current model is BOF only. EAF has lower CO₂ but different economics.</w:t>
            </w:r>
          </w:p>
        </w:tc>
      </w:tr>
    </w:tbl>
    <w:p>
      <w:r>
        <w:br w:type="page"/>
      </w:r>
    </w:p>
    <w:p>
      <w:pPr>
        <w:pStyle w:val="Heading1"/>
        <w:spacing w:before="360" w:after="160"/>
      </w:pPr>
      <w:r>
        <w:rPr>
          <w:rFonts w:ascii="Arial" w:cs="Arial" w:eastAsia="Arial" w:hAnsi="Arial"/>
          <w:b/>
          <w:bCs/>
          <w:color w:val="1B6B4A"/>
          <w:sz w:val="32"/>
          <w:szCs w:val="32"/>
        </w:rPr>
        <w:t xml:space="preserve">14. Reference Sources</w:t>
      </w:r>
    </w:p>
    <w:p>
      <w:pPr>
        <w:pStyle w:val="Heading2"/>
        <w:spacing w:before="240" w:after="140"/>
      </w:pPr>
      <w:r>
        <w:rPr>
          <w:rFonts w:ascii="Arial" w:cs="Arial" w:eastAsia="Arial" w:hAnsi="Arial"/>
          <w:b/>
          <w:bCs/>
          <w:color w:val="1A1A2E"/>
          <w:sz w:val="26"/>
          <w:szCs w:val="26"/>
        </w:rPr>
        <w:t xml:space="preserve">14.1 NETL Core Studies</w:t>
      </w:r>
    </w:p>
    <w:p>
      <w:pPr>
        <w:pStyle w:val="ListParagraph"/>
        <w:numPr>
          <w:ilvl w:val="0"/>
          <w:numId w:val="2"/>
        </w:numPr>
        <w:spacing w:after="60"/>
      </w:pPr>
      <w:r>
        <w:rPr>
          <w:rFonts w:ascii="Arial" w:cs="Arial" w:eastAsia="Arial" w:hAnsi="Arial"/>
          <w:b/>
          <w:bCs/>
          <w:color w:val="2D5B9E"/>
          <w:sz w:val="22"/>
          <w:szCs w:val="22"/>
        </w:rPr>
        <w:t xml:space="preserve">[1] </w:t>
      </w:r>
      <w:r>
        <w:rPr>
          <w:rFonts w:ascii="Arial" w:cs="Arial" w:eastAsia="Arial" w:hAnsi="Arial"/>
          <w:color w:val="333333"/>
          <w:sz w:val="22"/>
          <w:szCs w:val="22"/>
        </w:rPr>
        <w:t xml:space="preserve">NETL, “Cost and Performance Baseline for Fossil Energy Plants Vol. 1: Bituminous Coal and Natural Gas to Electricity, Rev 4a,” October 2022. DOE/NETL. </w:t>
      </w:r>
      <w:r>
        <w:rPr>
          <w:rFonts w:ascii="Arial" w:cs="Arial" w:eastAsia="Arial" w:hAnsi="Arial"/>
          <w:color w:val="2D5B9E"/>
          <w:sz w:val="18"/>
          <w:szCs w:val="18"/>
        </w:rPr>
        <w:t xml:space="preserve">https://netl.doe.gov/projects/files/CostAndPerformanceBaselineForFossilEnergyPlantsVolume1BituminousCoalAndNaturalGasToElectricity_101422.pdf</w:t>
      </w:r>
    </w:p>
    <w:p>
      <w:pPr>
        <w:pStyle w:val="ListParagraph"/>
        <w:numPr>
          <w:ilvl w:val="0"/>
          <w:numId w:val="2"/>
        </w:numPr>
        <w:spacing w:after="60"/>
      </w:pPr>
      <w:r>
        <w:rPr>
          <w:rFonts w:ascii="Arial" w:cs="Arial" w:eastAsia="Arial" w:hAnsi="Arial"/>
          <w:b/>
          <w:bCs/>
          <w:color w:val="2D5B9E"/>
          <w:sz w:val="22"/>
          <w:szCs w:val="22"/>
        </w:rPr>
        <w:t xml:space="preserve">[2] </w:t>
      </w:r>
      <w:r>
        <w:rPr>
          <w:rFonts w:ascii="Arial" w:cs="Arial" w:eastAsia="Arial" w:hAnsi="Arial"/>
          <w:color w:val="333333"/>
          <w:sz w:val="22"/>
          <w:szCs w:val="22"/>
        </w:rPr>
        <w:t xml:space="preserve">NETL, “Cost and Performance of Retrofitting NGCC Units for Carbon Capture – Rev 3,” May 2023. DOE/NETL-2023/3848. </w:t>
      </w:r>
      <w:r>
        <w:rPr>
          <w:rFonts w:ascii="Arial" w:cs="Arial" w:eastAsia="Arial" w:hAnsi="Arial"/>
          <w:color w:val="2D5B9E"/>
          <w:sz w:val="18"/>
          <w:szCs w:val="18"/>
        </w:rPr>
        <w:t xml:space="preserve">https://doi.org/10.2172/1961845</w:t>
      </w:r>
    </w:p>
    <w:p>
      <w:pPr>
        <w:pStyle w:val="ListParagraph"/>
        <w:numPr>
          <w:ilvl w:val="0"/>
          <w:numId w:val="2"/>
        </w:numPr>
        <w:spacing w:after="60"/>
      </w:pPr>
      <w:r>
        <w:rPr>
          <w:rFonts w:ascii="Arial" w:cs="Arial" w:eastAsia="Arial" w:hAnsi="Arial"/>
          <w:b/>
          <w:bCs/>
          <w:color w:val="2D5B9E"/>
          <w:sz w:val="22"/>
          <w:szCs w:val="22"/>
        </w:rPr>
        <w:t xml:space="preserve">[3] </w:t>
      </w:r>
      <w:r>
        <w:rPr>
          <w:rFonts w:ascii="Arial" w:cs="Arial" w:eastAsia="Arial" w:hAnsi="Arial"/>
          <w:color w:val="333333"/>
          <w:sz w:val="22"/>
          <w:szCs w:val="22"/>
        </w:rPr>
        <w:t xml:space="preserve">NETL, “Cost of Capturing CO₂ from Industrial Sources,” March 2023. DOE/NETL-2023/3907.</w:t>
      </w:r>
    </w:p>
    <w:p>
      <w:pPr>
        <w:pStyle w:val="ListParagraph"/>
        <w:numPr>
          <w:ilvl w:val="0"/>
          <w:numId w:val="2"/>
        </w:numPr>
        <w:spacing w:after="60"/>
      </w:pPr>
      <w:r>
        <w:rPr>
          <w:rFonts w:ascii="Arial" w:cs="Arial" w:eastAsia="Arial" w:hAnsi="Arial"/>
          <w:b/>
          <w:bCs/>
          <w:color w:val="2D5B9E"/>
          <w:sz w:val="22"/>
          <w:szCs w:val="22"/>
        </w:rPr>
        <w:t xml:space="preserve">[4] </w:t>
      </w:r>
      <w:r>
        <w:rPr>
          <w:rFonts w:ascii="Arial" w:cs="Arial" w:eastAsia="Arial" w:hAnsi="Arial"/>
          <w:color w:val="333333"/>
          <w:sz w:val="22"/>
          <w:szCs w:val="22"/>
        </w:rPr>
        <w:t xml:space="preserve">NETL, “Eliminating the Derate of Carbon Capture Retrofits – Rev 2,” 2023. PC retrofit cases.</w:t>
      </w:r>
    </w:p>
    <w:p>
      <w:pPr>
        <w:pStyle w:val="ListParagraph"/>
        <w:numPr>
          <w:ilvl w:val="0"/>
          <w:numId w:val="2"/>
        </w:numPr>
        <w:spacing w:after="60"/>
      </w:pPr>
      <w:r>
        <w:rPr>
          <w:rFonts w:ascii="Arial" w:cs="Arial" w:eastAsia="Arial" w:hAnsi="Arial"/>
          <w:b/>
          <w:bCs/>
          <w:color w:val="2D5B9E"/>
          <w:sz w:val="22"/>
          <w:szCs w:val="22"/>
        </w:rPr>
        <w:t xml:space="preserve">[5] </w:t>
      </w:r>
      <w:r>
        <w:rPr>
          <w:rFonts w:ascii="Arial" w:cs="Arial" w:eastAsia="Arial" w:hAnsi="Arial"/>
          <w:color w:val="333333"/>
          <w:sz w:val="22"/>
          <w:szCs w:val="22"/>
        </w:rPr>
        <w:t xml:space="preserve">NETL, “Cost and Performance Projections for Coal and Natural Gas Power Plants,” May 2023. </w:t>
      </w:r>
      <w:r>
        <w:rPr>
          <w:rFonts w:ascii="Arial" w:cs="Arial" w:eastAsia="Arial" w:hAnsi="Arial"/>
          <w:color w:val="2D5B9E"/>
          <w:sz w:val="18"/>
          <w:szCs w:val="18"/>
        </w:rPr>
        <w:t xml:space="preserve">https://netl.doe.gov/projects/files/CostandPerformanceProjectionsforCoalandNaturalGasFiredPowerPlants_053123.pdf</w:t>
      </w:r>
    </w:p>
    <w:p>
      <w:pPr>
        <w:pStyle w:val="ListParagraph"/>
        <w:numPr>
          <w:ilvl w:val="0"/>
          <w:numId w:val="2"/>
        </w:numPr>
        <w:spacing w:after="60"/>
      </w:pPr>
      <w:r>
        <w:rPr>
          <w:rFonts w:ascii="Arial" w:cs="Arial" w:eastAsia="Arial" w:hAnsi="Arial"/>
          <w:b/>
          <w:bCs/>
          <w:color w:val="2D5B9E"/>
          <w:sz w:val="22"/>
          <w:szCs w:val="22"/>
        </w:rPr>
        <w:t xml:space="preserve">[6] </w:t>
      </w:r>
      <w:r>
        <w:rPr>
          <w:rFonts w:ascii="Arial" w:cs="Arial" w:eastAsia="Arial" w:hAnsi="Arial"/>
          <w:color w:val="333333"/>
          <w:sz w:val="22"/>
          <w:szCs w:val="22"/>
        </w:rPr>
        <w:t xml:space="preserve">NETL Baseline Studies Overview and Interactive Tool. </w:t>
      </w:r>
      <w:r>
        <w:rPr>
          <w:rFonts w:ascii="Arial" w:cs="Arial" w:eastAsia="Arial" w:hAnsi="Arial"/>
          <w:color w:val="2D5B9E"/>
          <w:sz w:val="18"/>
          <w:szCs w:val="18"/>
        </w:rPr>
        <w:t xml:space="preserve">https://netl.doe.gov/node/7512</w:t>
      </w:r>
    </w:p>
    <w:p>
      <w:pPr>
        <w:pStyle w:val="ListParagraph"/>
        <w:numPr>
          <w:ilvl w:val="0"/>
          <w:numId w:val="2"/>
        </w:numPr>
        <w:spacing w:after="60"/>
      </w:pPr>
      <w:r>
        <w:rPr>
          <w:rFonts w:ascii="Arial" w:cs="Arial" w:eastAsia="Arial" w:hAnsi="Arial"/>
          <w:b/>
          <w:bCs/>
          <w:color w:val="2D5B9E"/>
          <w:sz w:val="22"/>
          <w:szCs w:val="22"/>
        </w:rPr>
        <w:t xml:space="preserve">[7] </w:t>
      </w:r>
      <w:r>
        <w:rPr>
          <w:rFonts w:ascii="Arial" w:cs="Arial" w:eastAsia="Arial" w:hAnsi="Arial"/>
          <w:color w:val="333333"/>
          <w:sz w:val="22"/>
          <w:szCs w:val="22"/>
        </w:rPr>
        <w:t xml:space="preserve">NETL QGESS series (cost estimation methodology, capital cost scaling, retrofit factors, fuel prices, CO₂ T&amp;S). </w:t>
      </w:r>
      <w:r>
        <w:rPr>
          <w:rFonts w:ascii="Arial" w:cs="Arial" w:eastAsia="Arial" w:hAnsi="Arial"/>
          <w:color w:val="2D5B9E"/>
          <w:sz w:val="18"/>
          <w:szCs w:val="18"/>
        </w:rPr>
        <w:t xml:space="preserve">https://netl.doe.gov/node/7513</w:t>
      </w:r>
    </w:p>
    <w:p>
      <w:pPr>
        <w:pStyle w:val="Heading2"/>
        <w:spacing w:before="240" w:after="140"/>
      </w:pPr>
      <w:r>
        <w:rPr>
          <w:rFonts w:ascii="Arial" w:cs="Arial" w:eastAsia="Arial" w:hAnsi="Arial"/>
          <w:b/>
          <w:bCs/>
          <w:color w:val="1A1A2E"/>
          <w:sz w:val="26"/>
          <w:szCs w:val="26"/>
        </w:rPr>
        <w:t xml:space="preserve">14.2 Hydrogen / ATR Studies</w:t>
      </w:r>
    </w:p>
    <w:p>
      <w:pPr>
        <w:pStyle w:val="ListParagraph"/>
        <w:numPr>
          <w:ilvl w:val="0"/>
          <w:numId w:val="2"/>
        </w:numPr>
        <w:spacing w:after="60"/>
      </w:pPr>
      <w:r>
        <w:rPr>
          <w:rFonts w:ascii="Arial" w:cs="Arial" w:eastAsia="Arial" w:hAnsi="Arial"/>
          <w:b/>
          <w:bCs/>
          <w:color w:val="2D5B9E"/>
          <w:sz w:val="22"/>
          <w:szCs w:val="22"/>
        </w:rPr>
        <w:t xml:space="preserve">[8] </w:t>
      </w:r>
      <w:r>
        <w:rPr>
          <w:rFonts w:ascii="Arial" w:cs="Arial" w:eastAsia="Arial" w:hAnsi="Arial"/>
          <w:color w:val="333333"/>
          <w:sz w:val="22"/>
          <w:szCs w:val="22"/>
        </w:rPr>
        <w:t xml:space="preserve">IEAGHG, “Low Carbon Hydrogen from Natural Gas: Global Roadmap,” Technical Report 2022-07, August 2022. </w:t>
      </w:r>
      <w:r>
        <w:rPr>
          <w:rFonts w:ascii="Arial" w:cs="Arial" w:eastAsia="Arial" w:hAnsi="Arial"/>
          <w:color w:val="2D5B9E"/>
          <w:sz w:val="18"/>
          <w:szCs w:val="18"/>
        </w:rPr>
        <w:t xml:space="preserve">https://publications.ieaghg.org/technicalreports/2022-07%20Low-Carbon%20Hydrogen%20from%20Natural%20Gas%20Global%20Roadmap.pdf</w:t>
      </w:r>
    </w:p>
    <w:p>
      <w:pPr>
        <w:pStyle w:val="ListParagraph"/>
        <w:numPr>
          <w:ilvl w:val="0"/>
          <w:numId w:val="2"/>
        </w:numPr>
        <w:spacing w:after="60"/>
      </w:pPr>
      <w:r>
        <w:rPr>
          <w:rFonts w:ascii="Arial" w:cs="Arial" w:eastAsia="Arial" w:hAnsi="Arial"/>
          <w:b/>
          <w:bCs/>
          <w:color w:val="2D5B9E"/>
          <w:sz w:val="22"/>
          <w:szCs w:val="22"/>
        </w:rPr>
        <w:t xml:space="preserve">[9] </w:t>
      </w:r>
      <w:r>
        <w:rPr>
          <w:rFonts w:ascii="Arial" w:cs="Arial" w:eastAsia="Arial" w:hAnsi="Arial"/>
          <w:color w:val="333333"/>
          <w:sz w:val="22"/>
          <w:szCs w:val="22"/>
        </w:rPr>
        <w:t xml:space="preserve">IEAGHG, “Techno-Economic Evaluation of SMR Based Standalone Hydrogen Plant with CCS.” </w:t>
      </w:r>
      <w:r>
        <w:rPr>
          <w:rFonts w:ascii="Arial" w:cs="Arial" w:eastAsia="Arial" w:hAnsi="Arial"/>
          <w:color w:val="2D5B9E"/>
          <w:sz w:val="18"/>
          <w:szCs w:val="18"/>
        </w:rPr>
        <w:t xml:space="preserve">https://ieaghg.org/publications/techno-economic-evaluation-of-smr-based-standalone-merchant-hydrogen-plant-with-ccs/</w:t>
      </w:r>
    </w:p>
    <w:p>
      <w:pPr>
        <w:pStyle w:val="ListParagraph"/>
        <w:numPr>
          <w:ilvl w:val="0"/>
          <w:numId w:val="2"/>
        </w:numPr>
        <w:spacing w:after="60"/>
      </w:pPr>
      <w:r>
        <w:rPr>
          <w:rFonts w:ascii="Arial" w:cs="Arial" w:eastAsia="Arial" w:hAnsi="Arial"/>
          <w:b/>
          <w:bCs/>
          <w:color w:val="2D5B9E"/>
          <w:sz w:val="22"/>
          <w:szCs w:val="22"/>
        </w:rPr>
        <w:t xml:space="preserve">[10] </w:t>
      </w:r>
      <w:r>
        <w:rPr>
          <w:rFonts w:ascii="Arial" w:cs="Arial" w:eastAsia="Arial" w:hAnsi="Arial"/>
          <w:color w:val="333333"/>
          <w:sz w:val="22"/>
          <w:szCs w:val="22"/>
        </w:rPr>
        <w:t xml:space="preserve">ICF, “Comparing the Costs of Industrial Hydrogen Technologies,” November 2023. </w:t>
      </w:r>
      <w:r>
        <w:rPr>
          <w:rFonts w:ascii="Arial" w:cs="Arial" w:eastAsia="Arial" w:hAnsi="Arial"/>
          <w:color w:val="2D5B9E"/>
          <w:sz w:val="18"/>
          <w:szCs w:val="18"/>
        </w:rPr>
        <w:t xml:space="preserve">https://www.icf.com/insights/energy/comparing-costs-of-industrial-hydrogen-technologies</w:t>
      </w:r>
    </w:p>
    <w:p>
      <w:pPr>
        <w:pStyle w:val="ListParagraph"/>
        <w:numPr>
          <w:ilvl w:val="0"/>
          <w:numId w:val="2"/>
        </w:numPr>
        <w:spacing w:after="60"/>
      </w:pPr>
      <w:r>
        <w:rPr>
          <w:rFonts w:ascii="Arial" w:cs="Arial" w:eastAsia="Arial" w:hAnsi="Arial"/>
          <w:b/>
          <w:bCs/>
          <w:color w:val="2D5B9E"/>
          <w:sz w:val="22"/>
          <w:szCs w:val="22"/>
        </w:rPr>
        <w:t xml:space="preserve">[11] </w:t>
      </w:r>
      <w:r>
        <w:rPr>
          <w:rFonts w:ascii="Arial" w:cs="Arial" w:eastAsia="Arial" w:hAnsi="Arial"/>
          <w:color w:val="333333"/>
          <w:sz w:val="22"/>
          <w:szCs w:val="22"/>
        </w:rPr>
        <w:t xml:space="preserve">Oni et al., “Comparative assessment of blue hydrogen from SMR, ATR, and NGD technologies,” Energy Conversion and Management, 2022. </w:t>
      </w:r>
      <w:r>
        <w:rPr>
          <w:rFonts w:ascii="Arial" w:cs="Arial" w:eastAsia="Arial" w:hAnsi="Arial"/>
          <w:color w:val="2D5B9E"/>
          <w:sz w:val="18"/>
          <w:szCs w:val="18"/>
        </w:rPr>
        <w:t xml:space="preserve">https://www.sciencedirect.com/science/article/pii/S0196890422000413</w:t>
      </w:r>
    </w:p>
    <w:p>
      <w:pPr>
        <w:pStyle w:val="ListParagraph"/>
        <w:numPr>
          <w:ilvl w:val="0"/>
          <w:numId w:val="2"/>
        </w:numPr>
        <w:spacing w:after="60"/>
      </w:pPr>
      <w:r>
        <w:rPr>
          <w:rFonts w:ascii="Arial" w:cs="Arial" w:eastAsia="Arial" w:hAnsi="Arial"/>
          <w:b/>
          <w:bCs/>
          <w:color w:val="2D5B9E"/>
          <w:sz w:val="22"/>
          <w:szCs w:val="22"/>
        </w:rPr>
        <w:t xml:space="preserve">[12] </w:t>
      </w:r>
      <w:r>
        <w:rPr>
          <w:rFonts w:ascii="Arial" w:cs="Arial" w:eastAsia="Arial" w:hAnsi="Arial"/>
          <w:color w:val="333333"/>
          <w:sz w:val="22"/>
          <w:szCs w:val="22"/>
        </w:rPr>
        <w:t xml:space="preserve">ScienceDirect, “H₂ production through natural gas reforming and carbon capture: TEA and LCA comparison,” 2023. </w:t>
      </w:r>
      <w:r>
        <w:rPr>
          <w:rFonts w:ascii="Arial" w:cs="Arial" w:eastAsia="Arial" w:hAnsi="Arial"/>
          <w:color w:val="2D5B9E"/>
          <w:sz w:val="18"/>
          <w:szCs w:val="18"/>
        </w:rPr>
        <w:t xml:space="preserve">https://www.sciencedirect.com/science/article/abs/pii/S0360319923048760</w:t>
      </w:r>
    </w:p>
    <w:p>
      <w:pPr>
        <w:pStyle w:val="ListParagraph"/>
        <w:numPr>
          <w:ilvl w:val="0"/>
          <w:numId w:val="2"/>
        </w:numPr>
        <w:spacing w:after="60"/>
      </w:pPr>
      <w:r>
        <w:rPr>
          <w:rFonts w:ascii="Arial" w:cs="Arial" w:eastAsia="Arial" w:hAnsi="Arial"/>
          <w:b/>
          <w:bCs/>
          <w:color w:val="2D5B9E"/>
          <w:sz w:val="22"/>
          <w:szCs w:val="22"/>
        </w:rPr>
        <w:t xml:space="preserve">[13] </w:t>
      </w:r>
      <w:r>
        <w:rPr>
          <w:rFonts w:ascii="Arial" w:cs="Arial" w:eastAsia="Arial" w:hAnsi="Arial"/>
          <w:color w:val="333333"/>
          <w:sz w:val="22"/>
          <w:szCs w:val="22"/>
        </w:rPr>
        <w:t xml:space="preserve">Zhang et al., “Model Development and TEA of SMR and ATR with High CO₂ Capture Rate,” SSRN, November 2024. </w:t>
      </w:r>
      <w:r>
        <w:rPr>
          <w:rFonts w:ascii="Arial" w:cs="Arial" w:eastAsia="Arial" w:hAnsi="Arial"/>
          <w:color w:val="2D5B9E"/>
          <w:sz w:val="18"/>
          <w:szCs w:val="18"/>
        </w:rPr>
        <w:t xml:space="preserve">https://papers.ssrn.com/sol3/papers.cfm?abstract_id=5012414</w:t>
      </w:r>
    </w:p>
    <w:p>
      <w:pPr>
        <w:pStyle w:val="ListParagraph"/>
        <w:numPr>
          <w:ilvl w:val="0"/>
          <w:numId w:val="2"/>
        </w:numPr>
        <w:spacing w:after="60"/>
      </w:pPr>
      <w:r>
        <w:rPr>
          <w:rFonts w:ascii="Arial" w:cs="Arial" w:eastAsia="Arial" w:hAnsi="Arial"/>
          <w:b/>
          <w:bCs/>
          <w:color w:val="2D5B9E"/>
          <w:sz w:val="22"/>
          <w:szCs w:val="22"/>
        </w:rPr>
        <w:t xml:space="preserve">[14] </w:t>
      </w:r>
      <w:r>
        <w:rPr>
          <w:rFonts w:ascii="Arial" w:cs="Arial" w:eastAsia="Arial" w:hAnsi="Arial"/>
          <w:color w:val="333333"/>
          <w:sz w:val="22"/>
          <w:szCs w:val="22"/>
        </w:rPr>
        <w:t xml:space="preserve">Ammonia Energy Association, “Gas-based reforming for low-emission ammonia production: ATR, POX, and two-step reforming,” 2025. </w:t>
      </w:r>
      <w:r>
        <w:rPr>
          <w:rFonts w:ascii="Arial" w:cs="Arial" w:eastAsia="Arial" w:hAnsi="Arial"/>
          <w:color w:val="2D5B9E"/>
          <w:sz w:val="18"/>
          <w:szCs w:val="18"/>
        </w:rPr>
        <w:t xml:space="preserve">https://ammoniaenergy.org/articles/gas-based-reforming-for-low-emission-ammonia-production-atr-pox-and-two-step-reforming/</w:t>
      </w:r>
    </w:p>
    <w:p>
      <w:pPr>
        <w:pStyle w:val="ListParagraph"/>
        <w:numPr>
          <w:ilvl w:val="0"/>
          <w:numId w:val="2"/>
        </w:numPr>
        <w:spacing w:after="60"/>
      </w:pPr>
      <w:r>
        <w:rPr>
          <w:rFonts w:ascii="Arial" w:cs="Arial" w:eastAsia="Arial" w:hAnsi="Arial"/>
          <w:b/>
          <w:bCs/>
          <w:color w:val="2D5B9E"/>
          <w:sz w:val="22"/>
          <w:szCs w:val="22"/>
        </w:rPr>
        <w:t xml:space="preserve">[15] </w:t>
      </w:r>
      <w:r>
        <w:rPr>
          <w:rFonts w:ascii="Arial" w:cs="Arial" w:eastAsia="Arial" w:hAnsi="Arial"/>
          <w:color w:val="333333"/>
          <w:sz w:val="22"/>
          <w:szCs w:val="22"/>
        </w:rPr>
        <w:t xml:space="preserve">AIChE, “Autothermal Reformer-Based Ammonia Production,” CEP, January 2025. </w:t>
      </w:r>
      <w:r>
        <w:rPr>
          <w:rFonts w:ascii="Arial" w:cs="Arial" w:eastAsia="Arial" w:hAnsi="Arial"/>
          <w:color w:val="2D5B9E"/>
          <w:sz w:val="18"/>
          <w:szCs w:val="18"/>
        </w:rPr>
        <w:t xml:space="preserve">https://publications.aiche.org/cep/2025/january/autothermal-reformer-based-ammonia-production</w:t>
      </w:r>
    </w:p>
    <w:p>
      <w:pPr>
        <w:pStyle w:val="Heading2"/>
        <w:spacing w:before="240" w:after="140"/>
      </w:pPr>
      <w:r>
        <w:rPr>
          <w:rFonts w:ascii="Arial" w:cs="Arial" w:eastAsia="Arial" w:hAnsi="Arial"/>
          <w:b/>
          <w:bCs/>
          <w:color w:val="1A1A2E"/>
          <w:sz w:val="26"/>
          <w:szCs w:val="26"/>
        </w:rPr>
        <w:t xml:space="preserve">14.3 DAC &amp; CDR</w:t>
      </w:r>
    </w:p>
    <w:p>
      <w:pPr>
        <w:pStyle w:val="ListParagraph"/>
        <w:numPr>
          <w:ilvl w:val="0"/>
          <w:numId w:val="2"/>
        </w:numPr>
        <w:spacing w:after="60"/>
      </w:pPr>
      <w:r>
        <w:rPr>
          <w:rFonts w:ascii="Arial" w:cs="Arial" w:eastAsia="Arial" w:hAnsi="Arial"/>
          <w:b/>
          <w:bCs/>
          <w:color w:val="2D5B9E"/>
          <w:sz w:val="22"/>
          <w:szCs w:val="22"/>
        </w:rPr>
        <w:t xml:space="preserve">[16] </w:t>
      </w:r>
      <w:r>
        <w:rPr>
          <w:rFonts w:ascii="Arial" w:cs="Arial" w:eastAsia="Arial" w:hAnsi="Arial"/>
          <w:color w:val="333333"/>
          <w:sz w:val="22"/>
          <w:szCs w:val="22"/>
        </w:rPr>
        <w:t xml:space="preserve">IEAGHG, “Global Assessment of Direct Air Capture Costs,” 2024. </w:t>
      </w:r>
      <w:r>
        <w:rPr>
          <w:rFonts w:ascii="Arial" w:cs="Arial" w:eastAsia="Arial" w:hAnsi="Arial"/>
          <w:color w:val="2D5B9E"/>
          <w:sz w:val="18"/>
          <w:szCs w:val="18"/>
        </w:rPr>
        <w:t xml:space="preserve">https://ieaghg.org/publications/global-assessment-of-direct-air-capture-costs/</w:t>
      </w:r>
    </w:p>
    <w:p>
      <w:pPr>
        <w:pStyle w:val="ListParagraph"/>
        <w:numPr>
          <w:ilvl w:val="0"/>
          <w:numId w:val="2"/>
        </w:numPr>
        <w:spacing w:after="60"/>
      </w:pPr>
      <w:r>
        <w:rPr>
          <w:rFonts w:ascii="Arial" w:cs="Arial" w:eastAsia="Arial" w:hAnsi="Arial"/>
          <w:b/>
          <w:bCs/>
          <w:color w:val="2D5B9E"/>
          <w:sz w:val="22"/>
          <w:szCs w:val="22"/>
        </w:rPr>
        <w:t xml:space="preserve">[17] </w:t>
      </w:r>
      <w:r>
        <w:rPr>
          <w:rFonts w:ascii="Arial" w:cs="Arial" w:eastAsia="Arial" w:hAnsi="Arial"/>
          <w:color w:val="333333"/>
          <w:sz w:val="22"/>
          <w:szCs w:val="22"/>
        </w:rPr>
        <w:t xml:space="preserve">NETL DAC TEA Presentation. </w:t>
      </w:r>
      <w:r>
        <w:rPr>
          <w:rFonts w:ascii="Arial" w:cs="Arial" w:eastAsia="Arial" w:hAnsi="Arial"/>
          <w:color w:val="2D5B9E"/>
          <w:sz w:val="18"/>
          <w:szCs w:val="18"/>
        </w:rPr>
        <w:t xml:space="preserve">https://netl.doe.gov/sites/default/files/netl-file/21DAC_Fout.pdf</w:t>
      </w:r>
    </w:p>
    <w:p>
      <w:pPr>
        <w:pStyle w:val="ListParagraph"/>
        <w:numPr>
          <w:ilvl w:val="0"/>
          <w:numId w:val="2"/>
        </w:numPr>
        <w:spacing w:after="60"/>
      </w:pPr>
      <w:r>
        <w:rPr>
          <w:rFonts w:ascii="Arial" w:cs="Arial" w:eastAsia="Arial" w:hAnsi="Arial"/>
          <w:b/>
          <w:bCs/>
          <w:color w:val="2D5B9E"/>
          <w:sz w:val="22"/>
          <w:szCs w:val="22"/>
        </w:rPr>
        <w:t xml:space="preserve">[18] </w:t>
      </w:r>
      <w:r>
        <w:rPr>
          <w:rFonts w:ascii="Arial" w:cs="Arial" w:eastAsia="Arial" w:hAnsi="Arial"/>
          <w:color w:val="333333"/>
          <w:sz w:val="22"/>
          <w:szCs w:val="22"/>
        </w:rPr>
        <w:t xml:space="preserve">Joule, “Considering technology characteristics to project future costs of DAC,” 2024. </w:t>
      </w:r>
      <w:r>
        <w:rPr>
          <w:rFonts w:ascii="Arial" w:cs="Arial" w:eastAsia="Arial" w:hAnsi="Arial"/>
          <w:color w:val="2D5B9E"/>
          <w:sz w:val="18"/>
          <w:szCs w:val="18"/>
        </w:rPr>
        <w:t xml:space="preserve">https://www.cell.com/joule/fulltext/S2542-4351(24)00060-6</w:t>
      </w:r>
    </w:p>
    <w:p>
      <w:pPr>
        <w:pStyle w:val="ListParagraph"/>
        <w:numPr>
          <w:ilvl w:val="0"/>
          <w:numId w:val="2"/>
        </w:numPr>
        <w:spacing w:after="60"/>
      </w:pPr>
      <w:r>
        <w:rPr>
          <w:rFonts w:ascii="Arial" w:cs="Arial" w:eastAsia="Arial" w:hAnsi="Arial"/>
          <w:b/>
          <w:bCs/>
          <w:color w:val="2D5B9E"/>
          <w:sz w:val="22"/>
          <w:szCs w:val="22"/>
        </w:rPr>
        <w:t xml:space="preserve">[19] </w:t>
      </w:r>
      <w:r>
        <w:rPr>
          <w:rFonts w:ascii="Arial" w:cs="Arial" w:eastAsia="Arial" w:hAnsi="Arial"/>
          <w:color w:val="333333"/>
          <w:sz w:val="22"/>
          <w:szCs w:val="22"/>
        </w:rPr>
        <w:t xml:space="preserve">Nature Communications Engineering, “Co-assessment of costs and environmental impacts for off-grid DACS systems,” 2024. </w:t>
      </w:r>
      <w:r>
        <w:rPr>
          <w:rFonts w:ascii="Arial" w:cs="Arial" w:eastAsia="Arial" w:hAnsi="Arial"/>
          <w:color w:val="2D5B9E"/>
          <w:sz w:val="18"/>
          <w:szCs w:val="18"/>
        </w:rPr>
        <w:t xml:space="preserve">https://www.nature.com/articles/s44172-023-00152-6</w:t>
      </w:r>
    </w:p>
    <w:p>
      <w:pPr>
        <w:pStyle w:val="Heading2"/>
        <w:spacing w:before="240" w:after="140"/>
      </w:pPr>
      <w:r>
        <w:rPr>
          <w:rFonts w:ascii="Arial" w:cs="Arial" w:eastAsia="Arial" w:hAnsi="Arial"/>
          <w:b/>
          <w:bCs/>
          <w:color w:val="1A1A2E"/>
          <w:sz w:val="26"/>
          <w:szCs w:val="26"/>
        </w:rPr>
        <w:t xml:space="preserve">14.4 Biomass / BECCS</w:t>
      </w:r>
    </w:p>
    <w:p>
      <w:pPr>
        <w:pStyle w:val="ListParagraph"/>
        <w:numPr>
          <w:ilvl w:val="0"/>
          <w:numId w:val="2"/>
        </w:numPr>
        <w:spacing w:after="60"/>
      </w:pPr>
      <w:r>
        <w:rPr>
          <w:rFonts w:ascii="Arial" w:cs="Arial" w:eastAsia="Arial" w:hAnsi="Arial"/>
          <w:b/>
          <w:bCs/>
          <w:color w:val="2D5B9E"/>
          <w:sz w:val="22"/>
          <w:szCs w:val="22"/>
        </w:rPr>
        <w:t xml:space="preserve">[20] </w:t>
      </w:r>
      <w:r>
        <w:rPr>
          <w:rFonts w:ascii="Arial" w:cs="Arial" w:eastAsia="Arial" w:hAnsi="Arial"/>
          <w:color w:val="333333"/>
          <w:sz w:val="22"/>
          <w:szCs w:val="22"/>
        </w:rPr>
        <w:t xml:space="preserve">ScienceDirect, “BECCS technology to achieve net zero emissions – A review,” 2024. CO₂ capture costs $40–120/t. </w:t>
      </w:r>
      <w:r>
        <w:rPr>
          <w:rFonts w:ascii="Arial" w:cs="Arial" w:eastAsia="Arial" w:hAnsi="Arial"/>
          <w:color w:val="2D5B9E"/>
          <w:sz w:val="18"/>
          <w:szCs w:val="18"/>
        </w:rPr>
        <w:t xml:space="preserve">https://www.sciencedirect.com/science/article/pii/S1364032124009559</w:t>
      </w:r>
    </w:p>
    <w:p>
      <w:pPr>
        <w:pStyle w:val="ListParagraph"/>
        <w:numPr>
          <w:ilvl w:val="0"/>
          <w:numId w:val="2"/>
        </w:numPr>
        <w:spacing w:after="60"/>
      </w:pPr>
      <w:r>
        <w:rPr>
          <w:rFonts w:ascii="Arial" w:cs="Arial" w:eastAsia="Arial" w:hAnsi="Arial"/>
          <w:b/>
          <w:bCs/>
          <w:color w:val="2D5B9E"/>
          <w:sz w:val="22"/>
          <w:szCs w:val="22"/>
        </w:rPr>
        <w:t xml:space="preserve">[21] </w:t>
      </w:r>
      <w:r>
        <w:rPr>
          <w:rFonts w:ascii="Arial" w:cs="Arial" w:eastAsia="Arial" w:hAnsi="Arial"/>
          <w:color w:val="333333"/>
          <w:sz w:val="22"/>
          <w:szCs w:val="22"/>
        </w:rPr>
        <w:t xml:space="preserve">ORNL, “The Economic Accessibility of CO₂ Sequestration through BECCS in the US,” 2020. $42–137/t. </w:t>
      </w:r>
      <w:r>
        <w:rPr>
          <w:rFonts w:ascii="Arial" w:cs="Arial" w:eastAsia="Arial" w:hAnsi="Arial"/>
          <w:color w:val="2D5B9E"/>
          <w:sz w:val="18"/>
          <w:szCs w:val="18"/>
        </w:rPr>
        <w:t xml:space="preserve">https://www.mdpi.com/2073-445X/9/9/299</w:t>
      </w:r>
    </w:p>
    <w:p>
      <w:pPr>
        <w:pStyle w:val="ListParagraph"/>
        <w:numPr>
          <w:ilvl w:val="0"/>
          <w:numId w:val="2"/>
        </w:numPr>
        <w:spacing w:after="60"/>
      </w:pPr>
      <w:r>
        <w:rPr>
          <w:rFonts w:ascii="Arial" w:cs="Arial" w:eastAsia="Arial" w:hAnsi="Arial"/>
          <w:b/>
          <w:bCs/>
          <w:color w:val="2D5B9E"/>
          <w:sz w:val="22"/>
          <w:szCs w:val="22"/>
        </w:rPr>
        <w:t xml:space="preserve">[22] </w:t>
      </w:r>
      <w:r>
        <w:rPr>
          <w:rFonts w:ascii="Arial" w:cs="Arial" w:eastAsia="Arial" w:hAnsi="Arial"/>
          <w:color w:val="333333"/>
          <w:sz w:val="22"/>
          <w:szCs w:val="22"/>
        </w:rPr>
        <w:t xml:space="preserve">IEA, “Bioenergy with Carbon Capture and Storage,” tracking page. </w:t>
      </w:r>
      <w:r>
        <w:rPr>
          <w:rFonts w:ascii="Arial" w:cs="Arial" w:eastAsia="Arial" w:hAnsi="Arial"/>
          <w:color w:val="2D5B9E"/>
          <w:sz w:val="18"/>
          <w:szCs w:val="18"/>
        </w:rPr>
        <w:t xml:space="preserve">https://www.iea.org/energy-system/carbon-capture-utilisation-and-storage/bioenergy-with-carbon-capture-and-storage</w:t>
      </w:r>
    </w:p>
    <w:p>
      <w:pPr>
        <w:pStyle w:val="Heading2"/>
        <w:spacing w:before="240" w:after="140"/>
      </w:pPr>
      <w:r>
        <w:rPr>
          <w:rFonts w:ascii="Arial" w:cs="Arial" w:eastAsia="Arial" w:hAnsi="Arial"/>
          <w:b/>
          <w:bCs/>
          <w:color w:val="1A1A2E"/>
          <w:sz w:val="26"/>
          <w:szCs w:val="26"/>
        </w:rPr>
        <w:t xml:space="preserve">14.5 MOF &amp; Membrane</w:t>
      </w:r>
    </w:p>
    <w:p>
      <w:pPr>
        <w:pStyle w:val="ListParagraph"/>
        <w:numPr>
          <w:ilvl w:val="0"/>
          <w:numId w:val="2"/>
        </w:numPr>
        <w:spacing w:after="60"/>
      </w:pPr>
      <w:r>
        <w:rPr>
          <w:rFonts w:ascii="Arial" w:cs="Arial" w:eastAsia="Arial" w:hAnsi="Arial"/>
          <w:b/>
          <w:bCs/>
          <w:color w:val="2D5B9E"/>
          <w:sz w:val="22"/>
          <w:szCs w:val="22"/>
        </w:rPr>
        <w:t xml:space="preserve">[23] </w:t>
      </w:r>
      <w:r>
        <w:rPr>
          <w:rFonts w:ascii="Arial" w:cs="Arial" w:eastAsia="Arial" w:hAnsi="Arial"/>
          <w:color w:val="333333"/>
          <w:sz w:val="22"/>
          <w:szCs w:val="22"/>
        </w:rPr>
        <w:t xml:space="preserve">Nature Materials, “A market for metal–organic frameworks,” 2025. </w:t>
      </w:r>
      <w:r>
        <w:rPr>
          <w:rFonts w:ascii="Arial" w:cs="Arial" w:eastAsia="Arial" w:hAnsi="Arial"/>
          <w:color w:val="2D5B9E"/>
          <w:sz w:val="18"/>
          <w:szCs w:val="18"/>
        </w:rPr>
        <w:t xml:space="preserve">https://www.nature.com/articles/s41563-025-02147-4</w:t>
      </w:r>
    </w:p>
    <w:p>
      <w:pPr>
        <w:pStyle w:val="ListParagraph"/>
        <w:numPr>
          <w:ilvl w:val="0"/>
          <w:numId w:val="2"/>
        </w:numPr>
        <w:spacing w:after="60"/>
      </w:pPr>
      <w:r>
        <w:rPr>
          <w:rFonts w:ascii="Arial" w:cs="Arial" w:eastAsia="Arial" w:hAnsi="Arial"/>
          <w:b/>
          <w:bCs/>
          <w:color w:val="2D5B9E"/>
          <w:sz w:val="22"/>
          <w:szCs w:val="22"/>
        </w:rPr>
        <w:t xml:space="preserve">[24] </w:t>
      </w:r>
      <w:r>
        <w:rPr>
          <w:rFonts w:ascii="Arial" w:cs="Arial" w:eastAsia="Arial" w:hAnsi="Arial"/>
          <w:color w:val="333333"/>
          <w:sz w:val="22"/>
          <w:szCs w:val="22"/>
        </w:rPr>
        <w:t xml:space="preserve">Nature Sustainability, “Pyridinic-graphene membranes for CO₂ capture,” 2025. $25–100/t for coal/cement, $50–100/t for NGCC. </w:t>
      </w:r>
      <w:r>
        <w:rPr>
          <w:rFonts w:ascii="Arial" w:cs="Arial" w:eastAsia="Arial" w:hAnsi="Arial"/>
          <w:color w:val="2D5B9E"/>
          <w:sz w:val="18"/>
          <w:szCs w:val="18"/>
        </w:rPr>
        <w:t xml:space="preserve">https://www.nature.com/articles/s41893-025-01696-5</w:t>
      </w:r>
    </w:p>
    <w:p>
      <w:pPr>
        <w:pStyle w:val="ListParagraph"/>
        <w:numPr>
          <w:ilvl w:val="0"/>
          <w:numId w:val="2"/>
        </w:numPr>
        <w:spacing w:after="60"/>
      </w:pPr>
      <w:r>
        <w:rPr>
          <w:rFonts w:ascii="Arial" w:cs="Arial" w:eastAsia="Arial" w:hAnsi="Arial"/>
          <w:b/>
          <w:bCs/>
          <w:color w:val="2D5B9E"/>
          <w:sz w:val="22"/>
          <w:szCs w:val="22"/>
        </w:rPr>
        <w:t xml:space="preserve">[25] </w:t>
      </w:r>
      <w:r>
        <w:rPr>
          <w:rFonts w:ascii="Arial" w:cs="Arial" w:eastAsia="Arial" w:hAnsi="Arial"/>
          <w:color w:val="333333"/>
          <w:sz w:val="22"/>
          <w:szCs w:val="22"/>
        </w:rPr>
        <w:t xml:space="preserve">ACS Engineering Au, “Comparative TEA of solvent, adsorbent, and membrane capture,” 2021. </w:t>
      </w:r>
      <w:r>
        <w:rPr>
          <w:rFonts w:ascii="Arial" w:cs="Arial" w:eastAsia="Arial" w:hAnsi="Arial"/>
          <w:color w:val="2D5B9E"/>
          <w:sz w:val="18"/>
          <w:szCs w:val="18"/>
        </w:rPr>
        <w:t xml:space="preserve">https://pubs.acs.org/doi/10.1021/acsengineeringau.1c00002</w:t>
      </w:r>
    </w:p>
    <w:p>
      <w:pPr>
        <w:pStyle w:val="Heading2"/>
        <w:spacing w:before="240" w:after="140"/>
      </w:pPr>
      <w:r>
        <w:rPr>
          <w:rFonts w:ascii="Arial" w:cs="Arial" w:eastAsia="Arial" w:hAnsi="Arial"/>
          <w:b/>
          <w:bCs/>
          <w:color w:val="1A1A2E"/>
          <w:sz w:val="26"/>
          <w:szCs w:val="26"/>
        </w:rPr>
        <w:t xml:space="preserve">14.6 Comprehensive Reference &amp; Standards</w:t>
      </w:r>
    </w:p>
    <w:p>
      <w:pPr>
        <w:pStyle w:val="ListParagraph"/>
        <w:numPr>
          <w:ilvl w:val="0"/>
          <w:numId w:val="2"/>
        </w:numPr>
        <w:spacing w:after="60"/>
      </w:pPr>
      <w:r>
        <w:rPr>
          <w:rFonts w:ascii="Arial" w:cs="Arial" w:eastAsia="Arial" w:hAnsi="Arial"/>
          <w:b/>
          <w:bCs/>
          <w:color w:val="2D5B9E"/>
          <w:sz w:val="22"/>
          <w:szCs w:val="22"/>
        </w:rPr>
        <w:t xml:space="preserve">[26] </w:t>
      </w:r>
      <w:r>
        <w:rPr>
          <w:rFonts w:ascii="Arial" w:cs="Arial" w:eastAsia="Arial" w:hAnsi="Arial"/>
          <w:color w:val="333333"/>
          <w:sz w:val="22"/>
          <w:szCs w:val="22"/>
        </w:rPr>
        <w:t xml:space="preserve">NREL ATB 2024, Fossil Energy Technologies. Synthesizes NETL data into standardized format. </w:t>
      </w:r>
      <w:r>
        <w:rPr>
          <w:rFonts w:ascii="Arial" w:cs="Arial" w:eastAsia="Arial" w:hAnsi="Arial"/>
          <w:color w:val="2D5B9E"/>
          <w:sz w:val="18"/>
          <w:szCs w:val="18"/>
        </w:rPr>
        <w:t xml:space="preserve">https://atb.nrel.gov/electricity/2024/fossil_energy_technologies</w:t>
      </w:r>
    </w:p>
    <w:p>
      <w:pPr>
        <w:pStyle w:val="ListParagraph"/>
        <w:numPr>
          <w:ilvl w:val="0"/>
          <w:numId w:val="2"/>
        </w:numPr>
        <w:spacing w:after="60"/>
      </w:pPr>
      <w:r>
        <w:rPr>
          <w:rFonts w:ascii="Arial" w:cs="Arial" w:eastAsia="Arial" w:hAnsi="Arial"/>
          <w:b/>
          <w:bCs/>
          <w:color w:val="2D5B9E"/>
          <w:sz w:val="22"/>
          <w:szCs w:val="22"/>
        </w:rPr>
        <w:t xml:space="preserve">[27] </w:t>
      </w:r>
      <w:r>
        <w:rPr>
          <w:rFonts w:ascii="Arial" w:cs="Arial" w:eastAsia="Arial" w:hAnsi="Arial"/>
          <w:color w:val="333333"/>
          <w:sz w:val="22"/>
          <w:szCs w:val="22"/>
        </w:rPr>
        <w:t xml:space="preserve">DOE OCED, “Portfolio Insights: Carbon Capture in the Power Sector,” 2024. </w:t>
      </w:r>
      <w:r>
        <w:rPr>
          <w:rFonts w:ascii="Arial" w:cs="Arial" w:eastAsia="Arial" w:hAnsi="Arial"/>
          <w:color w:val="2D5B9E"/>
          <w:sz w:val="18"/>
          <w:szCs w:val="18"/>
        </w:rPr>
        <w:t xml:space="preserve">https://www.energy.gov/sites/default/files/2024-04/OCED_Portfolio_Insights_CC_part_i_FINAL.pdf</w:t>
      </w:r>
    </w:p>
    <w:p>
      <w:pPr>
        <w:pStyle w:val="ListParagraph"/>
        <w:numPr>
          <w:ilvl w:val="0"/>
          <w:numId w:val="2"/>
        </w:numPr>
        <w:spacing w:after="60"/>
      </w:pPr>
      <w:r>
        <w:rPr>
          <w:rFonts w:ascii="Arial" w:cs="Arial" w:eastAsia="Arial" w:hAnsi="Arial"/>
          <w:b/>
          <w:bCs/>
          <w:color w:val="2D5B9E"/>
          <w:sz w:val="22"/>
          <w:szCs w:val="22"/>
        </w:rPr>
        <w:t xml:space="preserve">[28] </w:t>
      </w:r>
      <w:r>
        <w:rPr>
          <w:rFonts w:ascii="Arial" w:cs="Arial" w:eastAsia="Arial" w:hAnsi="Arial"/>
          <w:color w:val="333333"/>
          <w:sz w:val="22"/>
          <w:szCs w:val="22"/>
        </w:rPr>
        <w:t xml:space="preserve">IEAGHG, “Techno-Economic Assessment of Small-Scale Carbon Capture,” 2024. </w:t>
      </w:r>
      <w:r>
        <w:rPr>
          <w:rFonts w:ascii="Arial" w:cs="Arial" w:eastAsia="Arial" w:hAnsi="Arial"/>
          <w:color w:val="2D5B9E"/>
          <w:sz w:val="18"/>
          <w:szCs w:val="18"/>
        </w:rPr>
        <w:t xml:space="preserve">https://ieaghg.org/publications/techno-economic-assessment-of-small-scale-carbon-capture-for-industrial-and-power-systems/</w:t>
      </w:r>
    </w:p>
    <w:p>
      <w:pPr>
        <w:pStyle w:val="Heading2"/>
        <w:spacing w:before="240" w:after="140"/>
      </w:pPr>
      <w:r>
        <w:rPr>
          <w:rFonts w:ascii="Arial" w:cs="Arial" w:eastAsia="Arial" w:hAnsi="Arial"/>
          <w:b/>
          <w:bCs/>
          <w:color w:val="1A1A2E"/>
          <w:sz w:val="26"/>
          <w:szCs w:val="26"/>
        </w:rPr>
        <w:t xml:space="preserve">14.7 Economic &amp; Market Data</w:t>
      </w:r>
    </w:p>
    <w:p>
      <w:pPr>
        <w:pStyle w:val="ListParagraph"/>
        <w:numPr>
          <w:ilvl w:val="0"/>
          <w:numId w:val="2"/>
        </w:numPr>
        <w:spacing w:after="60"/>
      </w:pPr>
      <w:r>
        <w:rPr>
          <w:rFonts w:ascii="Arial" w:cs="Arial" w:eastAsia="Arial" w:hAnsi="Arial"/>
          <w:color w:val="333333"/>
          <w:sz w:val="22"/>
          <w:szCs w:val="22"/>
        </w:rPr>
        <w:t xml:space="preserve">EIA Table 5.6.a — Industrial electricity prices by state (2024)</w:t>
      </w:r>
    </w:p>
    <w:p>
      <w:pPr>
        <w:pStyle w:val="ListParagraph"/>
        <w:numPr>
          <w:ilvl w:val="0"/>
          <w:numId w:val="2"/>
        </w:numPr>
        <w:spacing w:after="60"/>
      </w:pPr>
      <w:r>
        <w:rPr>
          <w:rFonts w:ascii="Arial" w:cs="Arial" w:eastAsia="Arial" w:hAnsi="Arial"/>
          <w:color w:val="333333"/>
          <w:sz w:val="22"/>
          <w:szCs w:val="22"/>
        </w:rPr>
        <w:t xml:space="preserve">Bloomberg — Henry Hub forward strip (Feb 2026) and state hub basis differentials (2025 avg)</w:t>
      </w:r>
    </w:p>
    <w:p>
      <w:pPr>
        <w:pStyle w:val="ListParagraph"/>
        <w:numPr>
          <w:ilvl w:val="0"/>
          <w:numId w:val="2"/>
        </w:numPr>
        <w:spacing w:after="60"/>
      </w:pPr>
      <w:r>
        <w:rPr>
          <w:rFonts w:ascii="Arial" w:cs="Arial" w:eastAsia="Arial" w:hAnsi="Arial"/>
          <w:color w:val="333333"/>
          <w:sz w:val="22"/>
          <w:szCs w:val="22"/>
        </w:rPr>
        <w:t xml:space="preserve">Enverus / Tax Foundation — State corporate tax rates</w:t>
      </w:r>
    </w:p>
    <w:p>
      <w:pPr>
        <w:pStyle w:val="ListParagraph"/>
        <w:numPr>
          <w:ilvl w:val="0"/>
          <w:numId w:val="2"/>
        </w:numPr>
        <w:spacing w:after="60"/>
      </w:pPr>
      <w:r>
        <w:rPr>
          <w:rFonts w:ascii="Arial" w:cs="Arial" w:eastAsia="Arial" w:hAnsi="Arial"/>
          <w:color w:val="333333"/>
          <w:sz w:val="22"/>
          <w:szCs w:val="22"/>
        </w:rPr>
        <w:t xml:space="preserve">RSMeans / NETL — Construction location factors by state</w:t>
      </w:r>
    </w:p>
    <w:p>
      <w:pPr>
        <w:pStyle w:val="ListParagraph"/>
        <w:numPr>
          <w:ilvl w:val="0"/>
          <w:numId w:val="2"/>
        </w:numPr>
        <w:spacing w:after="60"/>
      </w:pPr>
      <w:r>
        <w:rPr>
          <w:rFonts w:ascii="Arial" w:cs="Arial" w:eastAsia="Arial" w:hAnsi="Arial"/>
          <w:color w:val="333333"/>
          <w:sz w:val="22"/>
          <w:szCs w:val="22"/>
        </w:rPr>
        <w:t xml:space="preserve">Chemical Engineering — CEPCI index (2018–2026)</w:t>
      </w:r>
    </w:p>
    <w:p>
      <w:pPr>
        <w:pStyle w:val="ListParagraph"/>
        <w:numPr>
          <w:ilvl w:val="0"/>
          <w:numId w:val="2"/>
        </w:numPr>
        <w:spacing w:after="60"/>
      </w:pPr>
      <w:r>
        <w:rPr>
          <w:rFonts w:ascii="Arial" w:cs="Arial" w:eastAsia="Arial" w:hAnsi="Arial"/>
          <w:color w:val="333333"/>
          <w:sz w:val="22"/>
          <w:szCs w:val="22"/>
        </w:rPr>
        <w:t xml:space="preserve">IRS — MACRS depreciation tables</w:t>
      </w:r>
    </w:p>
    <w:p>
      <w:pPr>
        <w:pStyle w:val="ListParagraph"/>
        <w:numPr>
          <w:ilvl w:val="0"/>
          <w:numId w:val="2"/>
        </w:numPr>
        <w:spacing w:after="60"/>
      </w:pPr>
      <w:r>
        <w:rPr>
          <w:rFonts w:ascii="Arial" w:cs="Arial" w:eastAsia="Arial" w:hAnsi="Arial"/>
          <w:color w:val="333333"/>
          <w:sz w:val="22"/>
          <w:szCs w:val="22"/>
        </w:rPr>
        <w:t xml:space="preserve">IRC §45Q (IRA 2022) and IRC §48C — Tax credit structures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Carbon Capture TEA Model — v2.0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6B4A"/>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D5B9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2026-03-18T20:51:19.561Z</dcterms:created>
  <dcterms:modified xsi:type="dcterms:W3CDTF">2026-03-18T20:51:19.568Z</dcterms:modified>
</cp:coreProperties>
</file>

<file path=docProps/custom.xml><?xml version="1.0" encoding="utf-8"?>
<Properties xmlns="http://schemas.openxmlformats.org/officeDocument/2006/custom-properties" xmlns:vt="http://schemas.openxmlformats.org/officeDocument/2006/docPropsVTypes"/>
</file>