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47DB7" w14:textId="77777777" w:rsidR="005D32D0" w:rsidRPr="003A18DF" w:rsidRDefault="000C7ECE" w:rsidP="007372C3">
      <w:pPr>
        <w:jc w:val="center"/>
        <w:rPr>
          <w:b/>
        </w:rPr>
      </w:pPr>
      <w:r w:rsidRPr="003A18DF">
        <w:rPr>
          <w:b/>
        </w:rPr>
        <w:t>Cryoconite Community Assembly Analysis</w:t>
      </w:r>
    </w:p>
    <w:p w14:paraId="36B80C49" w14:textId="77777777" w:rsidR="007372C3" w:rsidRDefault="007372C3"/>
    <w:p w14:paraId="4DBC2FA6" w14:textId="77777777" w:rsidR="000C7ECE" w:rsidRDefault="000C7ECE">
      <w:r>
        <w:t>My general analysis strategy is:</w:t>
      </w:r>
    </w:p>
    <w:p w14:paraId="477CD90F" w14:textId="5DFE91AF" w:rsidR="000C7ECE" w:rsidRPr="00B2633A" w:rsidRDefault="000C7ECE" w:rsidP="000C7ECE">
      <w:pPr>
        <w:pStyle w:val="ListParagraph"/>
        <w:numPr>
          <w:ilvl w:val="0"/>
          <w:numId w:val="1"/>
        </w:numPr>
        <w:rPr>
          <w:color w:val="000000" w:themeColor="text1"/>
        </w:rPr>
      </w:pPr>
      <w:r>
        <w:t>Use QIIME2 and DADA2 to process sequences into ASVs (remove primers, denoise, assign taxonomy, construct phylogenetic tree</w:t>
      </w:r>
      <w:r w:rsidRPr="00B2633A">
        <w:rPr>
          <w:color w:val="000000" w:themeColor="text1"/>
        </w:rPr>
        <w:t>)</w:t>
      </w:r>
      <w:r w:rsidR="002C4A4B" w:rsidRPr="00B2633A">
        <w:rPr>
          <w:color w:val="000000" w:themeColor="text1"/>
        </w:rPr>
        <w:t>.</w:t>
      </w:r>
    </w:p>
    <w:p w14:paraId="1B9FE18E" w14:textId="663CBD51" w:rsidR="000C7ECE" w:rsidRDefault="002C4A4B" w:rsidP="000C7ECE">
      <w:pPr>
        <w:pStyle w:val="ListParagraph"/>
        <w:numPr>
          <w:ilvl w:val="0"/>
          <w:numId w:val="1"/>
        </w:numPr>
      </w:pPr>
      <w:r>
        <w:t>P</w:t>
      </w:r>
      <w:r w:rsidR="000C7ECE">
        <w:t>repare the sequences for analysis (remov</w:t>
      </w:r>
      <w:r w:rsidR="003A18DF">
        <w:t>e</w:t>
      </w:r>
      <w:r w:rsidR="000C7ECE">
        <w:t xml:space="preserve"> contaminants, </w:t>
      </w:r>
      <w:r w:rsidR="003A18DF">
        <w:t xml:space="preserve">construct rarefaction curves, </w:t>
      </w:r>
      <w:r w:rsidR="000C7ECE">
        <w:t xml:space="preserve">normalize data for downstream analysis, create </w:t>
      </w:r>
      <w:proofErr w:type="spellStart"/>
      <w:r w:rsidR="000C7ECE">
        <w:t>phyloseq</w:t>
      </w:r>
      <w:proofErr w:type="spellEnd"/>
      <w:r w:rsidR="000C7ECE">
        <w:t xml:space="preserve"> object)</w:t>
      </w:r>
      <w:r>
        <w:t>.</w:t>
      </w:r>
    </w:p>
    <w:p w14:paraId="5F9CB48A" w14:textId="4FDE74B4" w:rsidR="000C7ECE" w:rsidRDefault="002C4A4B" w:rsidP="000C7ECE">
      <w:pPr>
        <w:pStyle w:val="ListParagraph"/>
        <w:numPr>
          <w:ilvl w:val="0"/>
          <w:numId w:val="1"/>
        </w:numPr>
      </w:pPr>
      <w:r>
        <w:t>E</w:t>
      </w:r>
      <w:r w:rsidR="000C7ECE">
        <w:t xml:space="preserve">xplore </w:t>
      </w:r>
      <w:r w:rsidR="003A18DF">
        <w:t>differences in community structure</w:t>
      </w:r>
      <w:r w:rsidR="000C7ECE">
        <w:t xml:space="preserve"> </w:t>
      </w:r>
      <w:r w:rsidR="003A18DF">
        <w:t xml:space="preserve">between locations </w:t>
      </w:r>
      <w:r w:rsidR="000C7ECE">
        <w:t>through ordination and general statistics</w:t>
      </w:r>
      <w:r>
        <w:t>.</w:t>
      </w:r>
      <w:r w:rsidR="001A614B">
        <w:rPr>
          <w:color w:val="FF0000"/>
        </w:rPr>
        <w:t xml:space="preserve"> </w:t>
      </w:r>
    </w:p>
    <w:p w14:paraId="19C6F591" w14:textId="1FF53165" w:rsidR="002C4A4B" w:rsidRDefault="002C4A4B" w:rsidP="000C7ECE">
      <w:pPr>
        <w:pStyle w:val="ListParagraph"/>
        <w:numPr>
          <w:ilvl w:val="0"/>
          <w:numId w:val="1"/>
        </w:numPr>
      </w:pPr>
      <w:r>
        <w:t xml:space="preserve">Identify </w:t>
      </w:r>
      <w:r>
        <w:rPr>
          <w:rFonts w:cstheme="majorHAnsi"/>
        </w:rPr>
        <w:t>a</w:t>
      </w:r>
      <w:r w:rsidRPr="003C1E05">
        <w:rPr>
          <w:rFonts w:cstheme="majorHAnsi"/>
        </w:rPr>
        <w:t>bundant and rare taxa based on relative abundance in local and metacommunities</w:t>
      </w:r>
      <w:r w:rsidR="007372C3">
        <w:rPr>
          <w:rFonts w:cstheme="majorHAnsi"/>
        </w:rPr>
        <w:t xml:space="preserve"> </w:t>
      </w:r>
      <w:r w:rsidR="007372C3">
        <w:rPr>
          <w:rFonts w:cstheme="majorHAnsi"/>
        </w:rPr>
        <w:fldChar w:fldCharType="begin" w:fldLock="1"/>
      </w:r>
      <w:r w:rsidR="007372C3">
        <w:rPr>
          <w:rFonts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2021)"},"properties":{"noteIndex":0},"schema":"https://github.com/citation-style-language/schema/raw/master/csl-citation.json"}</w:instrText>
      </w:r>
      <w:r w:rsidR="007372C3">
        <w:rPr>
          <w:rFonts w:cstheme="majorHAnsi"/>
        </w:rPr>
        <w:fldChar w:fldCharType="separate"/>
      </w:r>
      <w:r w:rsidR="007372C3" w:rsidRPr="007372C3">
        <w:rPr>
          <w:rFonts w:cstheme="majorHAnsi"/>
          <w:noProof/>
        </w:rPr>
        <w:t>(Li et al., 2021)</w:t>
      </w:r>
      <w:r w:rsidR="007372C3">
        <w:rPr>
          <w:rFonts w:cstheme="majorHAnsi"/>
        </w:rPr>
        <w:fldChar w:fldCharType="end"/>
      </w:r>
      <w:r w:rsidR="007372C3">
        <w:rPr>
          <w:rFonts w:cstheme="majorHAnsi"/>
        </w:rPr>
        <w:t>.</w:t>
      </w:r>
      <w:r w:rsidRPr="003C1E05">
        <w:rPr>
          <w:rFonts w:cstheme="majorHAnsi"/>
        </w:rPr>
        <w:t xml:space="preserve"> </w:t>
      </w:r>
      <w:r>
        <w:t xml:space="preserve">Repeat analysis for total, abundant and rare taxa. </w:t>
      </w:r>
      <w:r w:rsidR="006824D2">
        <w:fldChar w:fldCharType="begin" w:fldLock="1"/>
      </w:r>
      <w:r w:rsidR="006824D2">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6824D2">
        <w:rPr>
          <w:rFonts w:ascii="Cambria Math" w:hAnsi="Cambria Math" w:cs="Cambria Math"/>
        </w:rPr>
        <w:instrText>∼</w:instrText>
      </w:r>
      <w:r w:rsidR="006824D2">
        <w:instrText xml:space="preserve">25% of spatial turnover in community composition; (ii) in deeper, finer-grained sediments, Selection is strong (governing </w:instrText>
      </w:r>
      <w:r w:rsidR="006824D2">
        <w:rPr>
          <w:rFonts w:ascii="Cambria Math" w:hAnsi="Cambria Math" w:cs="Cambria Math"/>
        </w:rPr>
        <w:instrText>∼</w:instrText>
      </w:r>
      <w:r w:rsidR="006824D2">
        <w:instrText xml:space="preserve">60% of turnover), being imposed by an unmeasured but spatially structured environmental variable; (iii) in shallower, coarser-grained sediments, Selection is weaker (governing </w:instrText>
      </w:r>
      <w:r w:rsidR="006824D2">
        <w:rPr>
          <w:rFonts w:ascii="Cambria Math" w:hAnsi="Cambria Math" w:cs="Cambria Math"/>
        </w:rPr>
        <w:instrText>∼</w:instrText>
      </w:r>
      <w:r w:rsidR="006824D2">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6824D2">
        <w:fldChar w:fldCharType="separate"/>
      </w:r>
      <w:r w:rsidR="006824D2" w:rsidRPr="002C4A4B">
        <w:rPr>
          <w:noProof/>
        </w:rPr>
        <w:t>(Stegen et al., 2013)</w:t>
      </w:r>
      <w:r w:rsidR="006824D2">
        <w:fldChar w:fldCharType="end"/>
      </w:r>
      <w:r w:rsidR="006824D2">
        <w:t>.</w:t>
      </w:r>
    </w:p>
    <w:p w14:paraId="00C77094" w14:textId="1C74A591" w:rsidR="002C4A4B" w:rsidRDefault="002C4A4B" w:rsidP="000C7ECE">
      <w:pPr>
        <w:pStyle w:val="ListParagraph"/>
        <w:numPr>
          <w:ilvl w:val="0"/>
          <w:numId w:val="1"/>
        </w:numPr>
      </w:pPr>
      <w:r>
        <w:t>If cryoconite hole area and/or GPS coordinates are available, use statistical tests and linear/logistic models to explore the relationship between</w:t>
      </w:r>
      <w:r w:rsidR="003A18DF">
        <w:t xml:space="preserve"> cryoconite</w:t>
      </w:r>
      <w:r>
        <w:t xml:space="preserve"> hole area and species richness, as well as community dissimilarity and geographic distance. </w:t>
      </w:r>
    </w:p>
    <w:p w14:paraId="0FCD796C" w14:textId="6DE909ED" w:rsidR="002C4A4B" w:rsidRDefault="002C4A4B" w:rsidP="000C7ECE">
      <w:pPr>
        <w:pStyle w:val="ListParagraph"/>
        <w:numPr>
          <w:ilvl w:val="0"/>
          <w:numId w:val="1"/>
        </w:numPr>
      </w:pPr>
      <w:r>
        <w:t>U</w:t>
      </w:r>
      <w:r w:rsidR="000C7ECE">
        <w:t>se phylogenetic null model</w:t>
      </w:r>
      <w:r w:rsidR="003A18DF">
        <w:t>s</w:t>
      </w:r>
      <w:r w:rsidR="000C7ECE">
        <w:t xml:space="preserve"> to look at the relative contribution of </w:t>
      </w:r>
      <w:r>
        <w:t xml:space="preserve">homogenous/heterogenous selection, dispersal limitation, homogenising dispersal and drift </w:t>
      </w:r>
      <w:r w:rsidR="003A18DF">
        <w:t xml:space="preserve">in community assembly </w:t>
      </w:r>
      <w:r>
        <w:fldChar w:fldCharType="begin" w:fldLock="1"/>
      </w:r>
      <w:r w:rsidR="007372C3">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7372C3">
        <w:rPr>
          <w:rFonts w:ascii="Cambria Math" w:hAnsi="Cambria Math" w:cs="Cambria Math"/>
        </w:rPr>
        <w:instrText>∼</w:instrText>
      </w:r>
      <w:r w:rsidR="007372C3">
        <w:instrText xml:space="preserve">25% of spatial turnover in community composition; (ii) in deeper, finer-grained sediments, Selection is strong (governing </w:instrText>
      </w:r>
      <w:r w:rsidR="007372C3">
        <w:rPr>
          <w:rFonts w:ascii="Cambria Math" w:hAnsi="Cambria Math" w:cs="Cambria Math"/>
        </w:rPr>
        <w:instrText>∼</w:instrText>
      </w:r>
      <w:r w:rsidR="007372C3">
        <w:instrText xml:space="preserve">60% of turnover), being imposed by an unmeasured but spatially structured environmental variable; (iii) in shallower, coarser-grained sediments, Selection is weaker (governing </w:instrText>
      </w:r>
      <w:r w:rsidR="007372C3">
        <w:rPr>
          <w:rFonts w:ascii="Cambria Math" w:hAnsi="Cambria Math" w:cs="Cambria Math"/>
        </w:rPr>
        <w:instrText>∼</w:instrText>
      </w:r>
      <w:r w:rsidR="007372C3">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fldChar w:fldCharType="separate"/>
      </w:r>
      <w:r w:rsidRPr="002C4A4B">
        <w:rPr>
          <w:noProof/>
        </w:rPr>
        <w:t>(Stegen et al., 2013)</w:t>
      </w:r>
      <w:r>
        <w:fldChar w:fldCharType="end"/>
      </w:r>
      <w:r>
        <w:t>.</w:t>
      </w:r>
    </w:p>
    <w:p w14:paraId="58B7DEC1" w14:textId="23BBCC43" w:rsidR="007372C3" w:rsidRDefault="007372C3" w:rsidP="000C7ECE">
      <w:pPr>
        <w:pStyle w:val="ListParagraph"/>
        <w:numPr>
          <w:ilvl w:val="0"/>
          <w:numId w:val="1"/>
        </w:numPr>
      </w:pPr>
      <w:r>
        <w:t>Use neutral model</w:t>
      </w:r>
      <w:r w:rsidR="003A18DF">
        <w:t>s</w:t>
      </w:r>
      <w:r>
        <w:t xml:space="preserve"> to explore the degree to which the observed relative abundance of taxa can be replicated with stochastic processes </w:t>
      </w:r>
      <w:r>
        <w:fldChar w:fldCharType="begin" w:fldLock="1"/>
      </w:r>
      <w: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structure","type":"article-journal","volume":"8"},"uris":["http://www.mendeley.com/documents/?uuid=f915f0df-07ca-43c7-b247-f08d274342de"]}],"mendeley":{"formattedCitation":"(Sloan et al., 2006)","plainTextFormattedCitation":"(Sloan et al., 2006)","previouslyFormattedCitation":"(Sloan et al., 2006)"},"properties":{"noteIndex":0},"schema":"https://github.com/citation-style-language/schema/raw/master/csl-citation.json"}</w:instrText>
      </w:r>
      <w:r>
        <w:fldChar w:fldCharType="separate"/>
      </w:r>
      <w:r w:rsidRPr="007372C3">
        <w:rPr>
          <w:noProof/>
        </w:rPr>
        <w:t>(Sloan et al., 2006)</w:t>
      </w:r>
      <w:r>
        <w:fldChar w:fldCharType="end"/>
      </w:r>
      <w:r>
        <w:t>.</w:t>
      </w:r>
      <w:r w:rsidR="00B2633A" w:rsidRPr="00B2633A">
        <w:rPr>
          <w:color w:val="FF0000"/>
        </w:rPr>
        <w:t xml:space="preserve"> </w:t>
      </w:r>
    </w:p>
    <w:p w14:paraId="20E966A2" w14:textId="4C26EF41" w:rsidR="007372C3" w:rsidRDefault="007372C3" w:rsidP="000C7ECE">
      <w:pPr>
        <w:pStyle w:val="ListParagraph"/>
        <w:numPr>
          <w:ilvl w:val="0"/>
          <w:numId w:val="1"/>
        </w:numPr>
      </w:pPr>
      <w:r>
        <w:t>Construct co-occurrence network</w:t>
      </w:r>
      <w:r w:rsidR="003A18DF">
        <w:t>s</w:t>
      </w:r>
      <w:r>
        <w:t xml:space="preserve"> to explore interactions between taxa.</w:t>
      </w:r>
      <w:r w:rsidR="00B2633A" w:rsidRPr="00B2633A">
        <w:rPr>
          <w:color w:val="FF0000"/>
        </w:rPr>
        <w:t xml:space="preserve"> </w:t>
      </w:r>
    </w:p>
    <w:p w14:paraId="35132A7F" w14:textId="2FF7A2E9" w:rsidR="007372C3" w:rsidRDefault="007372C3" w:rsidP="007372C3">
      <w:pPr>
        <w:pStyle w:val="ListParagraph"/>
        <w:numPr>
          <w:ilvl w:val="0"/>
          <w:numId w:val="1"/>
        </w:numPr>
      </w:pPr>
      <w:r>
        <w:t>Use the combined inferences of these statistical tests, multivariate analyses, null model</w:t>
      </w:r>
      <w:r w:rsidR="003A18DF">
        <w:t>s</w:t>
      </w:r>
      <w:r>
        <w:t>, neutral model</w:t>
      </w:r>
      <w:r w:rsidR="003A18DF">
        <w:t>s</w:t>
      </w:r>
      <w:r>
        <w:t xml:space="preserve"> and co-occurrence network analys</w:t>
      </w:r>
      <w:r w:rsidR="003A18DF">
        <w:t>e</w:t>
      </w:r>
      <w:r>
        <w:t xml:space="preserve">s to </w:t>
      </w:r>
      <w:r w:rsidR="003A18DF">
        <w:t>identify</w:t>
      </w:r>
      <w:r>
        <w:t xml:space="preserve"> significant differences in biogeographic patterns and community assembly mechanisms of total, abundant and rare</w:t>
      </w:r>
      <w:bookmarkStart w:id="0" w:name="_GoBack"/>
      <w:bookmarkEnd w:id="0"/>
      <w:r>
        <w:t xml:space="preserve"> cryoconite communities and their </w:t>
      </w:r>
      <w:r w:rsidR="001E2997">
        <w:t>spatial</w:t>
      </w:r>
      <w:r>
        <w:t xml:space="preserve"> variations.</w:t>
      </w:r>
    </w:p>
    <w:p w14:paraId="3B521537" w14:textId="77777777" w:rsidR="007372C3" w:rsidRDefault="007372C3" w:rsidP="007372C3">
      <w:pPr>
        <w:pStyle w:val="ListParagraph"/>
      </w:pPr>
    </w:p>
    <w:p w14:paraId="5704B8F8" w14:textId="77777777" w:rsidR="000C7ECE" w:rsidRDefault="002C4A4B" w:rsidP="002C4A4B">
      <w:r>
        <w:t>I will be giving a short presentation next month on methods for assessing community assembly mechanisms</w:t>
      </w:r>
      <w:r w:rsidR="007372C3">
        <w:t xml:space="preserve"> which will cover this analysis in more detail. All are welcome to attend!</w:t>
      </w:r>
      <w:r>
        <w:t xml:space="preserve"> </w:t>
      </w:r>
    </w:p>
    <w:p w14:paraId="6B38E1B3" w14:textId="77777777" w:rsidR="007372C3" w:rsidRDefault="007372C3" w:rsidP="002C4A4B"/>
    <w:p w14:paraId="0037878B" w14:textId="77777777" w:rsidR="007372C3" w:rsidRDefault="007372C3" w:rsidP="002C4A4B">
      <w:r>
        <w:t>References</w:t>
      </w:r>
    </w:p>
    <w:p w14:paraId="6D57882E" w14:textId="77777777" w:rsidR="007372C3" w:rsidRPr="007372C3" w:rsidRDefault="007372C3" w:rsidP="007372C3">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Pr="007372C3">
        <w:rPr>
          <w:rFonts w:ascii="Calibri" w:hAnsi="Calibri" w:cs="Calibri"/>
          <w:noProof/>
          <w:lang w:val="en-US"/>
        </w:rPr>
        <w:t xml:space="preserve">Li, M., Mi, T., He, H., Chen, Y., Zhen, Y., and Yu, Z. (2021). Active bacterial and archaeal communities in coastal sediments: Biogeography pattern, assembly process and co-occurrence relationship. </w:t>
      </w:r>
      <w:r w:rsidRPr="007372C3">
        <w:rPr>
          <w:rFonts w:ascii="Calibri" w:hAnsi="Calibri" w:cs="Calibri"/>
          <w:i/>
          <w:iCs/>
          <w:noProof/>
          <w:lang w:val="en-US"/>
        </w:rPr>
        <w:t>Sci. Total Environ.</w:t>
      </w:r>
      <w:r w:rsidRPr="007372C3">
        <w:rPr>
          <w:rFonts w:ascii="Calibri" w:hAnsi="Calibri" w:cs="Calibri"/>
          <w:noProof/>
          <w:lang w:val="en-US"/>
        </w:rPr>
        <w:t xml:space="preserve"> 750, 142252. doi:10.1016/j.scitotenv.2020.142252.</w:t>
      </w:r>
    </w:p>
    <w:p w14:paraId="52103EC1" w14:textId="77777777" w:rsidR="007372C3" w:rsidRPr="007372C3" w:rsidRDefault="007372C3" w:rsidP="007372C3">
      <w:pPr>
        <w:widowControl w:val="0"/>
        <w:autoSpaceDE w:val="0"/>
        <w:autoSpaceDN w:val="0"/>
        <w:adjustRightInd w:val="0"/>
        <w:ind w:left="480" w:hanging="480"/>
        <w:rPr>
          <w:rFonts w:ascii="Calibri" w:hAnsi="Calibri" w:cs="Calibri"/>
          <w:noProof/>
          <w:lang w:val="en-US"/>
        </w:rPr>
      </w:pPr>
      <w:r w:rsidRPr="007372C3">
        <w:rPr>
          <w:rFonts w:ascii="Calibri" w:hAnsi="Calibri" w:cs="Calibri"/>
          <w:noProof/>
          <w:lang w:val="en-US"/>
        </w:rPr>
        <w:t xml:space="preserve">Sloan, W. T., Lunn, M., Woodcock, S., Head, I. M., Nee, S., and Curtis, T. P. (2006). Quantifying the roles of immigration and chance in shaping prokaryote community structure. </w:t>
      </w:r>
      <w:r w:rsidRPr="007372C3">
        <w:rPr>
          <w:rFonts w:ascii="Calibri" w:hAnsi="Calibri" w:cs="Calibri"/>
          <w:i/>
          <w:iCs/>
          <w:noProof/>
          <w:lang w:val="en-US"/>
        </w:rPr>
        <w:t>Environ. Microbiol.</w:t>
      </w:r>
      <w:r w:rsidRPr="007372C3">
        <w:rPr>
          <w:rFonts w:ascii="Calibri" w:hAnsi="Calibri" w:cs="Calibri"/>
          <w:noProof/>
          <w:lang w:val="en-US"/>
        </w:rPr>
        <w:t xml:space="preserve"> 8, 732–740. doi:10.1111/j.1462-2920.2005.00956.x.</w:t>
      </w:r>
    </w:p>
    <w:p w14:paraId="54444582" w14:textId="77777777" w:rsidR="007372C3" w:rsidRPr="007372C3" w:rsidRDefault="007372C3" w:rsidP="007372C3">
      <w:pPr>
        <w:widowControl w:val="0"/>
        <w:autoSpaceDE w:val="0"/>
        <w:autoSpaceDN w:val="0"/>
        <w:adjustRightInd w:val="0"/>
        <w:ind w:left="480" w:hanging="480"/>
        <w:rPr>
          <w:rFonts w:ascii="Calibri" w:hAnsi="Calibri" w:cs="Calibri"/>
          <w:noProof/>
        </w:rPr>
      </w:pPr>
      <w:r w:rsidRPr="007372C3">
        <w:rPr>
          <w:rFonts w:ascii="Calibri" w:hAnsi="Calibri" w:cs="Calibri"/>
          <w:noProof/>
          <w:lang w:val="en-US"/>
        </w:rPr>
        <w:t xml:space="preserve">Stegen, J. C., Lin, X., Fredrickson, J. K., Chen, X., Kennedy, D. W., Murray, C. J., et al. (2013). Quantifying community assembly processes and identifying features that impose them. </w:t>
      </w:r>
      <w:r w:rsidRPr="007372C3">
        <w:rPr>
          <w:rFonts w:ascii="Calibri" w:hAnsi="Calibri" w:cs="Calibri"/>
          <w:i/>
          <w:iCs/>
          <w:noProof/>
          <w:lang w:val="en-US"/>
        </w:rPr>
        <w:t>ISME J.</w:t>
      </w:r>
      <w:r w:rsidRPr="007372C3">
        <w:rPr>
          <w:rFonts w:ascii="Calibri" w:hAnsi="Calibri" w:cs="Calibri"/>
          <w:noProof/>
          <w:lang w:val="en-US"/>
        </w:rPr>
        <w:t xml:space="preserve"> 7, 2069–2079. doi:10.1038/ismej.2013.93.</w:t>
      </w:r>
    </w:p>
    <w:p w14:paraId="5A2B6C6F" w14:textId="77777777" w:rsidR="007372C3" w:rsidRDefault="007372C3" w:rsidP="003A18DF">
      <w:pPr>
        <w:widowControl w:val="0"/>
        <w:autoSpaceDE w:val="0"/>
        <w:autoSpaceDN w:val="0"/>
        <w:adjustRightInd w:val="0"/>
      </w:pPr>
      <w:r>
        <w:fldChar w:fldCharType="end"/>
      </w:r>
    </w:p>
    <w:sectPr w:rsidR="007372C3"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F425C8"/>
    <w:multiLevelType w:val="hybridMultilevel"/>
    <w:tmpl w:val="2B105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ECE"/>
    <w:rsid w:val="0006406C"/>
    <w:rsid w:val="000C7ECE"/>
    <w:rsid w:val="001A614B"/>
    <w:rsid w:val="001E2997"/>
    <w:rsid w:val="002C4A4B"/>
    <w:rsid w:val="003A18DF"/>
    <w:rsid w:val="00511661"/>
    <w:rsid w:val="005155B5"/>
    <w:rsid w:val="005C39D0"/>
    <w:rsid w:val="006824D2"/>
    <w:rsid w:val="006E3383"/>
    <w:rsid w:val="007372C3"/>
    <w:rsid w:val="007574D4"/>
    <w:rsid w:val="007877CC"/>
    <w:rsid w:val="007B60A6"/>
    <w:rsid w:val="00831496"/>
    <w:rsid w:val="008D0762"/>
    <w:rsid w:val="008F6434"/>
    <w:rsid w:val="00984D87"/>
    <w:rsid w:val="009B7C4D"/>
    <w:rsid w:val="00B2633A"/>
    <w:rsid w:val="00CC492F"/>
    <w:rsid w:val="00CD36A0"/>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65EE"/>
  <w14:defaultImageDpi w14:val="32767"/>
  <w15:chartTrackingRefBased/>
  <w15:docId w15:val="{CEBAB910-6C61-8946-B06D-4FEECCB4D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E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58F74-9FE7-2D44-8F97-8A7766D7C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2351</Words>
  <Characters>13405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2021-03-18T07:22:00Z</dcterms:created>
  <dcterms:modified xsi:type="dcterms:W3CDTF">2021-03-18T07:22:00Z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