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0038B7" w14:textId="30E608F5" w:rsidR="005D32D0" w:rsidRDefault="003A1A42">
      <w:r>
        <w:t xml:space="preserve">Notes from </w:t>
      </w:r>
      <w:r w:rsidRPr="003A1A42">
        <w:rPr>
          <w:i/>
        </w:rPr>
        <w:t>Active bacterial and archaeal communities in coastal sediments: Biogeography pattern, assembly process and co-occurrence relationship</w:t>
      </w:r>
      <w:r>
        <w:t xml:space="preserve"> </w:t>
      </w:r>
      <w:r>
        <w:fldChar w:fldCharType="begin" w:fldLock="1"/>
      </w:r>
      <w:r w:rsidR="00C30D35">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fldChar w:fldCharType="separate"/>
      </w:r>
      <w:r w:rsidRPr="003A1A42">
        <w:rPr>
          <w:noProof/>
        </w:rPr>
        <w:t>(Li et al., 2021)</w:t>
      </w:r>
      <w:r>
        <w:fldChar w:fldCharType="end"/>
      </w:r>
      <w:r w:rsidR="00B14598">
        <w:t xml:space="preserve"> and </w:t>
      </w:r>
      <w:r w:rsidR="00B14598" w:rsidRPr="00B14598">
        <w:rPr>
          <w:i/>
        </w:rPr>
        <w:t>Island Biogeography of Cryoconite Hole Bacteria in Antarctica’s Taylor Valley and Around the Worl</w:t>
      </w:r>
      <w:r w:rsidR="00B14598">
        <w:t xml:space="preserve">d </w:t>
      </w:r>
      <w:r w:rsidR="00B14598">
        <w:fldChar w:fldCharType="begin" w:fldLock="1"/>
      </w:r>
      <w:r w:rsidR="00B1459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B14598">
        <w:fldChar w:fldCharType="separate"/>
      </w:r>
      <w:r w:rsidR="00B14598" w:rsidRPr="00B14598">
        <w:rPr>
          <w:noProof/>
        </w:rPr>
        <w:t>(Darcy, Gendron, Sommers, Porazinska, &amp; Schmidt, 2018)</w:t>
      </w:r>
      <w:r w:rsidR="00B14598">
        <w:fldChar w:fldCharType="end"/>
      </w:r>
    </w:p>
    <w:p w14:paraId="69C3F28A" w14:textId="1D3C7B31" w:rsidR="003A1A42" w:rsidRPr="00B14598" w:rsidRDefault="003A1A42">
      <w:pPr>
        <w:rPr>
          <w:i/>
        </w:rPr>
      </w:pPr>
    </w:p>
    <w:p w14:paraId="344ED63A" w14:textId="1429290F" w:rsidR="003A1A42" w:rsidRPr="00C30D35" w:rsidRDefault="003A1A42">
      <w:pPr>
        <w:rPr>
          <w:b/>
        </w:rPr>
      </w:pPr>
      <w:r w:rsidRPr="00C30D35">
        <w:rPr>
          <w:b/>
        </w:rPr>
        <w:t>Highlights</w:t>
      </w:r>
      <w:r w:rsidR="00B14598">
        <w:rPr>
          <w:b/>
        </w:rPr>
        <w:t xml:space="preserve"> </w:t>
      </w:r>
      <w:r w:rsidR="00B14598">
        <w:rPr>
          <w:b/>
        </w:rPr>
        <w:fldChar w:fldCharType="begin" w:fldLock="1"/>
      </w:r>
      <w:r w:rsidR="00B14598">
        <w:rPr>
          <w:b/>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B14598">
        <w:rPr>
          <w:b/>
        </w:rPr>
        <w:fldChar w:fldCharType="separate"/>
      </w:r>
      <w:r w:rsidR="00B14598" w:rsidRPr="00B14598">
        <w:rPr>
          <w:noProof/>
        </w:rPr>
        <w:t>(Li et al., 2021)</w:t>
      </w:r>
      <w:r w:rsidR="00B14598">
        <w:rPr>
          <w:b/>
        </w:rPr>
        <w:fldChar w:fldCharType="end"/>
      </w:r>
    </w:p>
    <w:p w14:paraId="66D1F8AB" w14:textId="3208FD71" w:rsidR="003A1A42" w:rsidRDefault="003A1A42">
      <w:r>
        <w:t>More heterogeneity of bacterial and archaeal activity than abundance &lt; what does this mean?</w:t>
      </w:r>
    </w:p>
    <w:p w14:paraId="690F7297" w14:textId="10E0C7A8" w:rsidR="003A1A42" w:rsidRDefault="003A1A42">
      <w:r>
        <w:t xml:space="preserve">Significant DDR found for active communities </w:t>
      </w:r>
    </w:p>
    <w:p w14:paraId="7387631A" w14:textId="6C13C815" w:rsidR="003A1A42" w:rsidRDefault="003A1A42">
      <w:r>
        <w:t>Deterministic processes more important than stochastic processes for active communities</w:t>
      </w:r>
    </w:p>
    <w:p w14:paraId="4DEFAD9D" w14:textId="335EC2B5" w:rsidR="003A1A42" w:rsidRDefault="003A1A42">
      <w:r>
        <w:t>Rare taxa more dispersal limited and/or adaption limited than abundance taxa</w:t>
      </w:r>
    </w:p>
    <w:p w14:paraId="55606E32" w14:textId="318D14C8" w:rsidR="003A1A42" w:rsidRDefault="003A1A42">
      <w:r>
        <w:t>Interspecific competition main interaction between microbes, limiting dispersal</w:t>
      </w:r>
    </w:p>
    <w:p w14:paraId="0C63081D" w14:textId="4E3AF0A3" w:rsidR="003A1A42" w:rsidRDefault="003A1A42"/>
    <w:p w14:paraId="462E8E95" w14:textId="1B5F7B12" w:rsidR="003A1A42" w:rsidRPr="00C30D35" w:rsidRDefault="003A1A42">
      <w:pPr>
        <w:rPr>
          <w:b/>
        </w:rPr>
      </w:pPr>
      <w:r w:rsidRPr="00C30D35">
        <w:rPr>
          <w:b/>
        </w:rPr>
        <w:t>Abstract</w:t>
      </w:r>
      <w:r w:rsidR="00B14598">
        <w:rPr>
          <w:b/>
        </w:rPr>
        <w:t xml:space="preserve"> </w:t>
      </w:r>
      <w:r w:rsidR="00B14598">
        <w:rPr>
          <w:b/>
        </w:rPr>
        <w:fldChar w:fldCharType="begin" w:fldLock="1"/>
      </w:r>
      <w:r w:rsidR="00B14598">
        <w:rPr>
          <w:b/>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B14598">
        <w:rPr>
          <w:b/>
        </w:rPr>
        <w:fldChar w:fldCharType="separate"/>
      </w:r>
      <w:r w:rsidR="00B14598" w:rsidRPr="00B14598">
        <w:rPr>
          <w:noProof/>
        </w:rPr>
        <w:t>(Li et al., 2021)</w:t>
      </w:r>
      <w:r w:rsidR="00B14598">
        <w:rPr>
          <w:b/>
        </w:rPr>
        <w:fldChar w:fldCharType="end"/>
      </w:r>
    </w:p>
    <w:p w14:paraId="050FB014" w14:textId="09120581" w:rsidR="003A1A42" w:rsidRDefault="003A1A42">
      <w:r>
        <w:t>Study uses qPCR and high-throughput sequencing to investigate prokaryotic community abundances and activities by quantifying abundance and express of the 16S rRNA gene.</w:t>
      </w:r>
    </w:p>
    <w:p w14:paraId="1369E46E" w14:textId="0C108DCE" w:rsidR="003A1A42" w:rsidRDefault="003A1A42">
      <w:r>
        <w:t>Study produced RNA-derived prokaryotic community biogeography, assembly mechanisms and co-occurrence relationships</w:t>
      </w:r>
    </w:p>
    <w:p w14:paraId="721CCDB5" w14:textId="4E0B7265" w:rsidR="003A1A42" w:rsidRDefault="003A1A42">
      <w:r>
        <w:t xml:space="preserve">Found more heterogeneity in community activities than abundances “and heterogeneous ecological functions among areas reflected by community </w:t>
      </w:r>
      <w:proofErr w:type="gramStart"/>
      <w:r>
        <w:t>compositions”  what</w:t>
      </w:r>
      <w:proofErr w:type="gramEnd"/>
      <w:r>
        <w:t xml:space="preserve"> does this mean?</w:t>
      </w:r>
    </w:p>
    <w:p w14:paraId="28306A47" w14:textId="42E786EC" w:rsidR="00C30D35" w:rsidRDefault="00C30D35">
      <w:r>
        <w:t xml:space="preserve">Distinct geographic groups were found for all, abundant and rare taxa as well as significant DDR. </w:t>
      </w:r>
    </w:p>
    <w:p w14:paraId="472FE114" w14:textId="6D8089A0" w:rsidR="00C30D35" w:rsidRDefault="00C30D35">
      <w:r>
        <w:t>Abundant and rare taxa had inconsistent geographic patterns.</w:t>
      </w:r>
    </w:p>
    <w:p w14:paraId="772CB582" w14:textId="10908794" w:rsidR="00C30D35" w:rsidRDefault="00C30D35">
      <w:r>
        <w:t>Deterministic processes more important for community assembly than stochastic processes.</w:t>
      </w:r>
    </w:p>
    <w:p w14:paraId="13ADF23D" w14:textId="0D0A9DA0" w:rsidR="00C30D35" w:rsidRDefault="00C30D35">
      <w:r>
        <w:t>Rare taxa show more dispersal limitation/adaption limitation and had more complex ecological processes going on, as compared to abundant taxa!</w:t>
      </w:r>
    </w:p>
    <w:p w14:paraId="6B4DBDF1" w14:textId="176891D8" w:rsidR="00C30D35" w:rsidRDefault="00C30D35">
      <w:r>
        <w:t xml:space="preserve">Interspecific competition was the dominant interaction between prokaryotic community members – which may contribute to dispersal limitation. </w:t>
      </w:r>
    </w:p>
    <w:p w14:paraId="21AFC517" w14:textId="0F67C7BF" w:rsidR="00C30D35" w:rsidRDefault="00C30D35">
      <w:r>
        <w:t>Active prokaryotic community co-occurrence patterns showed significant DDR, consistent with community compositions.</w:t>
      </w:r>
    </w:p>
    <w:p w14:paraId="1B66933A" w14:textId="492ACB52" w:rsidR="00754F04" w:rsidRDefault="00754F04"/>
    <w:p w14:paraId="09C6EBEC" w14:textId="3BEF3CEB" w:rsidR="00754F04" w:rsidRDefault="00754F04">
      <w:r w:rsidRPr="006F6C16">
        <w:rPr>
          <w:b/>
        </w:rPr>
        <w:t>Abstract</w:t>
      </w:r>
      <w:r>
        <w:t xml:space="preserve"> </w:t>
      </w:r>
      <w:r>
        <w:fldChar w:fldCharType="begin" w:fldLock="1"/>
      </w:r>
      <w:r w:rsidR="00964412">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Pr="00754F04">
        <w:rPr>
          <w:noProof/>
        </w:rPr>
        <w:t>(Darcy et al., 2018)</w:t>
      </w:r>
      <w:r>
        <w:fldChar w:fldCharType="end"/>
      </w:r>
    </w:p>
    <w:p w14:paraId="2962EBE7" w14:textId="1D516BED" w:rsidR="007E7F54" w:rsidRDefault="007E7F54">
      <w:r>
        <w:t>Cryoconite holes are formed by the differential absorption of solar radiation by dark mineral-organic sediment, causing it to form melt hole in the supraglacial surface.</w:t>
      </w:r>
      <w:r w:rsidR="006F6C16">
        <w:t xml:space="preserve"> These self-contained ecosystems are island-like microbial oases in a sea of ice.</w:t>
      </w:r>
    </w:p>
    <w:p w14:paraId="6EEB9E73" w14:textId="602A9C6F" w:rsidR="00C30D35" w:rsidRDefault="00C30D35"/>
    <w:p w14:paraId="5DC03580" w14:textId="63EEB9D0" w:rsidR="00C30D35" w:rsidRPr="00B14598" w:rsidRDefault="00C30D35">
      <w:pPr>
        <w:rPr>
          <w:b/>
        </w:rPr>
      </w:pPr>
      <w:r w:rsidRPr="00B14598">
        <w:rPr>
          <w:b/>
        </w:rPr>
        <w:t>Introduction</w:t>
      </w:r>
      <w:r w:rsidR="00B14598">
        <w:rPr>
          <w:b/>
        </w:rPr>
        <w:t xml:space="preserve"> </w:t>
      </w:r>
      <w:r w:rsidR="00B14598">
        <w:rPr>
          <w:b/>
        </w:rPr>
        <w:fldChar w:fldCharType="begin" w:fldLock="1"/>
      </w:r>
      <w:r w:rsidR="00754F04">
        <w:rPr>
          <w:b/>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B14598">
        <w:rPr>
          <w:b/>
        </w:rPr>
        <w:fldChar w:fldCharType="separate"/>
      </w:r>
      <w:r w:rsidR="00B14598" w:rsidRPr="00B14598">
        <w:rPr>
          <w:noProof/>
        </w:rPr>
        <w:t>(Li et al., 2021)</w:t>
      </w:r>
      <w:r w:rsidR="00B14598">
        <w:rPr>
          <w:b/>
        </w:rPr>
        <w:fldChar w:fldCharType="end"/>
      </w:r>
    </w:p>
    <w:p w14:paraId="630AE793" w14:textId="185CCCF8" w:rsidR="00F31AC4" w:rsidRDefault="00C30D35">
      <w:r>
        <w:t xml:space="preserve">In order for us to </w:t>
      </w:r>
      <w:r w:rsidR="00F31AC4">
        <w:t xml:space="preserve">develop a </w:t>
      </w:r>
      <w:r>
        <w:t>comprehensiv</w:t>
      </w:r>
      <w:r w:rsidR="00F31AC4">
        <w:t>e</w:t>
      </w:r>
      <w:r>
        <w:t xml:space="preserve"> understand</w:t>
      </w:r>
      <w:r w:rsidR="00F31AC4">
        <w:t>ing of</w:t>
      </w:r>
      <w:r>
        <w:t xml:space="preserve"> </w:t>
      </w:r>
      <w:r w:rsidR="00F31AC4">
        <w:t>prokaryotic</w:t>
      </w:r>
      <w:r>
        <w:t xml:space="preserve"> ecological processes it is fundamental we understand their biogeography. High-throughput sequencing has greatly increased </w:t>
      </w:r>
      <w:r w:rsidR="00F31AC4">
        <w:t xml:space="preserve">the resolution of our biogeographic knowledge </w:t>
      </w:r>
      <w:r>
        <w:t>by amplifying extracted DNA. These DNA extracts</w:t>
      </w:r>
      <w:r w:rsidR="00F31AC4">
        <w:t xml:space="preserve"> can</w:t>
      </w:r>
      <w:r>
        <w:t xml:space="preserve"> include active cells, dormant</w:t>
      </w:r>
      <w:r w:rsidR="00F31AC4">
        <w:t xml:space="preserve"> </w:t>
      </w:r>
      <w:r>
        <w:t xml:space="preserve">cells, dead cells, or extracellular DNA from lysed or degraded cells </w:t>
      </w:r>
      <w:r>
        <w:fldChar w:fldCharType="begin" w:fldLock="1"/>
      </w:r>
      <w:r w:rsidR="00F31AC4">
        <w:instrText>ADDIN CSL_CITATION {"citationItems":[{"id":"ITEM-1","itemData":{"DOI":"10.1111/j.1462-2920.2010.02392.x","ISSN":"14622912","PMID":"21176054","abstract":"Ribosomal tag libraries based on DNA and RNA in coral reef sediment from Hawaii show the microbial community to be dominated by the bacterial phyla Proteobacteria, Firmicutes and Actinobacteria, the archaeal order Nitrosopumilales and the uncultivated divisions Marine Group III (Euryarchaeota) and Marine Benthic Group C (Crenarchaeota). Operational taxonomic units (OTUs) number in the high thousands, and richness varies with site, presence or absence of porewater sulfide (sediment depth), and nucleotide pool. Rank abundance curves of DNA-based libraries, but not RNA-based libraries, possess a tail of low abundance taxa, supporting the existence of an inactive 'rare' biosphere. While bacterial libraries from two oxic samples differ markedly, those from two anoxic (sulfidic) samples are similar. The four dominant bacterial OTUs are members of genera that include pathogens, but are found in marine environments, and include facultative anaerobes, i.e. dissimilatory nitrate reducers and denitrifiers. This may explain their abundance in both oxic and anoxic samples. A numerous archaeon is closely related to the lithoautotrophic ammonia oxidizer Nitrosopumilus maritimus. Known bacterial ammonia oxidizers are essentially absent, but bacterial nitrite oxidizers are abundant. Although other studies of this reef found evidence for anaerobic ammonia oxidizers, primer bias rendered that clade invisible to this study. © 2010 Society for Applied Microbiology and Blackwell Publishing Ltd.","author":[{"dropping-particle":"","family":"Gaidos","given":"Eric","non-dropping-particle":"","parse-names":false,"suffix":""},{"dropping-particle":"","family":"Rusch","given":"Antje","non-dropping-particle":"","parse-names":false,"suffix":""},{"dropping-particle":"","family":"Ilardo","given":"Melissa","non-dropping-particle":"","parse-names":false,"suffix":""}],"container-title":"Environmental Microbiology","id":"ITEM-1","issue":"5","issued":{"date-parts":[["2011"]]},"page":"1138-1152","title":"Ribosomal tag pyrosequencing of DNA and RNA from benthic coral reef microbiota: Community spatial structure, rare members and nitrogen-cycling guilds","type":"article-journal","volume":"13"},"uris":["http://www.mendeley.com/documents/?uuid=7b4d019c-e864-48fc-9355-c32e90128dcc"]}],"mendeley":{"formattedCitation":"(Gaidos, Rusch, &amp; Ilardo, 2011)","plainTextFormattedCitation":"(Gaidos, Rusch, &amp; Ilardo, 2011)","previouslyFormattedCitation":"(Gaidos, Rusch, &amp; Ilardo, 2011)"},"properties":{"noteIndex":0},"schema":"https://github.com/citation-style-language/schema/raw/master/csl-citation.json"}</w:instrText>
      </w:r>
      <w:r>
        <w:fldChar w:fldCharType="separate"/>
      </w:r>
      <w:r w:rsidRPr="00C30D35">
        <w:rPr>
          <w:noProof/>
        </w:rPr>
        <w:t>(Gaidos, Rusch, &amp; Ilardo, 2011)</w:t>
      </w:r>
      <w:r>
        <w:fldChar w:fldCharType="end"/>
      </w:r>
      <w:r w:rsidR="00F31AC4">
        <w:t>. RNA-</w:t>
      </w:r>
      <w:r w:rsidR="00F54975">
        <w:t>derived</w:t>
      </w:r>
      <w:r w:rsidR="00F31AC4">
        <w:t xml:space="preserve"> analysis provides an alternative, allowing us to study only the potentially active microbial community. However, RNA-based microbial biogeography, community assembly and co-occurrence data </w:t>
      </w:r>
      <w:r w:rsidR="002F4353">
        <w:t>are</w:t>
      </w:r>
      <w:r w:rsidR="00F31AC4">
        <w:t xml:space="preserve"> limited.</w:t>
      </w:r>
    </w:p>
    <w:p w14:paraId="1753A234" w14:textId="78E31A8F" w:rsidR="00C30D35" w:rsidRDefault="00F31AC4">
      <w:r>
        <w:lastRenderedPageBreak/>
        <w:t xml:space="preserve">  The distance-decay relationship</w:t>
      </w:r>
      <w:r w:rsidR="001C367D">
        <w:t xml:space="preserve"> (DDR)</w:t>
      </w:r>
      <w:r>
        <w:t xml:space="preserve">, whereby community dissimilarity increases with geographic distance, is the most well established biogeographic pattern </w:t>
      </w:r>
      <w:r>
        <w:fldChar w:fldCharType="begin" w:fldLock="1"/>
      </w:r>
      <w:r w:rsidR="002F4353">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ecology","type":"article-journal","volume":"26"},"uris":["http://www.mendeley.com/documents/?uuid=ebc04dd8-c6aa-4d02-9f5d-48db855c1f12"]}],"mendeley":{"formattedCitation":"(Nekola &amp; White, 1999)","plainTextFormattedCitation":"(Nekola &amp; White, 1999)","previouslyFormattedCitation":"(Nekola &amp; White, 1999)"},"properties":{"noteIndex":0},"schema":"https://github.com/citation-style-language/schema/raw/master/csl-citation.json"}</w:instrText>
      </w:r>
      <w:r>
        <w:fldChar w:fldCharType="separate"/>
      </w:r>
      <w:r w:rsidRPr="00F31AC4">
        <w:rPr>
          <w:noProof/>
        </w:rPr>
        <w:t>(Nekola &amp; White, 1999)</w:t>
      </w:r>
      <w:r>
        <w:fldChar w:fldCharType="end"/>
      </w:r>
      <w:r>
        <w:t>.</w:t>
      </w:r>
      <w:r w:rsidR="002F4353">
        <w:t xml:space="preserve"> Despite this, the processes driving microbial biogeographic patterns are a subject of much debate. Traditionally, microbial communit</w:t>
      </w:r>
      <w:r w:rsidR="002E18B9">
        <w:t>y assembly</w:t>
      </w:r>
      <w:r w:rsidR="002F4353">
        <w:t xml:space="preserve"> w</w:t>
      </w:r>
      <w:r w:rsidR="002E18B9">
        <w:t>as</w:t>
      </w:r>
      <w:r w:rsidR="002F4353">
        <w:t xml:space="preserve"> thought to be </w:t>
      </w:r>
      <w:r w:rsidR="002E18B9">
        <w:t xml:space="preserve">shaped by niche-based, deterministic processes, as famously articulated by </w:t>
      </w:r>
      <w:r w:rsidR="002F4353">
        <w:t>Baas-</w:t>
      </w:r>
      <w:proofErr w:type="spellStart"/>
      <w:r w:rsidR="002F4353">
        <w:t>Becking</w:t>
      </w:r>
      <w:r w:rsidR="002E18B9">
        <w:t>’s</w:t>
      </w:r>
      <w:proofErr w:type="spellEnd"/>
      <w:r w:rsidR="002E18B9">
        <w:t xml:space="preserve"> dictum</w:t>
      </w:r>
      <w:r w:rsidR="002F4353">
        <w:t>, ‘</w:t>
      </w:r>
      <w:r w:rsidR="002F4353" w:rsidRPr="002E18B9">
        <w:rPr>
          <w:i/>
        </w:rPr>
        <w:t>Everything is everywhere,</w:t>
      </w:r>
      <w:r w:rsidR="002F4353" w:rsidRPr="002E18B9">
        <w:t xml:space="preserve"> but</w:t>
      </w:r>
      <w:r w:rsidR="002F4353" w:rsidRPr="002E18B9">
        <w:rPr>
          <w:i/>
        </w:rPr>
        <w:t>, the environment selects’</w:t>
      </w:r>
      <w:r w:rsidR="002F4353">
        <w:t xml:space="preserve"> </w:t>
      </w:r>
      <w:r w:rsidR="002F4353">
        <w:fldChar w:fldCharType="begin" w:fldLock="1"/>
      </w:r>
      <w:r w:rsidR="002F4353">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002F4353">
        <w:fldChar w:fldCharType="separate"/>
      </w:r>
      <w:r w:rsidR="002F4353" w:rsidRPr="002F4353">
        <w:rPr>
          <w:noProof/>
        </w:rPr>
        <w:t>(Baas-Becking, 1934)</w:t>
      </w:r>
      <w:r w:rsidR="002F4353">
        <w:fldChar w:fldCharType="end"/>
      </w:r>
      <w:r w:rsidR="002F4353">
        <w:t>. This states that microbes enjoy a cosmopolitan distribution</w:t>
      </w:r>
      <w:r w:rsidR="002E18B9">
        <w:t xml:space="preserve"> as a result of their small size and massive population numbers</w:t>
      </w:r>
      <w:r w:rsidR="002F4353">
        <w:t xml:space="preserve">, but environmental filtering prevents certain species from becoming established in a particular habitat. </w:t>
      </w:r>
      <w:r w:rsidR="00247F7C">
        <w:t>Each species needs a suitable niche in order to establish a population</w:t>
      </w:r>
      <w:r w:rsidR="00247F7C">
        <w:t xml:space="preserve"> and niches are shaped by biotic (temperature, salinity pH) and abiotic (inter- and intra- </w:t>
      </w:r>
      <w:r w:rsidR="00B14598">
        <w:t>specific</w:t>
      </w:r>
      <w:r w:rsidR="00247F7C">
        <w:t xml:space="preserve"> competition and cooperation) factors. </w:t>
      </w:r>
      <w:r w:rsidR="00247F7C">
        <w:t xml:space="preserve">In this scenario microbial community assembly is driven by deterministic </w:t>
      </w:r>
      <w:r w:rsidR="00247F7C">
        <w:t xml:space="preserve">(non-random) </w:t>
      </w:r>
      <w:r w:rsidR="00247F7C">
        <w:t>processes, including environmental filtering and taxa interactions</w:t>
      </w:r>
      <w:r w:rsidR="00247F7C">
        <w:t xml:space="preserve">. </w:t>
      </w:r>
      <w:r w:rsidR="002F4353">
        <w:t xml:space="preserve">Despite this, some studies have found evidence to suggest microbial communities are shaped by stochastic processes such as dispersal and ecological drift </w:t>
      </w:r>
      <w:r w:rsidR="001176A7">
        <w:fldChar w:fldCharType="begin" w:fldLock="1"/>
      </w:r>
      <w:r w:rsidR="00ED647D">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Microbiology","id":"ITEM-2","issue":"8","issued":{"date-parts":[["2005"]]},"page":"1220-1226","title":"Island size and bacterial diversity in an archipelago of engineering machines","type":"article-journal","volume":"7"},"uris":["http://www.mendeley.com/documents/?uuid=48a37612-a009-419f-b318-6700d75584d1"]},{"id":"ITEM-3","itemData":{"DOI":"10.1111/j.1462-2920.2006.00996.x","ISSN":"14622912","PMID":"16689725","abstract":"It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Microbiology","id":"ITEM-3","issue":"6","issued":{"date-parts":[["2006"]]},"page":"1048-1055","title":"Bacterial diversity is determined by volume in membrane bioreactors","type":"article-journal","volume":"8"},"uris":["http://www.mendeley.com/documents/?uuid=4a11c761-9b44-4325-a2fa-291fe670c23b"]}],"mendeley":{"formattedCitation":"(Bell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001176A7">
        <w:fldChar w:fldCharType="separate"/>
      </w:r>
      <w:r w:rsidR="001176A7" w:rsidRPr="001176A7">
        <w:rPr>
          <w:noProof/>
        </w:rPr>
        <w:t>(Bell et al., 2005; Van Der Gast et al., 2006; Van Der Gast, Lilley, Ager, &amp; Thompson, 2005)</w:t>
      </w:r>
      <w:r w:rsidR="001176A7">
        <w:fldChar w:fldCharType="end"/>
      </w:r>
      <w:r w:rsidR="002F4353">
        <w:t>.</w:t>
      </w:r>
      <w:r w:rsidR="00247F7C">
        <w:t xml:space="preserve"> Stochastic processes of community assembly are defined by neutral theory as those that are random and have equal probability of occurring to any individual from any species. Each individual within a community has an equal probability of dispersal, reproduction and death </w:t>
      </w:r>
      <w:r w:rsidR="00247F7C">
        <w:fldChar w:fldCharType="begin" w:fldLock="1"/>
      </w:r>
      <w:r w:rsidR="001176A7">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00247F7C">
        <w:fldChar w:fldCharType="separate"/>
      </w:r>
      <w:r w:rsidR="00247F7C" w:rsidRPr="00247F7C">
        <w:rPr>
          <w:noProof/>
        </w:rPr>
        <w:t>(Hubbell, 2001)</w:t>
      </w:r>
      <w:r w:rsidR="00247F7C">
        <w:fldChar w:fldCharType="end"/>
      </w:r>
      <w:r w:rsidR="00247F7C">
        <w:t>.</w:t>
      </w:r>
      <w:r w:rsidR="001176A7">
        <w:t xml:space="preserve"> Dispersal limitation is a fundamental mechanism </w:t>
      </w:r>
      <w:r w:rsidR="0093112D">
        <w:t>of neutral theory</w:t>
      </w:r>
      <w:r w:rsidR="001C367D">
        <w:t xml:space="preserve"> and may contribute to DDRs. In order to understand the processes driving microbial biogeographic patterns (particularly DDR), research has focused on the relative contribution of stochastic and deterministic processes. However, studies have been primarily DNA-based, rather than focusing on the active community.</w:t>
      </w:r>
      <w:r w:rsidR="00964412">
        <w:t xml:space="preserve"> Previous studies exploring prokaryotic biogeography of cryoconite holes has relied on DNA-based sequencing as well as OTU clustering </w:t>
      </w:r>
      <w:r w:rsidR="00964412">
        <w:fldChar w:fldCharType="begin" w:fldLock="1"/>
      </w:r>
      <w:r w:rsidR="00CC34EE">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964412">
        <w:fldChar w:fldCharType="separate"/>
      </w:r>
      <w:r w:rsidR="00964412" w:rsidRPr="00964412">
        <w:rPr>
          <w:noProof/>
        </w:rPr>
        <w:t>(Darcy et al., 2018)</w:t>
      </w:r>
      <w:r w:rsidR="00964412">
        <w:fldChar w:fldCharType="end"/>
      </w:r>
      <w:r w:rsidR="00964412">
        <w:t>. In this investigation I address some of the issues with these studies by focusing on the active prokaryotic community and grouping sequences into amplicon sequence variants (ASVs).</w:t>
      </w:r>
    </w:p>
    <w:p w14:paraId="6B9063C5" w14:textId="72882568" w:rsidR="00A460B2" w:rsidRDefault="00A460B2">
      <w:r>
        <w:t xml:space="preserve">  Many studies have found correlations between prokaryotic community composition and environmental factors, suggesting these communities are shaped by deterministic, environmental filtering. However, active communities may exhibit a more significant DDR and be shaped by a greater relative contribution of stochastic processes </w:t>
      </w:r>
      <w:r w:rsidR="00ED647D">
        <w:t xml:space="preserve">than total communities. Active communities experience greater dispersal limitation as they require an appropriate niche to </w:t>
      </w:r>
      <w:r>
        <w:t>successfully establish on immigrating to a new habitat</w:t>
      </w:r>
      <w:r w:rsidR="00ED647D">
        <w:t xml:space="preserve"> whilst then being shaped by drift </w:t>
      </w:r>
      <w:r w:rsidR="00ED647D">
        <w:fldChar w:fldCharType="begin" w:fldLock="1"/>
      </w:r>
      <w:r w:rsidR="00271DC9">
        <w:instrText>ADDIN CSL_CITATION {"citationItems":[{"id":"ITEM-1","itemData":{"DOI":"10.1038/nrmicro2795","ISSN":"17401526","PMID":"22580365","abstract":"Recently, microbiologists have established the existence of biogeographic patterns among a wide range of microorganisms. The focus of the field is now shifting to identifying the mechanisms that shape these patterns. Here, we propose that four processes - selection, drift, dispersal and mutation - create and maintain microbial biogeographic patterns on inseparable ecological and evolutionary scales. We consider how the interplay of these processes affects one biogeographic pattern, the distance-decay relationship, and review evidence from the published literature for the processes driving this pattern in microorganisms. Given the limitations of inferring processes from biogeographic patterns, we suggest that studies should focus on directly testing the underlying processes. © 2012 Macmillan Publishers Limited. All rights reserved.","author":[{"dropping-particle":"","family":"Hanson","given":"China A.","non-dropping-particle":"","parse-names":false,"suffix":""},{"dropping-particle":"","family":"Fuhrman","given":"Jed A.","non-dropping-particle":"","parse-names":false,"suffix":""},{"dropping-particle":"","family":"Horner-Devine","given":"M. Claire","non-dropping-particle":"","parse-names":false,"suffix":""},{"dropping-particle":"","family":"Martiny","given":"Jennifer B.H.","non-dropping-particle":"","parse-names":false,"suffix":""}],"container-title":"Nature Reviews Microbiology","id":"ITEM-1","issue":"7","issued":{"date-parts":[["2012"]]},"page":"497-506","publisher":"Nature Publishing Group","title":"Beyond biogeographic patterns: Processes shaping the microbial landscape","type":"article-journal","volume":"10"},"uris":["http://www.mendeley.com/documents/?uuid=538c270f-1a19-479d-84bc-8fe136449077"]}],"mendeley":{"formattedCitation":"(Hanson, Fuhrman, Horner-Devine, &amp; Martiny, 2012)","plainTextFormattedCitation":"(Hanson, Fuhrman, Horner-Devine, &amp; Martiny, 2012)","previouslyFormattedCitation":"(Hanson, Fuhrman, Horner-Devine, &amp; Martiny, 2012)"},"properties":{"noteIndex":0},"schema":"https://github.com/citation-style-language/schema/raw/master/csl-citation.json"}</w:instrText>
      </w:r>
      <w:r w:rsidR="00ED647D">
        <w:fldChar w:fldCharType="separate"/>
      </w:r>
      <w:r w:rsidR="00ED647D" w:rsidRPr="00ED647D">
        <w:rPr>
          <w:noProof/>
        </w:rPr>
        <w:t>(Hanson, Fuhrman, Horner-Devine, &amp; Martiny, 2012)</w:t>
      </w:r>
      <w:r w:rsidR="00ED647D">
        <w:fldChar w:fldCharType="end"/>
      </w:r>
      <w:r>
        <w:t>.</w:t>
      </w:r>
      <w:r w:rsidR="00ED647D">
        <w:t xml:space="preserve"> </w:t>
      </w:r>
      <w:r>
        <w:t xml:space="preserve"> </w:t>
      </w:r>
    </w:p>
    <w:p w14:paraId="3C86039D" w14:textId="240D76B4" w:rsidR="004E3CAA" w:rsidRDefault="00271DC9">
      <w:r>
        <w:t xml:space="preserve">  Microbial community assembly is also shaped by biotic factors (i.e. taxa interactions) and this can be evaluated by co-occurrence network analysis </w:t>
      </w:r>
      <w:r>
        <w:fldChar w:fldCharType="begin" w:fldLock="1"/>
      </w:r>
      <w:r w:rsidR="004E3CAA">
        <w:instrText>ADDIN CSL_CITATION {"citationItems":[{"id":"ITEM-1","itemData":{"DOI":"10.1038/nrmicro2832","ISSN":"17401526","PMID":"22796884","abstract":"Metagenomics and 16S pyrosequencing have enabled the study of ecosystem structure and dynamics to great depth and accuracy. Co-occurrence and correlation patterns found in these data sets are increasingly used for the prediction of species interactions in environments ranging from the oceans to the human microbiome. In addition, parallelized co-culture assays and combinatorial labelling experiments allow high-throughput discovery of cooperative and competitive relationships between species. In this Review, we describe how these techniques are opening the way towards global ecosystem network prediction and the development of ecosystem-wide dynamic models. © 2012 Macmillan Publishers Limited. All rights reserved.","author":[{"dropping-particle":"","family":"Faust","given":"Karoline","non-dropping-particle":"","parse-names":false,"suffix":""},{"dropping-particle":"","family":"Raes","given":"Jeroen","non-dropping-particle":"","parse-names":false,"suffix":""}],"container-title":"Nature Reviews Microbiology","id":"ITEM-1","issue":"8","issued":{"date-parts":[["2012"]]},"page":"538-550","publisher":"Nature Publishing Group","title":"Microbial interactions: From networks to models","type":"article-journal","volume":"10"},"uris":["http://www.mendeley.com/documents/?uuid=64bc1f4b-fd65-49dc-8a04-1a7a40655e35"]}],"mendeley":{"formattedCitation":"(Faust &amp; Raes, 2012)","plainTextFormattedCitation":"(Faust &amp; Raes, 2012)","previouslyFormattedCitation":"(Faust &amp; Raes, 2012)"},"properties":{"noteIndex":0},"schema":"https://github.com/citation-style-language/schema/raw/master/csl-citation.json"}</w:instrText>
      </w:r>
      <w:r>
        <w:fldChar w:fldCharType="separate"/>
      </w:r>
      <w:r w:rsidRPr="00271DC9">
        <w:rPr>
          <w:noProof/>
        </w:rPr>
        <w:t>(Faust &amp; Raes, 2012)</w:t>
      </w:r>
      <w:r>
        <w:fldChar w:fldCharType="end"/>
      </w:r>
      <w:r w:rsidR="004E3CAA">
        <w:t xml:space="preserve">. Network analysis has been widely used to infer microbial interactions and recently has been used to explore geographic distribution of microbial co-occurrence relationships </w:t>
      </w:r>
      <w:r w:rsidR="004E3CAA">
        <w:fldChar w:fldCharType="begin" w:fldLock="1"/>
      </w:r>
      <w:r w:rsidR="00B14598">
        <w:instrText>ADDIN CSL_CITATION {"citationItems":[{"id":"ITEM-1","itemData":{"DOI":"10.1038/s41396-020-0621-7","ISSN":"17517370","PMID":"32132664","abstract":"Studies of marine benthic archaeal communities are updating our view of their taxonomic composition and metabolic versatility. However, large knowledge gaps remain with regard to community assembly processes and inter taxa associations. Here, using 16S rRNA gene amplicon sequencing and qPCR, we investigated the spatiotemporal dynamics, assembly processes, and co-occurrence relationships of the archaeal community in 58 surface sediment samples collected in both summer and winter from across ~1500 km of the eastern Chinese marginal seas. Clear patterns in spatiotemporal dynamics in the archaeal community structure were observed, with a more pronounced spatial rather than seasonal variation. Accompanying the geographic variation was a significant distance-decay pattern with varying contributions from different archaeal clades, determined by their relative abundance. In both seasons, dispersal limitation was the most important process, explaining ~40% of the community variation, followed by homogeneous selection and ecological drift, that made an approximately equal contribution (~30%). This meant that stochasticity rather than determinism had a greater impact on the archaeal community assembly. Furthermore, we observed seasonality in archaeal co-occurrence patterns: closer inter-taxa connections in winter than in summer, and unmatched geographic patterns between community composition and co-occurrence relationship. These results demonstrate that the benthic archaeal community was assembled under a seasonal-consistent mechanism but the co-occurrence relationships changed over the seasons, indicating complex archaeal dynamic patterns in coastal sediments of the eastern Chinese marginal seas.","author":[{"dropping-particle":"","family":"Liu","given":"Jiwen","non-dropping-particle":"","parse-names":false,"suffix":""},{"dropping-particle":"","family":"Zhu","given":"Shangqing","non-dropping-particle":"","parse-names":false,"suffix":""},{"dropping-particle":"","family":"Liu","given":"Xiaoyue","non-dropping-particle":"","parse-names":false,"suffix":""},{"dropping-particle":"","family":"Yao","given":"Peng","non-dropping-particle":"","parse-names":false,"suffix":""},{"dropping-particle":"","family":"Ge","given":"Tiantian","non-dropping-particle":"","parse-names":false,"suffix":""},{"dropping-particle":"","family":"Zhang","given":"Xiao Hua","non-dropping-particle":"","parse-names":false,"suffix":""}],"container-title":"ISME Journal","id":"ITEM-1","issue":"6","issued":{"date-parts":[["2020"]]},"page":"1463-1478","publisher":"Springer US","title":"Spatiotemporal dynamics of the archaeal community in coastal sediments: assembly process and co-occurrence relationship","type":"article-journal","volume":"14"},"uris":["http://www.mendeley.com/documents/?uuid=e004efd4-c4d6-4171-b4d9-ab53f76efa0d"]}],"mendeley":{"formattedCitation":"(Liu et al., 2020)","plainTextFormattedCitation":"(Liu et al., 2020)","previouslyFormattedCitation":"(Liu et al., 2020)"},"properties":{"noteIndex":0},"schema":"https://github.com/citation-style-language/schema/raw/master/csl-citation.json"}</w:instrText>
      </w:r>
      <w:r w:rsidR="004E3CAA">
        <w:fldChar w:fldCharType="separate"/>
      </w:r>
      <w:r w:rsidR="004E3CAA" w:rsidRPr="004E3CAA">
        <w:rPr>
          <w:noProof/>
        </w:rPr>
        <w:t>(Liu et al., 2020)</w:t>
      </w:r>
      <w:r w:rsidR="004E3CAA">
        <w:fldChar w:fldCharType="end"/>
      </w:r>
      <w:r w:rsidR="004E3CAA">
        <w:t>.</w:t>
      </w:r>
    </w:p>
    <w:p w14:paraId="37B61B73" w14:textId="2E173E18" w:rsidR="004E3CAA" w:rsidRDefault="004E3CAA">
      <w:r>
        <w:t xml:space="preserve">  This study </w:t>
      </w:r>
      <w:r w:rsidR="00CB5B15">
        <w:t xml:space="preserve">quantifies prokaryotic community abundances and activities as well as the diversity, composition and biogeography of active communities. Moreover, it identifies the relative contribution of deterministic and stochastic processes of community assembly and carries out co-occurrence network analysis to explore the relationship between active prokaryote taxa and the geographic patterns of those relationships.  </w:t>
      </w:r>
    </w:p>
    <w:p w14:paraId="4CB5E826" w14:textId="7997D3F1" w:rsidR="00B14598" w:rsidRDefault="00B14598"/>
    <w:p w14:paraId="50AAB218" w14:textId="2AD9C150" w:rsidR="00B14598" w:rsidRDefault="00E35A33">
      <w:r>
        <w:t xml:space="preserve">2 </w:t>
      </w:r>
      <w:r w:rsidR="00B14598">
        <w:t>Methods</w:t>
      </w:r>
    </w:p>
    <w:p w14:paraId="35C3751C" w14:textId="2670788F" w:rsidR="00B14598" w:rsidRDefault="00B14598"/>
    <w:p w14:paraId="43CDC111" w14:textId="643B1BB6" w:rsidR="00B14598" w:rsidRDefault="00E35A33">
      <w:r>
        <w:t xml:space="preserve">2.1 </w:t>
      </w:r>
      <w:r w:rsidR="00B14598">
        <w:t>Sample Collection</w:t>
      </w:r>
      <w:r>
        <w:t xml:space="preserve">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2018)","previouslyFormattedCitation":"(Darcy et al., 2018)"},"properties":{"noteIndex":0},"schema":"https://github.com/citation-style-language/schema/raw/master/csl-citation.json"}</w:instrText>
      </w:r>
      <w:r>
        <w:fldChar w:fldCharType="separate"/>
      </w:r>
      <w:r w:rsidRPr="00E35A33">
        <w:rPr>
          <w:noProof/>
        </w:rPr>
        <w:t>Darcy et al., 2018)</w:t>
      </w:r>
      <w:r>
        <w:fldChar w:fldCharType="end"/>
      </w:r>
    </w:p>
    <w:p w14:paraId="0D983567" w14:textId="19AC1253" w:rsidR="00B14598" w:rsidRDefault="006F6C16">
      <w:r>
        <w:lastRenderedPageBreak/>
        <w:t xml:space="preserve">Cryoconite hole sediment will be collected from </w:t>
      </w:r>
      <w:proofErr w:type="spellStart"/>
      <w:r>
        <w:t>Foxfonna</w:t>
      </w:r>
      <w:proofErr w:type="spellEnd"/>
      <w:r>
        <w:t xml:space="preserve"> Glacier, Svalbard in August 2021. 30 sample sites will be selected using a spatially nested sampling scheme, containing scale of approximately 2, 15, and 100m (</w:t>
      </w:r>
      <w:r w:rsidR="00964412">
        <w:t>see</w:t>
      </w:r>
      <w:r>
        <w:t xml:space="preserve"> </w:t>
      </w:r>
      <w:r w:rsidR="00964412">
        <w:fldChar w:fldCharType="begin" w:fldLock="1"/>
      </w:r>
      <w:r w:rsidR="00964412">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2018)","previouslyFormattedCitation":"(Darcy et al., 2018)"},"properties":{"noteIndex":0},"schema":"https://github.com/citation-style-language/schema/raw/master/csl-citation.json"}</w:instrText>
      </w:r>
      <w:r w:rsidR="00964412">
        <w:fldChar w:fldCharType="separate"/>
      </w:r>
      <w:r w:rsidR="00964412" w:rsidRPr="00964412">
        <w:rPr>
          <w:noProof/>
        </w:rPr>
        <w:t>Darcy et al., 2018)</w:t>
      </w:r>
      <w:r w:rsidR="00964412">
        <w:fldChar w:fldCharType="end"/>
      </w:r>
      <w:r>
        <w:t xml:space="preserve">. The sample regime consists of 5 </w:t>
      </w:r>
      <w:r w:rsidR="000446FF">
        <w:t>triangles with 15m sides</w:t>
      </w:r>
      <w:r>
        <w:t xml:space="preserve">, spaced 100m apart. Each </w:t>
      </w:r>
      <w:r w:rsidR="000446FF">
        <w:t xml:space="preserve">triangle consists of 6 sampling points, 2 at each vertex, approximately 2m apart. At each sampling point the diameter of the nearest cryoconite hole will be measured on north-south and east-west axes, as well as depth, using a ruler. Geographic locations will be recorded using GPS measurements. </w:t>
      </w:r>
    </w:p>
    <w:p w14:paraId="1B424704" w14:textId="76069E03" w:rsidR="00FC3E01" w:rsidRDefault="00FC3E01">
      <w:r>
        <w:t xml:space="preserve">  </w:t>
      </w:r>
      <w:r w:rsidR="00964412">
        <w:t>Cryoconite granules will be collected from the bottom of the cryoconite holes with a sterile disposable plastic pipette into sterile tubes and stor</w:t>
      </w:r>
      <w:r w:rsidR="00CC34EE">
        <w:t>ed</w:t>
      </w:r>
      <w:r w:rsidR="00964412">
        <w:t xml:space="preserve"> at -20</w:t>
      </w:r>
      <w:r w:rsidR="00964412">
        <w:rPr>
          <w:rFonts w:ascii="Calibri" w:hAnsi="Calibri"/>
        </w:rPr>
        <w:t>°</w:t>
      </w:r>
      <w:r w:rsidR="00964412">
        <w:t>C until return to the laboratory, where they will be stored at -80</w:t>
      </w:r>
      <w:r w:rsidR="00964412">
        <w:rPr>
          <w:rFonts w:ascii="Calibri" w:hAnsi="Calibri"/>
        </w:rPr>
        <w:t>°</w:t>
      </w:r>
      <w:r w:rsidR="00964412">
        <w:t xml:space="preserve">C until DNA/RNA extraction (see </w:t>
      </w:r>
      <w:r w:rsidR="00964412">
        <w:fldChar w:fldCharType="begin" w:fldLock="1"/>
      </w:r>
      <w:r w:rsidR="00964412">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Singh, Tsuji, Singh, &amp; Takeuchi, 2020)","manualFormatting":"Li et al., 2021; Singh, Tsuji, Singh, &amp; Takeuchi, 2020)","plainTextFormattedCitation":"(Li et al., 2021; Singh, Tsuji, Singh, &amp; Takeuchi, 2020)","previouslyFormattedCitation":"(Li et al., 2021; Singh, Tsuji, Singh, &amp; Takeuchi, 2020)"},"properties":{"noteIndex":0},"schema":"https://github.com/citation-style-language/schema/raw/master/csl-citation.json"}</w:instrText>
      </w:r>
      <w:r w:rsidR="00964412">
        <w:fldChar w:fldCharType="separate"/>
      </w:r>
      <w:r w:rsidR="00964412" w:rsidRPr="00964412">
        <w:rPr>
          <w:noProof/>
        </w:rPr>
        <w:t>Li et al., 2021; Singh, Tsuji, Singh, &amp; Takeuchi, 2020)</w:t>
      </w:r>
      <w:r w:rsidR="00964412">
        <w:fldChar w:fldCharType="end"/>
      </w:r>
      <w:r w:rsidR="00964412">
        <w:t xml:space="preserve">.  </w:t>
      </w:r>
    </w:p>
    <w:p w14:paraId="76E8CBF4" w14:textId="770BFF21" w:rsidR="00CC34EE" w:rsidRDefault="00CC34EE">
      <w:r>
        <w:t xml:space="preserve">  The physiochemical characteristics of each hole will be recorded including; pH, temperature, electrical conductivity (EC), </w:t>
      </w:r>
      <w:r w:rsidR="00D07FE8">
        <w:t xml:space="preserve">dissolved oxygen concentration, </w:t>
      </w:r>
      <w:r>
        <w:t xml:space="preserve">particulate nutrients (ammonium, ammonia, </w:t>
      </w:r>
      <w:r w:rsidR="00D07FE8">
        <w:t>nitrate, nitrite, phosphorus</w:t>
      </w:r>
      <w:r>
        <w:t xml:space="preserve">) </w:t>
      </w:r>
      <w:r w:rsidR="00104E55">
        <w:t>and dissolved carbon (</w:t>
      </w:r>
      <w:r>
        <w:t>total organic carbo</w:t>
      </w:r>
      <w:r w:rsidR="00104E55">
        <w:t>n,</w:t>
      </w:r>
      <w:r>
        <w:t xml:space="preserve"> total inorganic carbon</w:t>
      </w:r>
      <w:r w:rsidR="00104E55">
        <w:t>)</w:t>
      </w:r>
      <w:r>
        <w:t xml:space="preserve"> </w:t>
      </w:r>
      <w:r w:rsidR="00D07FE8">
        <w:fldChar w:fldCharType="begin" w:fldLock="1"/>
      </w:r>
      <w:r w:rsidR="00A76400">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Vonnahme, Devetter, Žárský, Šabacká, &amp; Elster, 2016)","plainTextFormattedCitation":"(Li et al., 2021; Vonnahme, Devetter, Žárský, Šabacká, &amp; Elster, 2016)","previouslyFormattedCitation":"(Li et al., 2021; Vonnahme, Devetter, Žárský, Šabacká, &amp; Elster, 2016)"},"properties":{"noteIndex":0},"schema":"https://github.com/citation-style-language/schema/raw/master/csl-citation.json"}</w:instrText>
      </w:r>
      <w:r w:rsidR="00D07FE8">
        <w:fldChar w:fldCharType="separate"/>
      </w:r>
      <w:r w:rsidR="00D07FE8" w:rsidRPr="00D07FE8">
        <w:rPr>
          <w:noProof/>
        </w:rPr>
        <w:t>(Li et al., 2021; Vonnahme, Devetter, Žárský, Šabacká, &amp; Elster, 2016)</w:t>
      </w:r>
      <w:r w:rsidR="00D07FE8">
        <w:fldChar w:fldCharType="end"/>
      </w:r>
      <w:r>
        <w:t xml:space="preserve">.  </w:t>
      </w:r>
      <w:r w:rsidR="001128DA">
        <w:t>**Are these normal characteristics for cryoconite analysis? Ask Anne**</w:t>
      </w:r>
    </w:p>
    <w:p w14:paraId="6D40C31C" w14:textId="399E7397" w:rsidR="001128DA" w:rsidRDefault="001128DA">
      <w:r>
        <w:t xml:space="preserve">  </w:t>
      </w:r>
    </w:p>
    <w:p w14:paraId="0EC53735" w14:textId="3977DE3C" w:rsidR="001128DA" w:rsidRDefault="00E35A33">
      <w:r>
        <w:t xml:space="preserve">2.2 </w:t>
      </w:r>
      <w:r w:rsidR="001128DA">
        <w:t>DNA and RNA extraction</w:t>
      </w:r>
      <w:r w:rsidR="00A76400">
        <w:t xml:space="preserve"> (taken from </w:t>
      </w:r>
      <w:r w:rsidR="00A76400">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rsidR="00A76400">
        <w:fldChar w:fldCharType="separate"/>
      </w:r>
      <w:r w:rsidR="00A76400" w:rsidRPr="00A76400">
        <w:rPr>
          <w:noProof/>
        </w:rPr>
        <w:t>Li et al., 2021)</w:t>
      </w:r>
      <w:r w:rsidR="00A76400">
        <w:fldChar w:fldCharType="end"/>
      </w:r>
    </w:p>
    <w:p w14:paraId="0B33A37C" w14:textId="57138FDB" w:rsidR="00A76400" w:rsidRDefault="00A76400"/>
    <w:p w14:paraId="2482AD29" w14:textId="4051B3B2" w:rsidR="00A76400" w:rsidRDefault="00A76400">
      <w:r>
        <w:t xml:space="preserve">Total DNA will be extracted from 0.25g of (wet weight) sediment per sample using DNA extraction kit. RNA will be extracted from 4g of (wet weight) sediment per sample using </w:t>
      </w:r>
      <w:proofErr w:type="gramStart"/>
      <w:r>
        <w:t>a</w:t>
      </w:r>
      <w:proofErr w:type="gramEnd"/>
      <w:r>
        <w:t xml:space="preserve"> RNA extraction kit and purified using DNase Max Kit or similar to remove coextracted DNA. Use purified RNA for cDNA synthesis. Store DNA and cDNA at -80</w:t>
      </w:r>
      <w:r>
        <w:rPr>
          <w:rFonts w:ascii="Calibri" w:hAnsi="Calibri"/>
        </w:rPr>
        <w:t>°</w:t>
      </w:r>
      <w:r>
        <w:t xml:space="preserve">C until return to laboratory </w:t>
      </w:r>
      <w:r w:rsidR="008A51C7">
        <w:t>where</w:t>
      </w:r>
      <w:r>
        <w:t xml:space="preserve"> DNA </w:t>
      </w:r>
      <w:r w:rsidR="008A51C7">
        <w:t xml:space="preserve">will be used </w:t>
      </w:r>
      <w:r>
        <w:t xml:space="preserve">for qPCR and cDNA for qPCR and pyrosequencing. </w:t>
      </w:r>
    </w:p>
    <w:p w14:paraId="1967833E" w14:textId="33229141" w:rsidR="00E35A33" w:rsidRDefault="00E35A33"/>
    <w:p w14:paraId="502B3923" w14:textId="672ED3FC" w:rsidR="00E35A33" w:rsidRDefault="00E35A33">
      <w:r>
        <w:t xml:space="preserve">2.3 Quantitative PCR (taken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40865177" w14:textId="7BF0060A" w:rsidR="00E35A33" w:rsidRDefault="00E35A33"/>
    <w:p w14:paraId="4224963C" w14:textId="32F0C525" w:rsidR="00E35A33" w:rsidRDefault="00E35A33">
      <w:r>
        <w:t>The extracted DNA and synthesized cDNA will be used as templates for qPCR with primers appropriate for bacterial and archaeal 16S rRNA genes. qPCR assays will be performed in triplicate. Positive (standard plasmids) and negative (sterile water) controls will be used to perform qPCR to ensure the assays are stable and uncontaminated. DNA and cDNA “abundance will be calculated according to the standard curves generated with the target standard plasmids.”</w:t>
      </w:r>
    </w:p>
    <w:p w14:paraId="59C7E50C" w14:textId="42B2D771" w:rsidR="00E35A33" w:rsidRDefault="00E35A33"/>
    <w:p w14:paraId="61FFE16B" w14:textId="62C7D1E1" w:rsidR="00B51828" w:rsidRDefault="00B51828">
      <w:r>
        <w:t>Bacterial and archaeal community abundance will be assessed by quantifying the abundance of the 16S rRNA gene.</w:t>
      </w:r>
    </w:p>
    <w:p w14:paraId="36959F88" w14:textId="25160584" w:rsidR="00B51828" w:rsidRDefault="00B51828"/>
    <w:p w14:paraId="58DE5C03" w14:textId="085A4833" w:rsidR="00B51828" w:rsidRDefault="00B51828">
      <w:r>
        <w:t xml:space="preserve">Bacterial and archaeal community activity will be assessed by quantification of the expression (transcript abundance) of the 16S rRNA gene. </w:t>
      </w:r>
    </w:p>
    <w:p w14:paraId="0A908387" w14:textId="651291F4" w:rsidR="00F40B8C" w:rsidRDefault="00F40B8C"/>
    <w:p w14:paraId="16D63D27" w14:textId="77777777" w:rsidR="00F40B8C" w:rsidRDefault="00F40B8C" w:rsidP="00F40B8C">
      <w:r>
        <w:t>The ratio of transcript abundance to gene abundance was much higher for archaea than bacteria, this coupled with the unusual metabolic pathways employed by archaea, suggests they may a more important role in marine sediments than previously recognised.</w:t>
      </w:r>
    </w:p>
    <w:p w14:paraId="14763B86" w14:textId="5D98A42B" w:rsidR="00F40B8C" w:rsidRDefault="00F40B8C"/>
    <w:p w14:paraId="43DEDBCA" w14:textId="165BD9E2" w:rsidR="00F40B8C" w:rsidRDefault="00F40B8C">
      <w:r>
        <w:t>Can use this to see if there is higher heterogeneity in active vs total communities. If active communities are more heterogenous this suggests “</w:t>
      </w:r>
      <w:r w:rsidRPr="003D31AD">
        <w:t xml:space="preserve">the active microbial communities are </w:t>
      </w:r>
      <w:r w:rsidRPr="003D31AD">
        <w:lastRenderedPageBreak/>
        <w:t xml:space="preserve">more sensitive to environmental changes than the total microbial communities, which was also proven by the results of microbial community composition analysis (Li et al., 2019; </w:t>
      </w:r>
      <w:proofErr w:type="spellStart"/>
      <w:r w:rsidRPr="003D31AD">
        <w:t>Žifčáková</w:t>
      </w:r>
      <w:proofErr w:type="spellEnd"/>
      <w:r w:rsidRPr="003D31AD">
        <w:t xml:space="preserve"> et al., 2016). The phenomenon can be explained by the fluctuation and instability of RNA, resulting that the active community is more variational and adaptable</w:t>
      </w:r>
      <w:r>
        <w:t>.”</w:t>
      </w:r>
    </w:p>
    <w:p w14:paraId="7C25F953" w14:textId="77777777" w:rsidR="00B51828" w:rsidRDefault="00B51828"/>
    <w:p w14:paraId="091CF08E" w14:textId="5AB48C09" w:rsidR="00E35A33" w:rsidRDefault="00E35A33">
      <w:r>
        <w:t>2.4 Amplification and sequencing</w:t>
      </w:r>
      <w:r w:rsidR="00FA63FB">
        <w:t xml:space="preserve"> </w:t>
      </w:r>
      <w:r w:rsidR="00FA63FB">
        <w:t xml:space="preserve">(taken from </w:t>
      </w:r>
      <w:r w:rsidR="00FA63FB">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rsidR="00FA63FB">
        <w:fldChar w:fldCharType="separate"/>
      </w:r>
      <w:r w:rsidR="00FA63FB" w:rsidRPr="00E35A33">
        <w:rPr>
          <w:noProof/>
        </w:rPr>
        <w:t>Li et al., 2021)</w:t>
      </w:r>
      <w:r w:rsidR="00FA63FB">
        <w:fldChar w:fldCharType="end"/>
      </w:r>
    </w:p>
    <w:p w14:paraId="09814E4E" w14:textId="40A5C6D9" w:rsidR="00E35A33" w:rsidRDefault="00E35A33"/>
    <w:p w14:paraId="36EF5942" w14:textId="52B46CBF" w:rsidR="003D31AD" w:rsidRDefault="00E35A33">
      <w:r>
        <w:t>cDNA will be used as a template at the RNA level before amplifying the hypervariable V3-V4 (</w:t>
      </w:r>
      <m:oMath>
        <m:r>
          <w:rPr>
            <w:rFonts w:ascii="Cambria Math" w:hAnsi="Cambria Math"/>
          </w:rPr>
          <m:t>~</m:t>
        </m:r>
      </m:oMath>
      <w:r>
        <w:t>480 bp) and V4-V5 (</w:t>
      </w:r>
      <m:oMath>
        <m:r>
          <w:rPr>
            <w:rFonts w:ascii="Cambria Math" w:hAnsi="Cambria Math"/>
          </w:rPr>
          <m:t>~</m:t>
        </m:r>
      </m:oMath>
      <w:r>
        <w:t xml:space="preserve">420 bp) regions of the 16S rRNA gene using suitable primers for bacteria and archaea. Multiplex sequencing will be carried out by incorporating unique 7 </w:t>
      </w:r>
      <w:proofErr w:type="spellStart"/>
      <w:r>
        <w:t>bp</w:t>
      </w:r>
      <w:proofErr w:type="spellEnd"/>
      <w:r>
        <w:t xml:space="preserve"> barcodes into the primers. Sequence libraries will be generated. </w:t>
      </w:r>
    </w:p>
    <w:p w14:paraId="798070FD" w14:textId="4F7B994A" w:rsidR="00E35A33" w:rsidRDefault="00E35A33"/>
    <w:p w14:paraId="53B47DA1" w14:textId="15378C89" w:rsidR="00E35A33" w:rsidRDefault="00E35A33">
      <w:r>
        <w:t>2.5 Bioinformatics analysis</w:t>
      </w:r>
      <w:r w:rsidR="00FA63FB">
        <w:t xml:space="preserve"> </w:t>
      </w:r>
      <w:r w:rsidR="00FA63FB">
        <w:t xml:space="preserve">(taken from </w:t>
      </w:r>
      <w:r w:rsidR="00FA63FB">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rsidR="00FA63FB">
        <w:fldChar w:fldCharType="separate"/>
      </w:r>
      <w:r w:rsidR="00FA63FB" w:rsidRPr="00E35A33">
        <w:rPr>
          <w:noProof/>
        </w:rPr>
        <w:t>Li et al., 2021)</w:t>
      </w:r>
      <w:r w:rsidR="00FA63FB">
        <w:fldChar w:fldCharType="end"/>
      </w:r>
    </w:p>
    <w:p w14:paraId="489087B3" w14:textId="6BB2BB03" w:rsidR="00751FED" w:rsidRDefault="00751FED"/>
    <w:p w14:paraId="42BD4BE4" w14:textId="1A0A9BED" w:rsidR="00751FED" w:rsidRDefault="00751FED">
      <w:r>
        <w:t xml:space="preserve">All bioinformatic analysis will be performed </w:t>
      </w:r>
      <w:r w:rsidR="00421BE3">
        <w:t>in R using “vegan” package among others</w:t>
      </w:r>
      <w:r w:rsidR="00126C0F">
        <w:t xml:space="preserve">. </w:t>
      </w:r>
    </w:p>
    <w:p w14:paraId="435F48BB" w14:textId="3975FC9C" w:rsidR="00C50CC0" w:rsidRDefault="00C50CC0"/>
    <w:p w14:paraId="7E68BBDE" w14:textId="2BA5A02E" w:rsidR="00C50CC0" w:rsidRDefault="00C50CC0">
      <w:r>
        <w:t xml:space="preserve">2.5.1 Classification of ASVs and ecological functions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3D59F516" w14:textId="3F1C17D9" w:rsidR="00FA63FB" w:rsidRDefault="00FA63FB"/>
    <w:p w14:paraId="506038BC" w14:textId="4C0E574E" w:rsidR="007111A5" w:rsidRDefault="009408C2">
      <w:r>
        <w:t xml:space="preserve">The sequence libraries will be processes using QIIME2 and associated plugins. Barcodes and primers will be trimmed and quality controlled, before merging denoised paired ends and removing chimeras using Divisive Amplicon Denoising Algorithm 2 (DADA2). Amplicon sequence variants (ASVs) with only one read will be removed, while remaining ASV will be classified against Silva. Community compositions will be compared at equal sampling depths by randomly selecting 95% of the minimum sequence numbers among all samples from each sample. </w:t>
      </w:r>
      <w:r w:rsidR="007111A5">
        <w:t xml:space="preserve">So, basically, you take the lowest number of high-quality sequences from any sample (e.g. if the sample with the lowest number of reads was 10,578 we would use this) can normalize all samples to 95% of the smallest sample (e.g. 10,049 sequences from each sample). </w:t>
      </w:r>
    </w:p>
    <w:p w14:paraId="7AF26B34" w14:textId="77777777" w:rsidR="007111A5" w:rsidRDefault="007111A5"/>
    <w:p w14:paraId="4AFA54E2" w14:textId="6ED4B5B5" w:rsidR="00B51828" w:rsidRDefault="009408C2">
      <w:r>
        <w:t xml:space="preserve">Good’s coverage and alpha diversity indices will be calculated using QIIME. Ecological functions of bacterial and archaeal communities will be inferred using functional annotation of prokaryotic taxa (FAPROTAX). </w:t>
      </w:r>
    </w:p>
    <w:p w14:paraId="2B16AE55" w14:textId="6A5D7F6A" w:rsidR="00342F25" w:rsidRDefault="00342F25"/>
    <w:p w14:paraId="1FEE07F6" w14:textId="354EA15A" w:rsidR="00342F25" w:rsidRDefault="00342F25">
      <w:r>
        <w:t xml:space="preserve">For the Li et al., 2021 paper, Good’s coverage was 93.38-98.42%, this with rarefaction curves indicated that the sequencing effort had covered the majority of bacterial taxa in sediments. Good’s coverage is </w:t>
      </w:r>
      <w:r w:rsidRPr="00342F25">
        <w:t>a method of estimating what percent of the total species is represented in a sample in which Coverage = 1 - (number of individuals in species / total number of individuals)</w:t>
      </w:r>
      <w:r>
        <w:t xml:space="preserve">. Rarefaction curves also used to see if the majority of taxa had been sampled. Faith’s PD, Shannon, Chao I and </w:t>
      </w:r>
      <w:proofErr w:type="spellStart"/>
      <w:r>
        <w:t>Pielou</w:t>
      </w:r>
      <w:proofErr w:type="spellEnd"/>
      <w:r>
        <w:t xml:space="preserve"> indices calculated for each sample site so multiple diversity indices could be used for comparison. </w:t>
      </w:r>
    </w:p>
    <w:p w14:paraId="2490D509" w14:textId="63497DDA" w:rsidR="003D31AD" w:rsidRDefault="003D31AD"/>
    <w:p w14:paraId="156E0E42" w14:textId="2C98D27B" w:rsidR="003D31AD" w:rsidRDefault="003D31AD">
      <w:r>
        <w:t xml:space="preserve">Functional annotation was used to predict the ecological functions of active bacterial and archaeal communities. Can be used to show which areas have the highest aerobic nitrite oxidation/nitrification/nitrate reduction potential etc. </w:t>
      </w:r>
    </w:p>
    <w:p w14:paraId="56CB4EB2" w14:textId="77777777" w:rsidR="00342F25" w:rsidRDefault="00342F25"/>
    <w:p w14:paraId="2E96BAD2" w14:textId="5D30BD8A" w:rsidR="00C50CC0" w:rsidRDefault="00C50CC0">
      <w:r>
        <w:t xml:space="preserve">2.5.2 Quantification of abundant and rare taxa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794481C1" w14:textId="77777777" w:rsidR="00C50CC0" w:rsidRDefault="00C50CC0"/>
    <w:p w14:paraId="230C4001" w14:textId="0CF77ECD" w:rsidR="009408C2" w:rsidRDefault="009408C2">
      <w:r>
        <w:lastRenderedPageBreak/>
        <w:t xml:space="preserve">  Abundant and rare ASVs will be defined based on their local and regional relative abundance. Locally abundant ASVs will be defined as those &gt;1% within a sample, whilst locally rare ASVs will be defined as those &lt;0.01% within a sample. The average local relative abundance of rare and abundant taxa will also be calculated. Regionally abundant ASVs will be defined as all the ASVs with an average local abundance &gt;0.1% and regionally rare ASVs will be defined as all the ASVs with an average local abundance of &lt;0.001%. </w:t>
      </w:r>
    </w:p>
    <w:p w14:paraId="0DC83C71" w14:textId="55C376D8" w:rsidR="00393417" w:rsidRDefault="00393417"/>
    <w:p w14:paraId="46B3145C" w14:textId="5F0C6C00" w:rsidR="00393417" w:rsidRDefault="00393417" w:rsidP="00393417">
      <w:r>
        <w:t>“</w:t>
      </w:r>
      <w:r>
        <w:t>﻿Compared with abundant microbial taxa, rare taxa have extremely</w:t>
      </w:r>
      <w:r>
        <w:t xml:space="preserve"> </w:t>
      </w:r>
      <w:r>
        <w:t xml:space="preserve">low abundance and high diversity, playing key roles in primary ecosystem functions and acting as reservoirs in response to environmental changes to maintain community stability (Lynch and Neufeld, 2015; Shade et al., 2014). In addition, our previous study (Li et al., </w:t>
      </w:r>
      <w:proofErr w:type="gramStart"/>
      <w:r>
        <w:t>2020)and</w:t>
      </w:r>
      <w:proofErr w:type="gramEnd"/>
      <w:r>
        <w:t xml:space="preserve"> other studies (Li et al., 2019; Zhang et al., 2014) have shown that the relative abundance of microbial taxa might increase or decrease greatly from the DNA level to the RNA level. Therefore, it was necessary to explore the geographic patterns of</w:t>
      </w:r>
      <w:r>
        <w:t xml:space="preserve"> </w:t>
      </w:r>
      <w:r>
        <w:t>abundant and rare taxa of</w:t>
      </w:r>
      <w:r>
        <w:t xml:space="preserve"> </w:t>
      </w:r>
      <w:r>
        <w:t>active</w:t>
      </w:r>
      <w:r>
        <w:t xml:space="preserve"> </w:t>
      </w:r>
      <w:r>
        <w:t>microbial communities. In general, the abundant taxa can disperse more readily than rare taxa as more individuals can potentially be involved in a dispersal event (Liu et al., 2015b).</w:t>
      </w:r>
      <w:r>
        <w:t>”</w:t>
      </w:r>
    </w:p>
    <w:p w14:paraId="179ED956" w14:textId="44046B32" w:rsidR="00C50CC0" w:rsidRDefault="00C50CC0"/>
    <w:p w14:paraId="7891246B" w14:textId="31D3AC8A" w:rsidR="00C50CC0" w:rsidRDefault="00C50CC0">
      <w:r>
        <w:t xml:space="preserve">2.5.3 Significant differences between communities and factors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606875E1" w14:textId="77777777" w:rsidR="00C50CC0" w:rsidRDefault="00C50CC0"/>
    <w:p w14:paraId="087211A9" w14:textId="77777777" w:rsidR="006C394A" w:rsidRDefault="009408C2">
      <w:r>
        <w:t xml:space="preserve">  Differences in environmental factors, microbial community abundances, activities, alpha diversity indices and compositional relative abundances will be assessed using the Mann-Whitney test</w:t>
      </w:r>
      <w:r w:rsidR="006C394A">
        <w:t xml:space="preserve"> (non-parametric test to compare differences of two independent groups)</w:t>
      </w:r>
      <w:r>
        <w:t>.</w:t>
      </w:r>
      <w:r w:rsidR="006C394A">
        <w:t xml:space="preserve"> </w:t>
      </w:r>
    </w:p>
    <w:p w14:paraId="2440E0B6" w14:textId="77777777" w:rsidR="006C394A" w:rsidRDefault="006C394A"/>
    <w:p w14:paraId="766D927C" w14:textId="77E3FF34" w:rsidR="00B51828" w:rsidRDefault="006C394A" w:rsidP="00B51828">
      <w:r>
        <w:t xml:space="preserve">In the Li </w:t>
      </w:r>
      <w:r w:rsidRPr="006C394A">
        <w:rPr>
          <w:i/>
        </w:rPr>
        <w:t>et al.,</w:t>
      </w:r>
      <w:r>
        <w:t xml:space="preserve"> 2021 paper the Mann-Whitney test is be used to look for significant differences between environmental factors for each sample location</w:t>
      </w:r>
      <w:r w:rsidR="00B51828">
        <w:t xml:space="preserve">, </w:t>
      </w:r>
      <w:r w:rsidR="00B51828">
        <w:t xml:space="preserve">between </w:t>
      </w:r>
      <w:r w:rsidR="00B51828">
        <w:t>the bacterial and archaeal 16S rRNA gene abundance</w:t>
      </w:r>
      <w:r w:rsidR="00B51828">
        <w:t xml:space="preserve"> for each sample location</w:t>
      </w:r>
      <w:r w:rsidR="00B51828">
        <w:t>, between the bacterial and archaea 16S rRNA gene transcript abundance for each sample location.</w:t>
      </w:r>
    </w:p>
    <w:p w14:paraId="72C47FE9" w14:textId="77777777" w:rsidR="00B51828" w:rsidRDefault="00B51828" w:rsidP="00B51828"/>
    <w:p w14:paraId="3D5E57ED" w14:textId="3C62E9CC" w:rsidR="00B51828" w:rsidRDefault="00B51828" w:rsidP="00B51828">
      <w:r>
        <w:t>The Mann-Whitney test can therefore be used to look for differences in continuous variables (environmental factors</w:t>
      </w:r>
      <w:r>
        <w:t>/community abundances/community activity</w:t>
      </w:r>
      <w:r>
        <w:t>) between discrete spatial (location) or temporal groups (season). A significant difference will be a P&lt;-0.05.</w:t>
      </w:r>
    </w:p>
    <w:p w14:paraId="1B523F98" w14:textId="77777777" w:rsidR="00B51828" w:rsidRDefault="00B51828"/>
    <w:p w14:paraId="404770FF" w14:textId="3442ACEE" w:rsidR="009408C2" w:rsidRDefault="009408C2">
      <w:r>
        <w:t xml:space="preserve">Pearson’s correlation analysis will be performed between microbial abundances, activities, spatial and environmental factors. </w:t>
      </w:r>
    </w:p>
    <w:p w14:paraId="347575B5" w14:textId="193167DD" w:rsidR="00B51828" w:rsidRDefault="00B51828"/>
    <w:p w14:paraId="176A4B3A" w14:textId="7CF0EA6B" w:rsidR="00B51828" w:rsidRDefault="00B51828">
      <w:r>
        <w:t xml:space="preserve">In the Li </w:t>
      </w:r>
      <w:r w:rsidRPr="006C394A">
        <w:rPr>
          <w:i/>
        </w:rPr>
        <w:t>et al.,</w:t>
      </w:r>
      <w:r>
        <w:t xml:space="preserve"> 2021 paper </w:t>
      </w:r>
      <w:r>
        <w:t>Pearson’s correlation analysis is used to look for significant correlations between bacterial and archaeal 16S rRNA gene and transcript abundances. It is used to ask the question of whether microbial community abundances are always consistent with microbial community activity.</w:t>
      </w:r>
    </w:p>
    <w:p w14:paraId="415E0168" w14:textId="4E68DA68" w:rsidR="00874538" w:rsidRDefault="00874538"/>
    <w:p w14:paraId="278FA9A4" w14:textId="4D6BB498" w:rsidR="00874538" w:rsidRDefault="00874538">
      <w:r>
        <w:t>Heterogeneity of microbial abundances and activities will be explored using the coefficient of variation.</w:t>
      </w:r>
    </w:p>
    <w:p w14:paraId="51BF7154" w14:textId="386B82D3" w:rsidR="00874538" w:rsidRDefault="00874538"/>
    <w:p w14:paraId="3DBF5A58" w14:textId="77777777" w:rsidR="00874538" w:rsidRDefault="00874538" w:rsidP="00874538">
      <w:r>
        <w:t>The coefficients of variation showed that 16S rRNA gene transcript abundance had higher heterogeneity than 16S rRNA gene abundance, suggesting more distinct niche partitioning (</w:t>
      </w:r>
      <w:r w:rsidRPr="007B2ACA">
        <w:t xml:space="preserve">niche partitioning refers to the process by which natural selection drives competing species </w:t>
      </w:r>
      <w:r w:rsidRPr="007B2ACA">
        <w:lastRenderedPageBreak/>
        <w:t>into different patterns of resource use or different niches</w:t>
      </w:r>
      <w:r>
        <w:t xml:space="preserve">) for microbial activity than for microbial community abundances. </w:t>
      </w:r>
    </w:p>
    <w:p w14:paraId="0F86B44B" w14:textId="77777777" w:rsidR="00874538" w:rsidRDefault="00874538"/>
    <w:p w14:paraId="1415F878" w14:textId="29E9CC77" w:rsidR="00C50CC0" w:rsidRDefault="00C50CC0"/>
    <w:p w14:paraId="0955C5E7" w14:textId="64883DF5" w:rsidR="00C50CC0" w:rsidRDefault="00C50CC0">
      <w:r>
        <w:t xml:space="preserve">2.5.4 Geographic analysis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3598D46D" w14:textId="77777777" w:rsidR="00C50CC0" w:rsidRDefault="00C50CC0"/>
    <w:p w14:paraId="1CD6ED52" w14:textId="2D80488B" w:rsidR="009408C2" w:rsidRDefault="009408C2">
      <w:r>
        <w:t xml:space="preserve">  Cluster analysis of microbial community composition between samples will be performed using unweighted pair-group method with arithmetic means (UPGMA) based on the Bray-Curtis distance.</w:t>
      </w:r>
      <w:r w:rsidR="00531417">
        <w:t xml:space="preserve"> Geographic patterns of RNA-derived bacterial and archaeal communities will be investigated using principal coordinates analysis (</w:t>
      </w:r>
      <w:proofErr w:type="spellStart"/>
      <w:r w:rsidR="00531417">
        <w:t>PCoA</w:t>
      </w:r>
      <w:proofErr w:type="spellEnd"/>
      <w:r w:rsidR="00531417">
        <w:t>) based on the Bray-Curtis distance. Analysis of similarity (ANOSIM) could be used to evaluate the difference in bacterial and archaeal communities if I have different sampling groups (e.g. study areas, different glaciers etc). The DDR will be assessed using geographic distances calculated using the latitude and longitude GPS coordinates</w:t>
      </w:r>
      <w:r w:rsidR="00126C0F">
        <w:t>, “geosphere” package</w:t>
      </w:r>
      <w:r w:rsidR="00531417">
        <w:t>) and plotting these against Bray-Curtis dissimilarities of microbial communities between samples and calculating Spearman’s rank correlations for the plots.</w:t>
      </w:r>
    </w:p>
    <w:p w14:paraId="2D6BD404" w14:textId="1CB156ED" w:rsidR="00342F25" w:rsidRDefault="00342F25"/>
    <w:p w14:paraId="5B8D12C8" w14:textId="77777777" w:rsidR="00342F25" w:rsidRDefault="00342F25">
      <w:proofErr w:type="spellStart"/>
      <w:r>
        <w:t>PCoA</w:t>
      </w:r>
      <w:proofErr w:type="spellEnd"/>
      <w:r>
        <w:t xml:space="preserve"> used in Li et al. 2021 to show clear separation of active bacterial communities based on total ASVs, abundant ASVs and rare ASVs – all samples were partitioned into three geographic groups (the three separate sampling areas were different for bacterial communities). ANOSIM was also used to support the </w:t>
      </w:r>
      <w:proofErr w:type="spellStart"/>
      <w:r>
        <w:t>PCoA</w:t>
      </w:r>
      <w:proofErr w:type="spellEnd"/>
      <w:r>
        <w:t xml:space="preserve"> findings. </w:t>
      </w:r>
    </w:p>
    <w:p w14:paraId="4F4B333E" w14:textId="77777777" w:rsidR="00342F25" w:rsidRDefault="00342F25"/>
    <w:p w14:paraId="5A6081C9" w14:textId="581EE091" w:rsidR="00342F25" w:rsidRDefault="00342F25">
      <w:r>
        <w:t xml:space="preserve">Geographic distance in km was plotted against active community Bray-Curtis dissimilarity for all ASVs, abundant ASVs and rare ASVs for bacteria and archaea. </w:t>
      </w:r>
      <w:r w:rsidR="00F40B8C">
        <w:t>Spearman</w:t>
      </w:r>
      <w:r>
        <w:t>’s correlation coefficient used to look for significant correlations between distance and bray-</w:t>
      </w:r>
      <w:proofErr w:type="spellStart"/>
      <w:r>
        <w:t>curtis</w:t>
      </w:r>
      <w:proofErr w:type="spellEnd"/>
      <w:r>
        <w:t xml:space="preserve"> dissimilarity index. </w:t>
      </w:r>
    </w:p>
    <w:p w14:paraId="38931EE1" w14:textId="7F147BC5" w:rsidR="00393417" w:rsidRDefault="00393417"/>
    <w:p w14:paraId="4FDD3332" w14:textId="03B7B604" w:rsidR="00393417" w:rsidRDefault="00393417">
      <w:proofErr w:type="gramStart"/>
      <w:r w:rsidRPr="00393417">
        <w:t>﻿</w:t>
      </w:r>
      <w:r>
        <w:t>“</w:t>
      </w:r>
      <w:proofErr w:type="gramEnd"/>
      <w:r w:rsidRPr="00393417">
        <w:t>In the present study, RNA-derived active microbial populations needed to be established after dispersal to a new location (Hanson et al., 2012), resulting in difficulties in the same taxon being shared between different areas when compared with other studies at the DNA level (Liao et al., 2017; Liu et al., 2017; Mo et al., 2018).</w:t>
      </w:r>
      <w:r>
        <w:t>”</w:t>
      </w:r>
    </w:p>
    <w:p w14:paraId="39CE5919" w14:textId="3C3CDCEA" w:rsidR="00913A1F" w:rsidRDefault="00913A1F"/>
    <w:p w14:paraId="05F3C5C4" w14:textId="0AA07CAB" w:rsidR="00913A1F" w:rsidRDefault="00913A1F">
      <w:r>
        <w:t>“</w:t>
      </w:r>
      <w:r w:rsidRPr="00913A1F">
        <w:t xml:space="preserve">﻿Previous studies have displayed highly similar biogeographic patterns of abundant and rare bacterial taxa based on DNA analysis in aquatic systems, suggesting that rare taxa respond to environmental changes in a similar manner to abundant taxa (Liao et al., 2017; </w:t>
      </w:r>
      <w:proofErr w:type="spellStart"/>
      <w:r w:rsidRPr="00913A1F">
        <w:t>Logares</w:t>
      </w:r>
      <w:proofErr w:type="spellEnd"/>
      <w:r w:rsidRPr="00913A1F">
        <w:t xml:space="preserve"> et al., 2013; Mo et al., 2018). However, in this study, although both were partitioned into three geographic groups, the abundant and rare taxa of active bacteria and archaea showed much lower similarity of biogeographic pat- terns than that observed in previous studies (Liao et al., 2017; Mo et al., 2018), which illustrated the different assembly mechanisms of abundant and rare taxa between total and active microbial </w:t>
      </w:r>
      <w:proofErr w:type="spellStart"/>
      <w:r w:rsidRPr="00913A1F">
        <w:t>communi</w:t>
      </w:r>
      <w:proofErr w:type="spellEnd"/>
      <w:r w:rsidRPr="00913A1F">
        <w:t>- ties. Active rare taxa tend to disappear once they fail to re-establish in a new location. Furthermore, supporting the biogeography of</w:t>
      </w:r>
      <w:r>
        <w:t xml:space="preserve"> </w:t>
      </w:r>
      <w:r w:rsidRPr="00913A1F">
        <w:t>active microbial communities, distance-decay patterns were observed for all,</w:t>
      </w:r>
      <w:r>
        <w:t xml:space="preserve"> abundant and rare taxa.”</w:t>
      </w:r>
    </w:p>
    <w:p w14:paraId="228A3CED" w14:textId="2C501050" w:rsidR="00C50CC0" w:rsidRDefault="00C50CC0"/>
    <w:p w14:paraId="168E9A17" w14:textId="377106B7" w:rsidR="00C50CC0" w:rsidRDefault="00C50CC0">
      <w:r>
        <w:t xml:space="preserve">2.5.5 Effect of spatial and environmental factors on communities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3529F6AB" w14:textId="77777777" w:rsidR="00C50CC0" w:rsidRDefault="00C50CC0"/>
    <w:p w14:paraId="52F9D9AD" w14:textId="5A2C8183" w:rsidR="00C50CC0" w:rsidRDefault="00C50CC0">
      <w:r>
        <w:lastRenderedPageBreak/>
        <w:t xml:space="preserve">  The contribution of spatial and environmental factors in shaping microbial community composition will be elucidated using canonical correlation analysis (CCA). Distance-based Moran’s eigenvector maps</w:t>
      </w:r>
      <w:r w:rsidR="00B51828">
        <w:t xml:space="preserve"> </w:t>
      </w:r>
      <w:r w:rsidR="00751FED">
        <w:t>(</w:t>
      </w:r>
      <w:proofErr w:type="spellStart"/>
      <w:r w:rsidR="00751FED">
        <w:t>dbMEM</w:t>
      </w:r>
      <w:proofErr w:type="spellEnd"/>
      <w:r w:rsidR="00751FED">
        <w:t>, using “</w:t>
      </w:r>
      <w:proofErr w:type="spellStart"/>
      <w:r w:rsidR="00751FED">
        <w:t>adespatial</w:t>
      </w:r>
      <w:proofErr w:type="spellEnd"/>
      <w:r w:rsidR="00751FED">
        <w:t>” package)</w:t>
      </w:r>
      <w:r>
        <w:t xml:space="preserve"> will be used to generate a set of spatial factors based on Cartesian coordinates (from the GPS </w:t>
      </w:r>
      <w:proofErr w:type="spellStart"/>
      <w:r>
        <w:t>coors</w:t>
      </w:r>
      <w:proofErr w:type="spellEnd"/>
      <w:r w:rsidR="00126C0F">
        <w:t>, using “</w:t>
      </w:r>
      <w:proofErr w:type="spellStart"/>
      <w:r w:rsidR="00126C0F">
        <w:t>SoDA</w:t>
      </w:r>
      <w:proofErr w:type="spellEnd"/>
      <w:r w:rsidR="00126C0F">
        <w:t>” package</w:t>
      </w:r>
      <w:r>
        <w:t>). Factors will be tested for significance. Collinearity between factors will be eliminated by selecting environmental factors with a variance inflation &lt;10. The relative role of spatial and environmental factors in explaining community variation will be assessed using variation partitioning analysis</w:t>
      </w:r>
      <w:r w:rsidR="00342F25">
        <w:t xml:space="preserve"> (VPA)</w:t>
      </w:r>
      <w:r>
        <w:t>. Permutation test will be used to best for pure effects of spatial and environmental factors.</w:t>
      </w:r>
      <w:r w:rsidR="00751FED">
        <w:t xml:space="preserve"> Mantel and partial Mantel tests will be used to verify the contributions of spatial/environmental factors. Occurrence of ASVs in samples against the average relative abundance will also be plotted along with Spearman’s rank correlations. </w:t>
      </w:r>
    </w:p>
    <w:p w14:paraId="0B985E10" w14:textId="6F5D5491" w:rsidR="00B51828" w:rsidRDefault="00B51828"/>
    <w:p w14:paraId="6A8226D3" w14:textId="63309B67" w:rsidR="00B51828" w:rsidRDefault="00B51828">
      <w:r>
        <w:t xml:space="preserve">In the Li </w:t>
      </w:r>
      <w:r w:rsidRPr="006C394A">
        <w:rPr>
          <w:i/>
        </w:rPr>
        <w:t>et al.,</w:t>
      </w:r>
      <w:r>
        <w:t xml:space="preserve"> 2021 paper</w:t>
      </w:r>
      <w:r>
        <w:t xml:space="preserve"> a </w:t>
      </w:r>
      <w:proofErr w:type="spellStart"/>
      <w:r>
        <w:t>dbMEM</w:t>
      </w:r>
      <w:proofErr w:type="spellEnd"/>
      <w:r>
        <w:t xml:space="preserve"> used to assess the effect of spatial and environmental factors on the communities. </w:t>
      </w:r>
      <w:proofErr w:type="spellStart"/>
      <w:r>
        <w:t>dbMEM</w:t>
      </w:r>
      <w:proofErr w:type="spellEnd"/>
      <w:r>
        <w:t xml:space="preserve"> is </w:t>
      </w:r>
      <w:r w:rsidRPr="00B51828">
        <w:t>a spatial eigenfunction method</w:t>
      </w:r>
      <w:r>
        <w:t xml:space="preserve"> whereby the spatial structure of your dataset is broken down into a number of eigenfunctions. The eigenfunctions can be used as proxy variables in ordinary least squares (OLS), generalised linear models (GLM) and redundancy analysis (RDA).</w:t>
      </w:r>
      <w:r w:rsidR="00B072D6">
        <w:t xml:space="preserve"> The </w:t>
      </w:r>
      <w:proofErr w:type="spellStart"/>
      <w:r w:rsidR="00B072D6">
        <w:t>eignevalues</w:t>
      </w:r>
      <w:proofErr w:type="spellEnd"/>
      <w:r w:rsidR="00B072D6">
        <w:t xml:space="preserve"> allow you to test the importance of spatial structure on its own on certain phenomena. Only </w:t>
      </w:r>
      <w:proofErr w:type="spellStart"/>
      <w:r w:rsidR="00B072D6">
        <w:t>eignevalues</w:t>
      </w:r>
      <w:proofErr w:type="spellEnd"/>
      <w:r w:rsidR="00B072D6">
        <w:t xml:space="preserve"> with significant spatial structure (i.e. spatial autocorrelation – meaning they are different across space) are used in further analysis. </w:t>
      </w:r>
      <w:proofErr w:type="gramStart"/>
      <w:r w:rsidR="00B072D6">
        <w:t>So</w:t>
      </w:r>
      <w:proofErr w:type="gramEnd"/>
      <w:r w:rsidR="00B072D6">
        <w:t xml:space="preserve"> in this paper Li et al., (2021) used </w:t>
      </w:r>
      <w:proofErr w:type="spellStart"/>
      <w:r w:rsidR="00B072D6">
        <w:t>dbMEM</w:t>
      </w:r>
      <w:proofErr w:type="spellEnd"/>
      <w:r w:rsidR="00B072D6">
        <w:t xml:space="preserve"> to generate 10 spatial factors based on latitude and longitude. Bacterial 16S rRNA gene abundance was significantly negatively correlated with MEM1. Bacterial 16S rRNA gene transcript abundance and archaeal 16S rRNA gene and transcript abundance was negatively correlated with MEM2. Bacterial 16S rRNA gene transcript abundance was correlated with MEM1 and MEM4. For bacterial 16S rRNA gene abundance depth, salinity, dissolved oxygen, pH, NO2-, NO3-, PO43-, SiO32- and </w:t>
      </w:r>
      <w:proofErr w:type="spellStart"/>
      <w:r w:rsidR="00B072D6">
        <w:t>Chla</w:t>
      </w:r>
      <w:proofErr w:type="spellEnd"/>
      <w:r w:rsidR="00B072D6">
        <w:t xml:space="preserve"> were the most significant environmental factors. </w:t>
      </w:r>
      <w:r w:rsidR="007B2ACA">
        <w:t>For archaeal 16S rRNA gene abundance temperature, pH, NH4+ were the most significant environmental factors. These results indicate that abundance and activity for microbial communities is affected by both spatial and environmental factors. More environmental factors affected bacteria than archaea, and more environmental factors affected abundance than activities.</w:t>
      </w:r>
    </w:p>
    <w:p w14:paraId="2853A176" w14:textId="2B65E903" w:rsidR="00342F25" w:rsidRDefault="00342F25"/>
    <w:p w14:paraId="7FA8D3F4" w14:textId="72BD6FBE" w:rsidR="00342F25" w:rsidRDefault="00342F25">
      <w:r>
        <w:t xml:space="preserve">CCA used to depict 5 spatial and 12 environmental factors in shaping active microbial communities. 2 spatial and 8 environmental factors contributed to shaping total active bacterial communities, 2 spatial and 9 enviro factors shaped abundant communities and 2 spatial and 10 enviro shapes rare communities. Shows more factors are affecting the rare community. Also found significant positive relationship between the site occupied and average relative abundance of each ASV, indicating that rare taxa tend to have a weak ability to disperse and/or adapt. Suggests rare taxa are more sensitive to spatial and environmental changes. </w:t>
      </w:r>
    </w:p>
    <w:p w14:paraId="6874B479" w14:textId="603C67E3" w:rsidR="00342F25" w:rsidRDefault="00342F25"/>
    <w:p w14:paraId="086A58D1" w14:textId="31E7BA02" w:rsidR="00342F25" w:rsidRDefault="00342F25">
      <w:r>
        <w:t xml:space="preserve">VPA of spatial and environmental factors and active communities showed that &gt;60% of community variations could not be explained by spatial or environmental factors based on all ASVs, abundant ASVs and rare ASVs. Residuals were particularly high for rare taxa. Rare community assembly may be more complex. VPA show stronger effect of environmental over spatial factors. </w:t>
      </w:r>
    </w:p>
    <w:p w14:paraId="2EC74B13" w14:textId="2AED842F" w:rsidR="007B2ACA" w:rsidRDefault="007B2ACA"/>
    <w:p w14:paraId="74F4D7C9" w14:textId="49DB62D2" w:rsidR="00342F25" w:rsidRDefault="00342F25">
      <w:r>
        <w:lastRenderedPageBreak/>
        <w:t>Mantel (</w:t>
      </w:r>
      <w:r w:rsidRPr="00342F25">
        <w:t>a statistical test of the correlation between two matrices</w:t>
      </w:r>
      <w:r>
        <w:t>) and partial mantel tests (</w:t>
      </w:r>
      <w:r w:rsidRPr="00342F25">
        <w:t>While the Mantel test only allows a comparison among two variables, a Partial Mantel test can be used to compare three or more variables. Essentially, the Partial Mantel test allows a comparison to be made among two variables while controlling for the third</w:t>
      </w:r>
      <w:r>
        <w:t>) showed spatial factors were significant whether environmental factors were controlled or not.</w:t>
      </w:r>
      <w:r w:rsidR="000F4C82">
        <w:t xml:space="preserve"> These results can be compared with VPA results to see if they are consistent in their interpretation of the relative importance of spatial and environmental factors. </w:t>
      </w:r>
    </w:p>
    <w:p w14:paraId="006ADCB2" w14:textId="1EA15A4E" w:rsidR="00913A1F" w:rsidRDefault="00913A1F"/>
    <w:p w14:paraId="2F121A4F" w14:textId="3A9EF934" w:rsidR="00913A1F" w:rsidRDefault="00913A1F" w:rsidP="00913A1F">
      <w:proofErr w:type="gramStart"/>
      <w:r>
        <w:t>﻿</w:t>
      </w:r>
      <w:r>
        <w:t>“</w:t>
      </w:r>
      <w:proofErr w:type="gramEnd"/>
      <w:r>
        <w:t xml:space="preserve">The mechanisms underpinning the community assembly, subsequently shaping the biogeographic patterns of microbial communities, are a central issue in microbial ecology (Hanson et al., 2012; </w:t>
      </w:r>
      <w:proofErr w:type="spellStart"/>
      <w:r>
        <w:t>Nemergut</w:t>
      </w:r>
      <w:proofErr w:type="spellEnd"/>
      <w:r>
        <w:t xml:space="preserve"> et al., 2013). To date, most studies of the mechanisms governing biogeographic patterns in marine ecosystems have focused on bacteria (Mo et al., 2018; Zhang et al., 2014) and microeukaryotes (Chen et al., 2017; </w:t>
      </w:r>
      <w:proofErr w:type="spellStart"/>
      <w:r>
        <w:t>Logares</w:t>
      </w:r>
      <w:proofErr w:type="spellEnd"/>
      <w:r>
        <w:t xml:space="preserve"> et al., 2014; Zhang et al., 2018) instead of archaea (Liu et al., 2020). To our knowledge, this is the first study to present the mechanisms of RNA-derived microbial community assembly in marine sediments.</w:t>
      </w:r>
      <w:r>
        <w:t>”</w:t>
      </w:r>
    </w:p>
    <w:p w14:paraId="6FD753DD" w14:textId="32B94B55" w:rsidR="00C50CC0" w:rsidRDefault="00C50CC0"/>
    <w:p w14:paraId="098BD413" w14:textId="3CCD6E71" w:rsidR="00C50CC0" w:rsidRDefault="00C50CC0">
      <w:r>
        <w:t xml:space="preserve">2.5.6 Community assembly processes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09870EF0" w14:textId="1D54C862" w:rsidR="00FF721E" w:rsidRDefault="00FF721E"/>
    <w:p w14:paraId="767C0786" w14:textId="5DA0EF26" w:rsidR="004E2BA6" w:rsidRDefault="004E2BA6">
      <w:r>
        <w:t xml:space="preserve">First, I will test the phylogenetic signal using the Mantel correlogram. To investigate the relation contribution of neutral and non-neutral processes in assembly of bacterial and archaeal communities, I will apply the quantitative ecological framework developed by </w:t>
      </w:r>
      <w:proofErr w:type="spellStart"/>
      <w:r>
        <w:t>Stegen</w:t>
      </w:r>
      <w:proofErr w:type="spellEnd"/>
      <w:r>
        <w:t xml:space="preserve"> </w:t>
      </w:r>
      <w:r w:rsidRPr="004E2BA6">
        <w:rPr>
          <w:i/>
        </w:rPr>
        <w:t>et al</w:t>
      </w:r>
      <w:r>
        <w:t xml:space="preserve">. </w:t>
      </w:r>
      <w:r>
        <w:fldChar w:fldCharType="begin" w:fldLock="1"/>
      </w:r>
      <w:r w:rsidR="00FC7B3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C7B33">
        <w:rPr>
          <w:rFonts w:ascii="Cambria Math" w:hAnsi="Cambria Math" w:cs="Cambria Math"/>
        </w:rPr>
        <w:instrText>∼</w:instrText>
      </w:r>
      <w:r w:rsidR="00FC7B33">
        <w:instrText xml:space="preserve">25% of spatial turnover in community composition; (ii) in deeper, finer-grained sediments, Selection is strong (governing </w:instrText>
      </w:r>
      <w:r w:rsidR="00FC7B33">
        <w:rPr>
          <w:rFonts w:ascii="Cambria Math" w:hAnsi="Cambria Math" w:cs="Cambria Math"/>
        </w:rPr>
        <w:instrText>∼</w:instrText>
      </w:r>
      <w:r w:rsidR="00FC7B33">
        <w:instrText xml:space="preserve">60% of turnover), being imposed by an unmeasured but spatially structured environmental variable; (iii) in shallower, coarser-grained sediments, Selection is weaker (governing </w:instrText>
      </w:r>
      <w:r w:rsidR="00FC7B33">
        <w:rPr>
          <w:rFonts w:ascii="Cambria Math" w:hAnsi="Cambria Math" w:cs="Cambria Math"/>
        </w:rPr>
        <w:instrText>∼</w:instrText>
      </w:r>
      <w:r w:rsidR="00FC7B3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assembly","type":"article-journal","volume":"6"},"uris":["http://www.mendeley.com/documents/?uuid=9ca41d75-6d32-4bd1-9b4e-24f0e006d90c"]}],"mendeley":{"formattedCitation":"(Stegen et al., 2013; Stegen, Lin, Fredrickson, &amp; Konopka, 2015)","plainTextFormattedCitation":"(Stegen et al., 2013; Stegen, Lin, Fredrickson, &amp; Konopka, 2015)","previouslyFormattedCitation":"(Stegen et al., 2013; Stegen, Lin, Fredrickson, &amp; Konopka, 2015)"},"properties":{"noteIndex":0},"schema":"https://github.com/citation-style-language/schema/raw/master/csl-citation.json"}</w:instrText>
      </w:r>
      <w:r>
        <w:fldChar w:fldCharType="separate"/>
      </w:r>
      <w:r w:rsidRPr="004E2BA6">
        <w:rPr>
          <w:noProof/>
        </w:rPr>
        <w:t>(Stegen et al., 2013; Stegen, Lin, Fredrickson, &amp; Konopka, 2015)</w:t>
      </w:r>
      <w:r>
        <w:fldChar w:fldCharType="end"/>
      </w:r>
      <w:r>
        <w:t xml:space="preserve">. Two distance matrices are input into this analysis: between-ASV </w:t>
      </w:r>
      <w:r w:rsidR="00DB3740">
        <w:t>differences</w:t>
      </w:r>
      <w:r>
        <w:t xml:space="preserve"> in environmental optima, and between-ASV phylogenetic distances. According to this framework, </w:t>
      </w:r>
      <w:r w:rsidR="00DB3740">
        <w:t>community</w:t>
      </w:r>
      <w:r>
        <w:t xml:space="preserve"> assembly is shaped by deterministic and stochastic processes (see Table 1). </w:t>
      </w:r>
    </w:p>
    <w:p w14:paraId="1922EC71" w14:textId="77777777" w:rsidR="004E2BA6" w:rsidRDefault="004E2BA6"/>
    <w:p w14:paraId="2D9576DB" w14:textId="5F1944A0" w:rsidR="004E2BA6" w:rsidRDefault="004E2BA6">
      <w:r>
        <w:t>Table 1</w:t>
      </w:r>
      <w:r w:rsidR="009F1766">
        <w:t xml:space="preserve">. Deterministic and stochastic processes of community assembly as described by </w:t>
      </w:r>
      <w:proofErr w:type="spellStart"/>
      <w:r w:rsidR="009F1766">
        <w:t>Stegen</w:t>
      </w:r>
      <w:proofErr w:type="spellEnd"/>
      <w:r w:rsidR="009F1766">
        <w:t xml:space="preserve"> </w:t>
      </w:r>
      <w:r w:rsidR="009F1766" w:rsidRPr="009F1766">
        <w:rPr>
          <w:i/>
        </w:rPr>
        <w:t>et al.</w:t>
      </w:r>
      <w:r w:rsidR="009F1766">
        <w:t xml:space="preserve"> (2013, 2015)</w:t>
      </w:r>
    </w:p>
    <w:tbl>
      <w:tblPr>
        <w:tblStyle w:val="TableGrid"/>
        <w:tblW w:w="0" w:type="auto"/>
        <w:tblLook w:val="04A0" w:firstRow="1" w:lastRow="0" w:firstColumn="1" w:lastColumn="0" w:noHBand="0" w:noVBand="1"/>
      </w:tblPr>
      <w:tblGrid>
        <w:gridCol w:w="4505"/>
        <w:gridCol w:w="4505"/>
      </w:tblGrid>
      <w:tr w:rsidR="004E2BA6" w14:paraId="7F27DA38" w14:textId="77777777" w:rsidTr="004E2BA6">
        <w:tc>
          <w:tcPr>
            <w:tcW w:w="4505" w:type="dxa"/>
          </w:tcPr>
          <w:p w14:paraId="21A90C42" w14:textId="790C5EA5" w:rsidR="004E2BA6" w:rsidRDefault="00DB3740">
            <w:r>
              <w:t>Deterministic</w:t>
            </w:r>
            <w:r w:rsidR="004E2BA6">
              <w:t xml:space="preserve"> (non-neutral)</w:t>
            </w:r>
          </w:p>
        </w:tc>
        <w:tc>
          <w:tcPr>
            <w:tcW w:w="4505" w:type="dxa"/>
          </w:tcPr>
          <w:p w14:paraId="6D480655" w14:textId="4826B3DC" w:rsidR="004E2BA6" w:rsidRDefault="004E2BA6">
            <w:r>
              <w:t>Stochastic (neutral)</w:t>
            </w:r>
          </w:p>
        </w:tc>
      </w:tr>
      <w:tr w:rsidR="004E2BA6" w14:paraId="3669710A" w14:textId="77777777" w:rsidTr="004E2BA6">
        <w:tc>
          <w:tcPr>
            <w:tcW w:w="4505" w:type="dxa"/>
          </w:tcPr>
          <w:p w14:paraId="36EB938D" w14:textId="2A937465" w:rsidR="004E2BA6" w:rsidRDefault="004E2BA6">
            <w:r>
              <w:t>Heterogenous selection (selective pressure leading to high compositional turnover)</w:t>
            </w:r>
          </w:p>
        </w:tc>
        <w:tc>
          <w:tcPr>
            <w:tcW w:w="4505" w:type="dxa"/>
          </w:tcPr>
          <w:p w14:paraId="06884FC8" w14:textId="5C793425" w:rsidR="004E2BA6" w:rsidRDefault="004E2BA6">
            <w:r>
              <w:t>Dispersal limitation (low immigration rate leading to high compositional turnover)</w:t>
            </w:r>
          </w:p>
        </w:tc>
      </w:tr>
      <w:tr w:rsidR="004E2BA6" w14:paraId="4DD387BA" w14:textId="77777777" w:rsidTr="004E2BA6">
        <w:tc>
          <w:tcPr>
            <w:tcW w:w="4505" w:type="dxa"/>
          </w:tcPr>
          <w:p w14:paraId="06226E1E" w14:textId="276704FF" w:rsidR="004E2BA6" w:rsidRDefault="004E2BA6">
            <w:r>
              <w:t>Homogenous selection (selective pressure leading to low compositional turnover)</w:t>
            </w:r>
          </w:p>
        </w:tc>
        <w:tc>
          <w:tcPr>
            <w:tcW w:w="4505" w:type="dxa"/>
          </w:tcPr>
          <w:p w14:paraId="71E7346F" w14:textId="7E16FE84" w:rsidR="004E2BA6" w:rsidRDefault="004E2BA6">
            <w:r>
              <w:t>Homogenizing dispersal (high immigration rate leading to low compositional turnover)</w:t>
            </w:r>
          </w:p>
        </w:tc>
      </w:tr>
      <w:tr w:rsidR="004E2BA6" w14:paraId="74B8C15E" w14:textId="77777777" w:rsidTr="004E2BA6">
        <w:tc>
          <w:tcPr>
            <w:tcW w:w="4505" w:type="dxa"/>
          </w:tcPr>
          <w:p w14:paraId="470AB8B8" w14:textId="77777777" w:rsidR="004E2BA6" w:rsidRDefault="004E2BA6"/>
        </w:tc>
        <w:tc>
          <w:tcPr>
            <w:tcW w:w="4505" w:type="dxa"/>
          </w:tcPr>
          <w:p w14:paraId="015D55FF" w14:textId="7D179F34" w:rsidR="004E2BA6" w:rsidRDefault="004E2BA6">
            <w:r>
              <w:t>Drift (random birth/death events leading to compositional turnover)</w:t>
            </w:r>
          </w:p>
        </w:tc>
      </w:tr>
    </w:tbl>
    <w:p w14:paraId="58981E1C" w14:textId="0F398AFB" w:rsidR="00FF721E" w:rsidRDefault="004E2BA6">
      <w:r>
        <w:t xml:space="preserve"> </w:t>
      </w:r>
    </w:p>
    <w:p w14:paraId="4F5E8321" w14:textId="41683F99" w:rsidR="004E2BA6" w:rsidRDefault="004E2BA6">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null models.</w:t>
      </w:r>
      <w:r w:rsidR="00C018B2">
        <w:rPr>
          <w:rFonts w:eastAsiaTheme="minorEastAsia"/>
        </w:rPr>
        <w:t xml:space="preserve"> Phylogenetic turnover between the communities will be analysed using R package “picante” to calculate the weighted </w:t>
      </w:r>
      <m:oMath>
        <m:r>
          <w:rPr>
            <w:rFonts w:ascii="Cambria Math" w:hAnsi="Cambria Math"/>
          </w:rPr>
          <m:t>β</m:t>
        </m:r>
      </m:oMath>
      <w:r w:rsidR="00C018B2">
        <w:rPr>
          <w:rFonts w:eastAsiaTheme="minorEastAsia"/>
        </w:rPr>
        <w:t>-mean nearest taxon distance (</w:t>
      </w:r>
      <m:oMath>
        <m:r>
          <w:rPr>
            <w:rFonts w:ascii="Cambria Math" w:hAnsi="Cambria Math"/>
          </w:rPr>
          <m:t>β</m:t>
        </m:r>
      </m:oMath>
      <w:r w:rsidR="00C018B2">
        <w:rPr>
          <w:rFonts w:eastAsiaTheme="minorEastAsia"/>
        </w:rPr>
        <w:t xml:space="preserve">MNTD). </w:t>
      </w:r>
      <m:oMath>
        <m:r>
          <w:rPr>
            <w:rFonts w:ascii="Cambria Math" w:hAnsi="Cambria Math"/>
          </w:rPr>
          <m:t>β</m:t>
        </m:r>
      </m:oMath>
      <w:r w:rsidR="00C018B2">
        <w:rPr>
          <w:rFonts w:eastAsiaTheme="minorEastAsia"/>
        </w:rPr>
        <w:t>NTI</w:t>
      </w:r>
      <w:r w:rsidR="00C018B2">
        <w:rPr>
          <w:rFonts w:eastAsiaTheme="minorEastAsia"/>
        </w:rPr>
        <w:t xml:space="preserve"> is the number of standard deviations of the </w:t>
      </w:r>
      <m:oMath>
        <m:r>
          <w:rPr>
            <w:rFonts w:ascii="Cambria Math" w:hAnsi="Cambria Math"/>
          </w:rPr>
          <m:t>β</m:t>
        </m:r>
      </m:oMath>
      <w:r w:rsidR="00C018B2">
        <w:rPr>
          <w:rFonts w:eastAsiaTheme="minorEastAsia"/>
        </w:rPr>
        <w:t>MNTD</w:t>
      </w:r>
      <w:r w:rsidR="00C018B2">
        <w:rPr>
          <w:rFonts w:eastAsiaTheme="minorEastAsia"/>
        </w:rPr>
        <w:t xml:space="preserve"> from the null distribution. If </w:t>
      </w:r>
      <m:oMath>
        <m:r>
          <w:rPr>
            <w:rFonts w:ascii="Cambria Math" w:hAnsi="Cambria Math"/>
          </w:rPr>
          <m:t>β</m:t>
        </m:r>
      </m:oMath>
      <w:r w:rsidR="00C018B2">
        <w:rPr>
          <w:rFonts w:eastAsiaTheme="minorEastAsia"/>
        </w:rPr>
        <w:t>NTI</w:t>
      </w:r>
      <w:r w:rsidR="00C018B2">
        <w:rPr>
          <w:rFonts w:eastAsiaTheme="minorEastAsia"/>
        </w:rPr>
        <w:t xml:space="preserve"> is &gt;2 is it suggestive of heterogenous selection, i</w:t>
      </w:r>
      <w:r w:rsidR="00C018B2">
        <w:rPr>
          <w:rFonts w:eastAsiaTheme="minorEastAsia"/>
        </w:rPr>
        <w:t xml:space="preserve">f </w:t>
      </w:r>
      <m:oMath>
        <m:r>
          <w:rPr>
            <w:rFonts w:ascii="Cambria Math" w:hAnsi="Cambria Math"/>
          </w:rPr>
          <m:t>β</m:t>
        </m:r>
      </m:oMath>
      <w:r w:rsidR="00C018B2">
        <w:rPr>
          <w:rFonts w:eastAsiaTheme="minorEastAsia"/>
        </w:rPr>
        <w:t>NTI is</w:t>
      </w:r>
      <w:r w:rsidR="00C018B2">
        <w:rPr>
          <w:rFonts w:eastAsiaTheme="minorEastAsia"/>
        </w:rPr>
        <w:t xml:space="preserve"> &lt;-2 this is evidence of homogenous selection. If |</w:t>
      </w:r>
      <m:oMath>
        <m:r>
          <w:rPr>
            <w:rFonts w:ascii="Cambria Math" w:hAnsi="Cambria Math"/>
          </w:rPr>
          <m:t>β</m:t>
        </m:r>
      </m:oMath>
      <w:r w:rsidR="00C018B2">
        <w:rPr>
          <w:rFonts w:eastAsiaTheme="minorEastAsia"/>
        </w:rPr>
        <w:t>NTI</w:t>
      </w:r>
      <w:r w:rsidR="00C018B2">
        <w:rPr>
          <w:rFonts w:eastAsiaTheme="minorEastAsia"/>
        </w:rPr>
        <w:t xml:space="preserve">| is &lt;2 </w:t>
      </w:r>
      <w:proofErr w:type="spellStart"/>
      <w:r w:rsidR="00C018B2">
        <w:rPr>
          <w:rFonts w:eastAsiaTheme="minorEastAsia"/>
        </w:rPr>
        <w:t>RC</w:t>
      </w:r>
      <w:r w:rsidR="00C018B2" w:rsidRPr="00C018B2">
        <w:rPr>
          <w:rFonts w:eastAsiaTheme="minorEastAsia"/>
          <w:vertAlign w:val="subscript"/>
        </w:rPr>
        <w:t>bray</w:t>
      </w:r>
      <w:proofErr w:type="spellEnd"/>
      <w:r w:rsidR="00C018B2">
        <w:rPr>
          <w:rFonts w:eastAsiaTheme="minorEastAsia"/>
        </w:rPr>
        <w:t xml:space="preserve"> values are used to indicate dispersal limitation (</w:t>
      </w:r>
      <w:proofErr w:type="spellStart"/>
      <w:r w:rsidR="00C018B2">
        <w:rPr>
          <w:rFonts w:eastAsiaTheme="minorEastAsia"/>
        </w:rPr>
        <w:t>RC</w:t>
      </w:r>
      <w:r w:rsidR="00C018B2" w:rsidRPr="00C018B2">
        <w:rPr>
          <w:rFonts w:eastAsiaTheme="minorEastAsia"/>
          <w:vertAlign w:val="subscript"/>
        </w:rPr>
        <w:t>bray</w:t>
      </w:r>
      <w:proofErr w:type="spellEnd"/>
      <w:r w:rsidR="00C018B2">
        <w:rPr>
          <w:rFonts w:eastAsiaTheme="minorEastAsia"/>
        </w:rPr>
        <w:t xml:space="preserve"> &gt;0.95), homogenizing dispersal (</w:t>
      </w:r>
      <w:proofErr w:type="spellStart"/>
      <w:r w:rsidR="00C018B2">
        <w:rPr>
          <w:rFonts w:eastAsiaTheme="minorEastAsia"/>
        </w:rPr>
        <w:t>RC</w:t>
      </w:r>
      <w:r w:rsidR="00C018B2" w:rsidRPr="00C018B2">
        <w:rPr>
          <w:rFonts w:eastAsiaTheme="minorEastAsia"/>
          <w:vertAlign w:val="subscript"/>
        </w:rPr>
        <w:t>bray</w:t>
      </w:r>
      <w:proofErr w:type="spellEnd"/>
      <w:r w:rsidR="00C018B2">
        <w:rPr>
          <w:rFonts w:eastAsiaTheme="minorEastAsia"/>
        </w:rPr>
        <w:t xml:space="preserve"> &lt;-0.95) and drift (|</w:t>
      </w:r>
      <w:proofErr w:type="spellStart"/>
      <w:r w:rsidR="00C018B2">
        <w:rPr>
          <w:rFonts w:eastAsiaTheme="minorEastAsia"/>
        </w:rPr>
        <w:t>RC</w:t>
      </w:r>
      <w:r w:rsidR="00C018B2" w:rsidRPr="00C018B2">
        <w:rPr>
          <w:rFonts w:eastAsiaTheme="minorEastAsia"/>
          <w:vertAlign w:val="subscript"/>
        </w:rPr>
        <w:t>bray</w:t>
      </w:r>
      <w:proofErr w:type="spellEnd"/>
      <w:r w:rsidR="00C018B2">
        <w:rPr>
          <w:rFonts w:eastAsiaTheme="minorEastAsia"/>
        </w:rPr>
        <w:t>|&lt;0.95).</w:t>
      </w:r>
    </w:p>
    <w:p w14:paraId="575CB6B5" w14:textId="1ADA2DB3" w:rsidR="007C5B68" w:rsidRDefault="007C5B68"/>
    <w:p w14:paraId="3F17EDBD" w14:textId="314C231E" w:rsidR="007C5B68" w:rsidRDefault="007C5B68">
      <w:pPr>
        <w:rPr>
          <w:rFonts w:eastAsiaTheme="minorEastAsia"/>
        </w:rPr>
      </w:pPr>
      <w:r>
        <w:lastRenderedPageBreak/>
        <w:t>T</w:t>
      </w:r>
      <w:r>
        <w:t>he Mantel correlogram</w:t>
      </w:r>
      <w:r>
        <w:t xml:space="preserve"> found significant phylogenetic signals across relatively short phylogenetic distances, indicating that phylogenetic turnover was appropriate to infer ecological processes and the </w:t>
      </w:r>
      <m:oMath>
        <m:r>
          <w:rPr>
            <w:rFonts w:ascii="Cambria Math" w:hAnsi="Cambria Math"/>
          </w:rPr>
          <m:t>β</m:t>
        </m:r>
      </m:oMath>
      <w:r>
        <w:rPr>
          <w:rFonts w:eastAsiaTheme="minorEastAsia"/>
        </w:rPr>
        <w:t>MNTD</w:t>
      </w:r>
      <w:r>
        <w:rPr>
          <w:rFonts w:eastAsiaTheme="minorEastAsia"/>
        </w:rPr>
        <w:t xml:space="preserve"> is the suitable distance to measure phylogenetic turnover. So </w:t>
      </w:r>
      <w:proofErr w:type="gramStart"/>
      <w:r>
        <w:rPr>
          <w:rFonts w:eastAsiaTheme="minorEastAsia"/>
        </w:rPr>
        <w:t>basically</w:t>
      </w:r>
      <w:proofErr w:type="gramEnd"/>
      <w:r>
        <w:rPr>
          <w:rFonts w:eastAsiaTheme="minorEastAsia"/>
        </w:rPr>
        <w:t xml:space="preserve"> the Mantel correlogram (</w:t>
      </w:r>
      <w:r w:rsidRPr="007C5B68">
        <w:rPr>
          <w:rFonts w:eastAsiaTheme="minorEastAsia"/>
        </w:rPr>
        <w:t xml:space="preserve">Mantel correlogram tests whether there is correlation between two distance matrices by measuring the correlation between each class of distances. ... These distance classes can be thought of as bins (as used in histograms). For each distance class, a Mantel test is performed and a Mantel r </w:t>
      </w:r>
      <w:proofErr w:type="spellStart"/>
      <w:r w:rsidRPr="007C5B68">
        <w:rPr>
          <w:rFonts w:eastAsiaTheme="minorEastAsia"/>
        </w:rPr>
        <w:t>statisic</w:t>
      </w:r>
      <w:proofErr w:type="spellEnd"/>
      <w:r w:rsidRPr="007C5B68">
        <w:rPr>
          <w:rFonts w:eastAsiaTheme="minorEastAsia"/>
        </w:rPr>
        <w:t xml:space="preserve"> is computed.</w:t>
      </w:r>
      <w:r>
        <w:rPr>
          <w:rFonts w:eastAsiaTheme="minorEastAsia"/>
        </w:rPr>
        <w:t xml:space="preserve">) The between-ASV phylogenetic distance is plotted against Mantel correlation. </w:t>
      </w:r>
    </w:p>
    <w:p w14:paraId="50EBF1EA" w14:textId="06AC8ACF" w:rsidR="007C5B68" w:rsidRDefault="007C5B68"/>
    <w:p w14:paraId="2455D0C9" w14:textId="7FCB0D37" w:rsidR="007C5B68" w:rsidRDefault="007C5B68">
      <w:r>
        <w:t>“To clarify the balance between neutral and niche processes in active microbial community assembly, different ecological processes were quantified. The results showed that heterogenous selection was the most important process for both bacterial and archaeal community assembly, accounting for 49.01% and 42.29% respectively, it was followed by dispersal limitation and homogenous selection. Overall, the deterministic processes played more important roles than stochastic processes in assembly active microbial communities in the studied areas.”</w:t>
      </w:r>
    </w:p>
    <w:p w14:paraId="2BC6E234" w14:textId="07E0BC09" w:rsidR="00913A1F" w:rsidRDefault="00913A1F"/>
    <w:p w14:paraId="539A6243" w14:textId="61C6863A" w:rsidR="00913A1F" w:rsidRDefault="00913A1F">
      <w:r>
        <w:t>“</w:t>
      </w:r>
      <w:r w:rsidRPr="00913A1F">
        <w:t>﻿Overall, the balance between stochastic (neutral) and deterministic (niche) processes is greatly influenced by the geographic scale and environmental gradient (Hanson et al., 2012). Compared with the total microbial communities, determinism played a</w:t>
      </w:r>
      <w:r w:rsidR="00F40B8C">
        <w:t xml:space="preserve"> </w:t>
      </w:r>
      <w:r w:rsidRPr="00913A1F">
        <w:t xml:space="preserve">more important role in active microbial communities. </w:t>
      </w:r>
    </w:p>
    <w:p w14:paraId="26C062D8" w14:textId="6FBA6C80" w:rsidR="00913A1F" w:rsidRDefault="00913A1F" w:rsidP="00913A1F">
      <w:r>
        <w:t xml:space="preserve">  </w:t>
      </w:r>
      <w:r>
        <w:t>﻿Although the</w:t>
      </w:r>
      <w:r>
        <w:t xml:space="preserve"> </w:t>
      </w:r>
      <w:r>
        <w:t>rare</w:t>
      </w:r>
      <w:r>
        <w:t xml:space="preserve"> </w:t>
      </w:r>
      <w:r>
        <w:t>taxa</w:t>
      </w:r>
      <w:r>
        <w:t xml:space="preserve"> </w:t>
      </w:r>
      <w:r>
        <w:t>were</w:t>
      </w:r>
      <w:r>
        <w:t xml:space="preserve"> </w:t>
      </w:r>
      <w:r>
        <w:t>more</w:t>
      </w:r>
      <w:r>
        <w:t xml:space="preserve"> </w:t>
      </w:r>
      <w:r>
        <w:t>sensitive to spatial</w:t>
      </w:r>
      <w:r>
        <w:t xml:space="preserve"> </w:t>
      </w:r>
      <w:r>
        <w:t xml:space="preserve">and environmental changes and tended to have a weak ability to disperse and/or adapt, the spatial and environmental factors explained more of the variation in the abundant taxa than in the rare taxa, which was consistent with a previous study based on DNA analysis (Mo et al., 2018). It was considered that the higher dispersal rates of abundant taxa, the generalists present in abundant communities, and the large unexplained variation in rare communities contributed to the phenomenon (Liao et al., 2017; Mo et al., 2018). Here, we spec- </w:t>
      </w:r>
      <w:proofErr w:type="spellStart"/>
      <w:r>
        <w:t>ulated</w:t>
      </w:r>
      <w:proofErr w:type="spellEnd"/>
      <w:r>
        <w:t xml:space="preserve"> that rare taxon assembly had more complex processes in- </w:t>
      </w:r>
      <w:proofErr w:type="spellStart"/>
      <w:r>
        <w:t>volved</w:t>
      </w:r>
      <w:proofErr w:type="spellEnd"/>
      <w:r>
        <w:t xml:space="preserve"> in the unexplained portions, such as mutation and extinction (Hanson et al., 2012; Hubbell, 2001).</w:t>
      </w:r>
      <w:r>
        <w:t>”</w:t>
      </w:r>
    </w:p>
    <w:p w14:paraId="49D64B7F" w14:textId="77777777" w:rsidR="004E2BA6" w:rsidRDefault="004E2BA6"/>
    <w:p w14:paraId="3FA1A428" w14:textId="60AE50B2" w:rsidR="00C50CC0" w:rsidRDefault="00C50CC0">
      <w:r>
        <w:t xml:space="preserve">2.5.7 Co-occurrence network analysis </w:t>
      </w:r>
      <w:r>
        <w:t xml:space="preserve">(taken from </w:t>
      </w:r>
      <w:r>
        <w:fldChar w:fldCharType="begin" w:fldLock="1"/>
      </w:r>
      <w:r w:rsidR="004E2BA6">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E35A33">
        <w:rPr>
          <w:noProof/>
        </w:rPr>
        <w:t>Li et al., 2021)</w:t>
      </w:r>
      <w:r>
        <w:fldChar w:fldCharType="end"/>
      </w:r>
    </w:p>
    <w:p w14:paraId="465A2BFD" w14:textId="52F72F57" w:rsidR="00E35A33" w:rsidRDefault="00E35A33"/>
    <w:p w14:paraId="6FE00401" w14:textId="74DF7938" w:rsidR="00B94A15" w:rsidRDefault="00B94A15">
      <w:r>
        <w:t>R packages “vegan”, “</w:t>
      </w:r>
      <w:proofErr w:type="spellStart"/>
      <w:r>
        <w:t>igraph</w:t>
      </w:r>
      <w:proofErr w:type="spellEnd"/>
      <w:r>
        <w:t>” and “</w:t>
      </w:r>
      <w:proofErr w:type="spellStart"/>
      <w:r>
        <w:t>Hmisc</w:t>
      </w:r>
      <w:proofErr w:type="spellEnd"/>
      <w:r>
        <w:t xml:space="preserve">” will be used to conduct an active community co-occurrence network analysis. Significant correlations will be indicated by Pearson’s correlations of &gt;0.6 or &lt;-0.6 with a significance level of &lt;0.05. I will only include ASVs that are present in at least 5 samples (12 was used in Li et al., 2021 paper – why?). A network diagram will be generated using </w:t>
      </w:r>
      <w:proofErr w:type="spellStart"/>
      <w:r>
        <w:t>Gephi</w:t>
      </w:r>
      <w:proofErr w:type="spellEnd"/>
      <w:r>
        <w:t xml:space="preserve"> software. I will construct a subnetwork for each sample from the meta-community network. DDR of the microbial co-occurrence patterns will be analysed by calculating subnetwork topological features, including: </w:t>
      </w:r>
      <w:r w:rsidR="003A695F">
        <w:t xml:space="preserve">number of notes, number of edges, modularity, clustering coefficient short path length, graph density, network diameter, average node degree, betweenness centralization and degree centralization. </w:t>
      </w:r>
    </w:p>
    <w:p w14:paraId="14D68659" w14:textId="0A9F26E4" w:rsidR="00FA63FB" w:rsidRDefault="00FA63FB"/>
    <w:p w14:paraId="4D8FEA4A" w14:textId="77777777" w:rsidR="003D31AD" w:rsidRDefault="003D31AD">
      <w:r>
        <w:t xml:space="preserve">Co-occurrence network analysis revealed 51 nodes and 108 edges for active bacterial communities. Active archaeal communities had 195 nodes and 1285 edges (156 nodes and </w:t>
      </w:r>
      <w:r>
        <w:lastRenderedPageBreak/>
        <w:t xml:space="preserve">423 edges </w:t>
      </w:r>
      <w:r w:rsidRPr="003D31AD">
        <w:t>﻿</w:t>
      </w:r>
      <w:r>
        <w:t xml:space="preserve">with </w:t>
      </w:r>
      <w:r w:rsidRPr="003D31AD">
        <w:t>Pearson's coefficient &gt;|0.6| and a P value &lt;0.05 between ASVs</w:t>
      </w:r>
      <w:r>
        <w:t xml:space="preserve">). The analysis showed negative connections dominated the interactions among active microbial taxa. </w:t>
      </w:r>
    </w:p>
    <w:p w14:paraId="3B5E1ED6" w14:textId="77777777" w:rsidR="003D31AD" w:rsidRDefault="003D31AD"/>
    <w:p w14:paraId="30A05A54" w14:textId="77777777" w:rsidR="003D31AD" w:rsidRDefault="003D31AD" w:rsidP="003D31AD">
      <w:r>
        <w:t>“</w:t>
      </w:r>
      <w:r>
        <w:t xml:space="preserve">﻿To </w:t>
      </w:r>
      <w:proofErr w:type="spellStart"/>
      <w:r>
        <w:t>determinewhether</w:t>
      </w:r>
      <w:proofErr w:type="spellEnd"/>
      <w:r>
        <w:t xml:space="preserve"> the distance-decay patterns existed in the ac-</w:t>
      </w:r>
    </w:p>
    <w:p w14:paraId="16A3ABB5" w14:textId="066BCC04" w:rsidR="007C5B68" w:rsidRDefault="003D31AD" w:rsidP="003D31AD">
      <w:proofErr w:type="spellStart"/>
      <w:r>
        <w:t>tive</w:t>
      </w:r>
      <w:proofErr w:type="spellEnd"/>
      <w:r>
        <w:t xml:space="preserve"> microbial co-occurrence networks, a subnetwork of each sample was extracted, and their topological features (number </w:t>
      </w:r>
      <w:proofErr w:type="spellStart"/>
      <w:r>
        <w:t>ofnodes</w:t>
      </w:r>
      <w:proofErr w:type="spellEnd"/>
      <w:r>
        <w:t>, number of edges, modularity, clustering coefficient, short path length, graph density, network diameter, average node degree, betweenness</w:t>
      </w:r>
      <w:r>
        <w:t xml:space="preserve"> </w:t>
      </w:r>
      <w:r>
        <w:t xml:space="preserve">centralization and degree centralization) were calculated. Then, the re- </w:t>
      </w:r>
      <w:proofErr w:type="spellStart"/>
      <w:r>
        <w:t>lationship</w:t>
      </w:r>
      <w:proofErr w:type="spellEnd"/>
      <w:r>
        <w:t xml:space="preserve"> between geographic distances and co-occurrence pattern dis- similarities based on topological features of each sample subnetwork was plotted</w:t>
      </w:r>
      <w:r>
        <w:t xml:space="preserve">” I.e. geographic distance in km was plotted against co-occurrence pattern dissimilarities based on topological features of each sample subnetwork and Spearman’s rho calculated. </w:t>
      </w:r>
    </w:p>
    <w:p w14:paraId="707E7956" w14:textId="5DE15C17" w:rsidR="003D31AD" w:rsidRDefault="003D31AD" w:rsidP="003D31AD">
      <w:r>
        <w:t>“</w:t>
      </w:r>
      <w:r w:rsidRPr="003D31AD">
        <w:t>﻿Significant positive correlations were observed between geographic distance and co-occurrence pattern dissimilarities for both active bacteria and archaea, indicating significant distance- decay patterns for active microbial co-occurrence network structures.</w:t>
      </w:r>
      <w:r>
        <w:t>”</w:t>
      </w:r>
    </w:p>
    <w:p w14:paraId="2996C648" w14:textId="18418F86" w:rsidR="00913A1F" w:rsidRDefault="00913A1F" w:rsidP="003D31AD"/>
    <w:p w14:paraId="788FB4BD" w14:textId="77777777" w:rsidR="00913A1F" w:rsidRDefault="00913A1F" w:rsidP="00913A1F">
      <w:r>
        <w:t>“</w:t>
      </w:r>
      <w:r>
        <w:t xml:space="preserve">﻿A co-occurrence network can reveal </w:t>
      </w:r>
      <w:proofErr w:type="spellStart"/>
      <w:r>
        <w:t>intertaxa</w:t>
      </w:r>
      <w:proofErr w:type="spellEnd"/>
      <w:r>
        <w:t xml:space="preserve"> interactions within</w:t>
      </w:r>
    </w:p>
    <w:p w14:paraId="2E01628F" w14:textId="184539C0" w:rsidR="00913A1F" w:rsidRDefault="00913A1F" w:rsidP="00913A1F">
      <w:r>
        <w:t xml:space="preserve">a microbial community, which can be cooperative or competitive (Deng et al., 2012; Faust and </w:t>
      </w:r>
      <w:proofErr w:type="spellStart"/>
      <w:r>
        <w:t>Raes</w:t>
      </w:r>
      <w:proofErr w:type="spellEnd"/>
      <w:r>
        <w:t xml:space="preserve">, 2012). The results generated from the networks showed that negative connections dominated the interactions between active bacterial and archaeal taxa. Consistent with this, Zhang et al. (2014) also observed that negative connections dominated in the RNA-based networks, whereas positive connections dominated the interactions between taxa in the DNA- based networks, when studying bacterial communities in the South China Sea. Simultaneously, another study of bacteria and archaea in the South China Sea demonstrated that the most significant correlations were positive in DNA-based bacterial and archaeal networks, showing proportions of 77.5% and 82.61%, respectively (He et al., 2019). The dominant positive connections in DNA-based networks may well be explained by the cooperation between species as mutualism obtained after long-term coevolution, and the dominant negative connections in RNA-based networks indicate </w:t>
      </w:r>
      <w:proofErr w:type="spellStart"/>
      <w:r>
        <w:t>intertaxa</w:t>
      </w:r>
      <w:proofErr w:type="spellEnd"/>
      <w:r>
        <w:t xml:space="preserve"> competition for the</w:t>
      </w:r>
      <w:r>
        <w:t xml:space="preserve"> </w:t>
      </w:r>
      <w:r>
        <w:t>same</w:t>
      </w:r>
      <w:r>
        <w:t xml:space="preserve"> </w:t>
      </w:r>
      <w:r>
        <w:t>resource</w:t>
      </w:r>
      <w:r>
        <w:t xml:space="preserve"> </w:t>
      </w:r>
      <w:r>
        <w:t>(</w:t>
      </w:r>
      <w:proofErr w:type="spellStart"/>
      <w:proofErr w:type="gramStart"/>
      <w:r>
        <w:t>e.g.,nutrients</w:t>
      </w:r>
      <w:proofErr w:type="spellEnd"/>
      <w:proofErr w:type="gramEnd"/>
      <w:r>
        <w:t xml:space="preserve"> or space) (</w:t>
      </w:r>
      <w:proofErr w:type="spellStart"/>
      <w:r>
        <w:t>Bascompte</w:t>
      </w:r>
      <w:proofErr w:type="spellEnd"/>
      <w:r>
        <w:t>, 2007; Zhang et al., 2014). Therefore, the dominant competition relationship between active bacterial and archaeal taxa</w:t>
      </w:r>
      <w:r>
        <w:t xml:space="preserve"> </w:t>
      </w:r>
      <w:r>
        <w:t xml:space="preserve">﻿contributed to the dispersal limitation in community assembly </w:t>
      </w:r>
      <w:bookmarkStart w:id="0" w:name="_GoBack"/>
      <w:bookmarkEnd w:id="0"/>
      <w:r>
        <w:t>because the competition made the adaptation of active taxa to a new location more difficult. In addition, we observed clear distance-decay patterns not only in</w:t>
      </w:r>
    </w:p>
    <w:p w14:paraId="262BD994" w14:textId="3603FC26" w:rsidR="00913A1F" w:rsidRDefault="00913A1F" w:rsidP="00913A1F">
      <w:r>
        <w:t xml:space="preserve">active bacterial and archaeal compositions but also in active bacterial and archaeal co-occurrence patterns. However, a previous study revealed that the dynamics of archaeal community compositions and co-occurrence patterns were incongruent (Liu et al., 2020). These results revealed that the relationships between community compositions and co-occurrence patterns were complex. The links between community compositions and </w:t>
      </w:r>
      <w:proofErr w:type="spellStart"/>
      <w:r>
        <w:t>intertaxa</w:t>
      </w:r>
      <w:proofErr w:type="spellEnd"/>
      <w:r>
        <w:t xml:space="preserve"> interactions may help explain the microbial ecology well, but more efforts are needed to explore the links because co-occurrence patterns based on topology features are not the real </w:t>
      </w:r>
      <w:proofErr w:type="spellStart"/>
      <w:r>
        <w:t>intertaxa</w:t>
      </w:r>
      <w:proofErr w:type="spellEnd"/>
      <w:r>
        <w:t xml:space="preserve"> correlations (Liu et al., 2020; Ma et al., 2016).</w:t>
      </w:r>
      <w:r>
        <w:t>”</w:t>
      </w:r>
    </w:p>
    <w:p w14:paraId="51ED02F6" w14:textId="0C978A50" w:rsidR="00FC7B33" w:rsidRDefault="00FC7B33" w:rsidP="00913A1F"/>
    <w:p w14:paraId="2CA1C49A" w14:textId="13DC309C" w:rsidR="00FC7B33" w:rsidRDefault="00FC7B33" w:rsidP="00913A1F">
      <w:r>
        <w:t>Caveats of Method</w:t>
      </w:r>
    </w:p>
    <w:p w14:paraId="509A4DA2" w14:textId="4AA11618" w:rsidR="00FC7B33" w:rsidRDefault="00FC7B33" w:rsidP="00913A1F"/>
    <w:p w14:paraId="20D9732F" w14:textId="73674A4A" w:rsidR="00FC7B33" w:rsidRDefault="00FC7B33" w:rsidP="00913A1F">
      <w:r>
        <w:t>Simulated rRNA/DNA ratios show potential to misclassify active populations as dormant</w:t>
      </w:r>
      <w:r>
        <w:t xml:space="preserve">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2017)"},"properties":{"noteIndex":0},"schema":"https://github.com/citation-style-language/schema/raw/master/csl-citation.json"}</w:instrText>
      </w:r>
      <w:r>
        <w:fldChar w:fldCharType="separate"/>
      </w:r>
      <w:r w:rsidRPr="00FC7B33">
        <w:rPr>
          <w:noProof/>
        </w:rPr>
        <w:t>(Steven, Hesse, Soghigian, Gallegos-Graves, &amp; Dunbar, 2017)</w:t>
      </w:r>
      <w:r>
        <w:fldChar w:fldCharType="end"/>
      </w:r>
    </w:p>
    <w:p w14:paraId="6787A365" w14:textId="77777777" w:rsidR="00E35A33" w:rsidRDefault="00E35A33"/>
    <w:p w14:paraId="2D30F693" w14:textId="4A702E02" w:rsidR="001128DA" w:rsidRDefault="001128DA"/>
    <w:p w14:paraId="4CA1DCF1" w14:textId="77777777" w:rsidR="001128DA" w:rsidRDefault="001128DA"/>
    <w:p w14:paraId="24B0A15C" w14:textId="39767F0F" w:rsidR="00964412" w:rsidRDefault="00964412">
      <w:r>
        <w:t xml:space="preserve">  </w:t>
      </w:r>
    </w:p>
    <w:p w14:paraId="0B4E822C" w14:textId="25845326" w:rsidR="000446FF" w:rsidRDefault="000446FF">
      <w:r>
        <w:t xml:space="preserve">  </w:t>
      </w:r>
    </w:p>
    <w:p w14:paraId="37F67B49" w14:textId="77777777" w:rsidR="00B14598" w:rsidRDefault="00B14598"/>
    <w:p w14:paraId="7B57B6A4" w14:textId="6F06A258" w:rsidR="002F4353" w:rsidRDefault="002F4353"/>
    <w:p w14:paraId="6C8EF20B" w14:textId="1A708619" w:rsidR="002F4353" w:rsidRDefault="002F4353">
      <w:r>
        <w:t>Bibliography</w:t>
      </w:r>
    </w:p>
    <w:p w14:paraId="3E47B7B1" w14:textId="55FBFAFC" w:rsidR="00FC7B33" w:rsidRPr="00FC7B33" w:rsidRDefault="002F4353" w:rsidP="00FC7B33">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FC7B33" w:rsidRPr="00FC7B33">
        <w:rPr>
          <w:rFonts w:ascii="Calibri" w:hAnsi="Calibri" w:cs="Times New Roman"/>
          <w:noProof/>
          <w:lang w:val="en-US"/>
        </w:rPr>
        <w:t xml:space="preserve">Baas-Becking, L. G. M. (1934). </w:t>
      </w:r>
      <w:r w:rsidR="00FC7B33" w:rsidRPr="00FC7B33">
        <w:rPr>
          <w:rFonts w:ascii="Calibri" w:hAnsi="Calibri" w:cs="Times New Roman"/>
          <w:i/>
          <w:iCs/>
          <w:noProof/>
          <w:lang w:val="en-US"/>
        </w:rPr>
        <w:t>Geobiologie; of inleiding tot de milieukunde</w:t>
      </w:r>
      <w:r w:rsidR="00FC7B33" w:rsidRPr="00FC7B33">
        <w:rPr>
          <w:rFonts w:ascii="Calibri" w:hAnsi="Calibri" w:cs="Times New Roman"/>
          <w:noProof/>
          <w:lang w:val="en-US"/>
        </w:rPr>
        <w:t>. WP Van Stockum &amp; Zoon NV.</w:t>
      </w:r>
    </w:p>
    <w:p w14:paraId="605ED931"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Bell, T., Ager, D., Song, J. I., Newman, J. A., Thompson, I. P., Lilley, A. K., &amp; Van Der Gast, C. J. (2005). Larger islands house more bacterial taxa. </w:t>
      </w:r>
      <w:r w:rsidRPr="00FC7B33">
        <w:rPr>
          <w:rFonts w:ascii="Calibri" w:hAnsi="Calibri" w:cs="Times New Roman"/>
          <w:i/>
          <w:iCs/>
          <w:noProof/>
          <w:lang w:val="en-US"/>
        </w:rPr>
        <w:t>Science</w:t>
      </w:r>
      <w:r w:rsidRPr="00FC7B33">
        <w:rPr>
          <w:rFonts w:ascii="Calibri" w:hAnsi="Calibri" w:cs="Times New Roman"/>
          <w:noProof/>
          <w:lang w:val="en-US"/>
        </w:rPr>
        <w:t xml:space="preserve">, </w:t>
      </w:r>
      <w:r w:rsidRPr="00FC7B33">
        <w:rPr>
          <w:rFonts w:ascii="Calibri" w:hAnsi="Calibri" w:cs="Times New Roman"/>
          <w:i/>
          <w:iCs/>
          <w:noProof/>
          <w:lang w:val="en-US"/>
        </w:rPr>
        <w:t>308</w:t>
      </w:r>
      <w:r w:rsidRPr="00FC7B33">
        <w:rPr>
          <w:rFonts w:ascii="Calibri" w:hAnsi="Calibri" w:cs="Times New Roman"/>
          <w:noProof/>
          <w:lang w:val="en-US"/>
        </w:rPr>
        <w:t>(5730), 1884. https://doi.org/10.1126/science.1111318</w:t>
      </w:r>
    </w:p>
    <w:p w14:paraId="31BF091D"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FC7B33">
        <w:rPr>
          <w:rFonts w:ascii="Calibri" w:hAnsi="Calibri" w:cs="Times New Roman"/>
          <w:i/>
          <w:iCs/>
          <w:noProof/>
          <w:lang w:val="en-US"/>
        </w:rPr>
        <w:t>Frontiers in Ecology and Evolution</w:t>
      </w:r>
      <w:r w:rsidRPr="00FC7B33">
        <w:rPr>
          <w:rFonts w:ascii="Calibri" w:hAnsi="Calibri" w:cs="Times New Roman"/>
          <w:noProof/>
          <w:lang w:val="en-US"/>
        </w:rPr>
        <w:t xml:space="preserve">, </w:t>
      </w:r>
      <w:r w:rsidRPr="00FC7B33">
        <w:rPr>
          <w:rFonts w:ascii="Calibri" w:hAnsi="Calibri" w:cs="Times New Roman"/>
          <w:i/>
          <w:iCs/>
          <w:noProof/>
          <w:lang w:val="en-US"/>
        </w:rPr>
        <w:t>6</w:t>
      </w:r>
      <w:r w:rsidRPr="00FC7B33">
        <w:rPr>
          <w:rFonts w:ascii="Calibri" w:hAnsi="Calibri" w:cs="Times New Roman"/>
          <w:noProof/>
          <w:lang w:val="en-US"/>
        </w:rPr>
        <w:t>(NOV), 1–9. https://doi.org/10.3389/fevo.2018.00180</w:t>
      </w:r>
    </w:p>
    <w:p w14:paraId="08CD6EFC"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Faust, K., &amp; Raes, J. (2012). Microbial interactions: From networks to models. </w:t>
      </w:r>
      <w:r w:rsidRPr="00FC7B33">
        <w:rPr>
          <w:rFonts w:ascii="Calibri" w:hAnsi="Calibri" w:cs="Times New Roman"/>
          <w:i/>
          <w:iCs/>
          <w:noProof/>
          <w:lang w:val="en-US"/>
        </w:rPr>
        <w:t>Nature Reviews Microbiology</w:t>
      </w:r>
      <w:r w:rsidRPr="00FC7B33">
        <w:rPr>
          <w:rFonts w:ascii="Calibri" w:hAnsi="Calibri" w:cs="Times New Roman"/>
          <w:noProof/>
          <w:lang w:val="en-US"/>
        </w:rPr>
        <w:t xml:space="preserve">, </w:t>
      </w:r>
      <w:r w:rsidRPr="00FC7B33">
        <w:rPr>
          <w:rFonts w:ascii="Calibri" w:hAnsi="Calibri" w:cs="Times New Roman"/>
          <w:i/>
          <w:iCs/>
          <w:noProof/>
          <w:lang w:val="en-US"/>
        </w:rPr>
        <w:t>10</w:t>
      </w:r>
      <w:r w:rsidRPr="00FC7B33">
        <w:rPr>
          <w:rFonts w:ascii="Calibri" w:hAnsi="Calibri" w:cs="Times New Roman"/>
          <w:noProof/>
          <w:lang w:val="en-US"/>
        </w:rPr>
        <w:t>(8), 538–550. https://doi.org/10.1038/nrmicro2832</w:t>
      </w:r>
    </w:p>
    <w:p w14:paraId="4C277E08"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Gaidos, E., Rusch, A., &amp; Ilardo, M. (2011). Ribosomal tag pyrosequencing of DNA and RNA from benthic coral reef microbiota: Community spatial structure, rare members and nitrogen-cycling guilds. </w:t>
      </w:r>
      <w:r w:rsidRPr="00FC7B33">
        <w:rPr>
          <w:rFonts w:ascii="Calibri" w:hAnsi="Calibri" w:cs="Times New Roman"/>
          <w:i/>
          <w:iCs/>
          <w:noProof/>
          <w:lang w:val="en-US"/>
        </w:rPr>
        <w:t>Environmental Microbiology</w:t>
      </w:r>
      <w:r w:rsidRPr="00FC7B33">
        <w:rPr>
          <w:rFonts w:ascii="Calibri" w:hAnsi="Calibri" w:cs="Times New Roman"/>
          <w:noProof/>
          <w:lang w:val="en-US"/>
        </w:rPr>
        <w:t xml:space="preserve">, </w:t>
      </w:r>
      <w:r w:rsidRPr="00FC7B33">
        <w:rPr>
          <w:rFonts w:ascii="Calibri" w:hAnsi="Calibri" w:cs="Times New Roman"/>
          <w:i/>
          <w:iCs/>
          <w:noProof/>
          <w:lang w:val="en-US"/>
        </w:rPr>
        <w:t>13</w:t>
      </w:r>
      <w:r w:rsidRPr="00FC7B33">
        <w:rPr>
          <w:rFonts w:ascii="Calibri" w:hAnsi="Calibri" w:cs="Times New Roman"/>
          <w:noProof/>
          <w:lang w:val="en-US"/>
        </w:rPr>
        <w:t>(5), 1138–1152. https://doi.org/10.1111/j.1462-2920.2010.02392.x</w:t>
      </w:r>
    </w:p>
    <w:p w14:paraId="221AD37F"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Hanson, C. A., Fuhrman, J. A., Horner-Devine, M. C., &amp; Martiny, J. B. H. (2012). Beyond biogeographic patterns: Processes shaping the microbial landscape. </w:t>
      </w:r>
      <w:r w:rsidRPr="00FC7B33">
        <w:rPr>
          <w:rFonts w:ascii="Calibri" w:hAnsi="Calibri" w:cs="Times New Roman"/>
          <w:i/>
          <w:iCs/>
          <w:noProof/>
          <w:lang w:val="en-US"/>
        </w:rPr>
        <w:t>Nature Reviews Microbiology</w:t>
      </w:r>
      <w:r w:rsidRPr="00FC7B33">
        <w:rPr>
          <w:rFonts w:ascii="Calibri" w:hAnsi="Calibri" w:cs="Times New Roman"/>
          <w:noProof/>
          <w:lang w:val="en-US"/>
        </w:rPr>
        <w:t xml:space="preserve">, </w:t>
      </w:r>
      <w:r w:rsidRPr="00FC7B33">
        <w:rPr>
          <w:rFonts w:ascii="Calibri" w:hAnsi="Calibri" w:cs="Times New Roman"/>
          <w:i/>
          <w:iCs/>
          <w:noProof/>
          <w:lang w:val="en-US"/>
        </w:rPr>
        <w:t>10</w:t>
      </w:r>
      <w:r w:rsidRPr="00FC7B33">
        <w:rPr>
          <w:rFonts w:ascii="Calibri" w:hAnsi="Calibri" w:cs="Times New Roman"/>
          <w:noProof/>
          <w:lang w:val="en-US"/>
        </w:rPr>
        <w:t>(7), 497–506. https://doi.org/10.1038/nrmicro2795</w:t>
      </w:r>
    </w:p>
    <w:p w14:paraId="7A3079C3"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Hubbell, S. P. (2001). </w:t>
      </w:r>
      <w:r w:rsidRPr="00FC7B33">
        <w:rPr>
          <w:rFonts w:ascii="Calibri" w:hAnsi="Calibri" w:cs="Times New Roman"/>
          <w:i/>
          <w:iCs/>
          <w:noProof/>
          <w:lang w:val="en-US"/>
        </w:rPr>
        <w:t>The Unified Neutral Theory of Biodiversity and Biogeography</w:t>
      </w:r>
      <w:r w:rsidRPr="00FC7B33">
        <w:rPr>
          <w:rFonts w:ascii="Calibri" w:hAnsi="Calibri" w:cs="Times New Roman"/>
          <w:noProof/>
          <w:lang w:val="en-US"/>
        </w:rPr>
        <w:t>. Princeton University Press.</w:t>
      </w:r>
    </w:p>
    <w:p w14:paraId="30BC2ABF"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FC7B33">
        <w:rPr>
          <w:rFonts w:ascii="Calibri" w:hAnsi="Calibri" w:cs="Times New Roman"/>
          <w:i/>
          <w:iCs/>
          <w:noProof/>
          <w:lang w:val="en-US"/>
        </w:rPr>
        <w:t>Science of the Total Environment</w:t>
      </w:r>
      <w:r w:rsidRPr="00FC7B33">
        <w:rPr>
          <w:rFonts w:ascii="Calibri" w:hAnsi="Calibri" w:cs="Times New Roman"/>
          <w:noProof/>
          <w:lang w:val="en-US"/>
        </w:rPr>
        <w:t xml:space="preserve">, </w:t>
      </w:r>
      <w:r w:rsidRPr="00FC7B33">
        <w:rPr>
          <w:rFonts w:ascii="Calibri" w:hAnsi="Calibri" w:cs="Times New Roman"/>
          <w:i/>
          <w:iCs/>
          <w:noProof/>
          <w:lang w:val="en-US"/>
        </w:rPr>
        <w:t>750</w:t>
      </w:r>
      <w:r w:rsidRPr="00FC7B33">
        <w:rPr>
          <w:rFonts w:ascii="Calibri" w:hAnsi="Calibri" w:cs="Times New Roman"/>
          <w:noProof/>
          <w:lang w:val="en-US"/>
        </w:rPr>
        <w:t>, 142252. https://doi.org/10.1016/j.scitotenv.2020.142252</w:t>
      </w:r>
    </w:p>
    <w:p w14:paraId="3DC0B36F"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Liu, J., Zhu, S., Liu, X., Yao, P., Ge, T., &amp; Zhang, X. H. (2020). Spatiotemporal dynamics of the archaeal community in coastal sediments: assembly process and co-occurrence relationship. </w:t>
      </w:r>
      <w:r w:rsidRPr="00FC7B33">
        <w:rPr>
          <w:rFonts w:ascii="Calibri" w:hAnsi="Calibri" w:cs="Times New Roman"/>
          <w:i/>
          <w:iCs/>
          <w:noProof/>
          <w:lang w:val="en-US"/>
        </w:rPr>
        <w:t>ISME Journal</w:t>
      </w:r>
      <w:r w:rsidRPr="00FC7B33">
        <w:rPr>
          <w:rFonts w:ascii="Calibri" w:hAnsi="Calibri" w:cs="Times New Roman"/>
          <w:noProof/>
          <w:lang w:val="en-US"/>
        </w:rPr>
        <w:t xml:space="preserve">, </w:t>
      </w:r>
      <w:r w:rsidRPr="00FC7B33">
        <w:rPr>
          <w:rFonts w:ascii="Calibri" w:hAnsi="Calibri" w:cs="Times New Roman"/>
          <w:i/>
          <w:iCs/>
          <w:noProof/>
          <w:lang w:val="en-US"/>
        </w:rPr>
        <w:t>14</w:t>
      </w:r>
      <w:r w:rsidRPr="00FC7B33">
        <w:rPr>
          <w:rFonts w:ascii="Calibri" w:hAnsi="Calibri" w:cs="Times New Roman"/>
          <w:noProof/>
          <w:lang w:val="en-US"/>
        </w:rPr>
        <w:t>(6), 1463–1478. https://doi.org/10.1038/s41396-020-0621-7</w:t>
      </w:r>
    </w:p>
    <w:p w14:paraId="24B07F32"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Nekola, J. C., &amp; White, P. S. (1999). The distance decay of similarity in biogeography and ecology. </w:t>
      </w:r>
      <w:r w:rsidRPr="00FC7B33">
        <w:rPr>
          <w:rFonts w:ascii="Calibri" w:hAnsi="Calibri" w:cs="Times New Roman"/>
          <w:i/>
          <w:iCs/>
          <w:noProof/>
          <w:lang w:val="en-US"/>
        </w:rPr>
        <w:t>Journal of Biogeography</w:t>
      </w:r>
      <w:r w:rsidRPr="00FC7B33">
        <w:rPr>
          <w:rFonts w:ascii="Calibri" w:hAnsi="Calibri" w:cs="Times New Roman"/>
          <w:noProof/>
          <w:lang w:val="en-US"/>
        </w:rPr>
        <w:t xml:space="preserve">, </w:t>
      </w:r>
      <w:r w:rsidRPr="00FC7B33">
        <w:rPr>
          <w:rFonts w:ascii="Calibri" w:hAnsi="Calibri" w:cs="Times New Roman"/>
          <w:i/>
          <w:iCs/>
          <w:noProof/>
          <w:lang w:val="en-US"/>
        </w:rPr>
        <w:t>26</w:t>
      </w:r>
      <w:r w:rsidRPr="00FC7B33">
        <w:rPr>
          <w:rFonts w:ascii="Calibri" w:hAnsi="Calibri" w:cs="Times New Roman"/>
          <w:noProof/>
          <w:lang w:val="en-US"/>
        </w:rPr>
        <w:t>(4), 867–878. https://doi.org/10.1046/j.1365-2699.1999.00305.x</w:t>
      </w:r>
    </w:p>
    <w:p w14:paraId="220C5AC9"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FC7B33">
        <w:rPr>
          <w:rFonts w:ascii="Calibri" w:hAnsi="Calibri" w:cs="Times New Roman"/>
          <w:i/>
          <w:iCs/>
          <w:noProof/>
          <w:lang w:val="en-US"/>
        </w:rPr>
        <w:t>Sustainability (Switzerland)</w:t>
      </w:r>
      <w:r w:rsidRPr="00FC7B33">
        <w:rPr>
          <w:rFonts w:ascii="Calibri" w:hAnsi="Calibri" w:cs="Times New Roman"/>
          <w:noProof/>
          <w:lang w:val="en-US"/>
        </w:rPr>
        <w:t xml:space="preserve">, </w:t>
      </w:r>
      <w:r w:rsidRPr="00FC7B33">
        <w:rPr>
          <w:rFonts w:ascii="Calibri" w:hAnsi="Calibri" w:cs="Times New Roman"/>
          <w:i/>
          <w:iCs/>
          <w:noProof/>
          <w:lang w:val="en-US"/>
        </w:rPr>
        <w:t>12</w:t>
      </w:r>
      <w:r w:rsidRPr="00FC7B33">
        <w:rPr>
          <w:rFonts w:ascii="Calibri" w:hAnsi="Calibri" w:cs="Times New Roman"/>
          <w:noProof/>
          <w:lang w:val="en-US"/>
        </w:rPr>
        <w:t>(16). https://doi.org/10.3390/su12166477</w:t>
      </w:r>
    </w:p>
    <w:p w14:paraId="4F039EA5"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FC7B33">
        <w:rPr>
          <w:rFonts w:ascii="Calibri" w:hAnsi="Calibri" w:cs="Times New Roman"/>
          <w:i/>
          <w:iCs/>
          <w:noProof/>
          <w:lang w:val="en-US"/>
        </w:rPr>
        <w:t>ISME Journal</w:t>
      </w:r>
      <w:r w:rsidRPr="00FC7B33">
        <w:rPr>
          <w:rFonts w:ascii="Calibri" w:hAnsi="Calibri" w:cs="Times New Roman"/>
          <w:noProof/>
          <w:lang w:val="en-US"/>
        </w:rPr>
        <w:t xml:space="preserve">, </w:t>
      </w:r>
      <w:r w:rsidRPr="00FC7B33">
        <w:rPr>
          <w:rFonts w:ascii="Calibri" w:hAnsi="Calibri" w:cs="Times New Roman"/>
          <w:i/>
          <w:iCs/>
          <w:noProof/>
          <w:lang w:val="en-US"/>
        </w:rPr>
        <w:t>7</w:t>
      </w:r>
      <w:r w:rsidRPr="00FC7B33">
        <w:rPr>
          <w:rFonts w:ascii="Calibri" w:hAnsi="Calibri" w:cs="Times New Roman"/>
          <w:noProof/>
          <w:lang w:val="en-US"/>
        </w:rPr>
        <w:t>(11), 2069–2079. https://doi.org/10.1038/ismej.2013.93</w:t>
      </w:r>
    </w:p>
    <w:p w14:paraId="58EA00AC"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Stegen, J. C., Lin, X., Fredrickson, J. K., &amp; Konopka, A. E. (2015). Estimating and mapping ecological processes influencing microbial community assembly. </w:t>
      </w:r>
      <w:r w:rsidRPr="00FC7B33">
        <w:rPr>
          <w:rFonts w:ascii="Calibri" w:hAnsi="Calibri" w:cs="Times New Roman"/>
          <w:i/>
          <w:iCs/>
          <w:noProof/>
          <w:lang w:val="en-US"/>
        </w:rPr>
        <w:t xml:space="preserve">Frontiers in </w:t>
      </w:r>
      <w:r w:rsidRPr="00FC7B33">
        <w:rPr>
          <w:rFonts w:ascii="Calibri" w:hAnsi="Calibri" w:cs="Times New Roman"/>
          <w:i/>
          <w:iCs/>
          <w:noProof/>
          <w:lang w:val="en-US"/>
        </w:rPr>
        <w:lastRenderedPageBreak/>
        <w:t>Microbiology</w:t>
      </w:r>
      <w:r w:rsidRPr="00FC7B33">
        <w:rPr>
          <w:rFonts w:ascii="Calibri" w:hAnsi="Calibri" w:cs="Times New Roman"/>
          <w:noProof/>
          <w:lang w:val="en-US"/>
        </w:rPr>
        <w:t xml:space="preserve">, </w:t>
      </w:r>
      <w:r w:rsidRPr="00FC7B33">
        <w:rPr>
          <w:rFonts w:ascii="Calibri" w:hAnsi="Calibri" w:cs="Times New Roman"/>
          <w:i/>
          <w:iCs/>
          <w:noProof/>
          <w:lang w:val="en-US"/>
        </w:rPr>
        <w:t>6</w:t>
      </w:r>
      <w:r w:rsidRPr="00FC7B33">
        <w:rPr>
          <w:rFonts w:ascii="Calibri" w:hAnsi="Calibri" w:cs="Times New Roman"/>
          <w:noProof/>
          <w:lang w:val="en-US"/>
        </w:rPr>
        <w:t>(MAY), 1–15. https://doi.org/10.3389/fmicb.2015.00370</w:t>
      </w:r>
    </w:p>
    <w:p w14:paraId="2428B36F"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Steven, B., Hesse, C., Soghigian, J., Gallegos-Graves, L. V., &amp; Dunbar, J. (2017). Simulated rRNA/DNA ratios show potential to misclassify active populations as dormant. </w:t>
      </w:r>
      <w:r w:rsidRPr="00FC7B33">
        <w:rPr>
          <w:rFonts w:ascii="Calibri" w:hAnsi="Calibri" w:cs="Times New Roman"/>
          <w:i/>
          <w:iCs/>
          <w:noProof/>
          <w:lang w:val="en-US"/>
        </w:rPr>
        <w:t>Applied and Environmental Microbiology</w:t>
      </w:r>
      <w:r w:rsidRPr="00FC7B33">
        <w:rPr>
          <w:rFonts w:ascii="Calibri" w:hAnsi="Calibri" w:cs="Times New Roman"/>
          <w:noProof/>
          <w:lang w:val="en-US"/>
        </w:rPr>
        <w:t xml:space="preserve">, </w:t>
      </w:r>
      <w:r w:rsidRPr="00FC7B33">
        <w:rPr>
          <w:rFonts w:ascii="Calibri" w:hAnsi="Calibri" w:cs="Times New Roman"/>
          <w:i/>
          <w:iCs/>
          <w:noProof/>
          <w:lang w:val="en-US"/>
        </w:rPr>
        <w:t>83</w:t>
      </w:r>
      <w:r w:rsidRPr="00FC7B33">
        <w:rPr>
          <w:rFonts w:ascii="Calibri" w:hAnsi="Calibri" w:cs="Times New Roman"/>
          <w:noProof/>
          <w:lang w:val="en-US"/>
        </w:rPr>
        <w:t>(11), 1–11. https://doi.org/10.1128/AEM.00696-17</w:t>
      </w:r>
    </w:p>
    <w:p w14:paraId="487860D9"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Van Der Gast, C. J., Jefferson, B., Reid, E., Robinson, T., Bailey, M. J., Judd, S. J., &amp; Thompson, I. P. (2006). Bacterial diversity is determined by volume in membrane bioreactors. </w:t>
      </w:r>
      <w:r w:rsidRPr="00FC7B33">
        <w:rPr>
          <w:rFonts w:ascii="Calibri" w:hAnsi="Calibri" w:cs="Times New Roman"/>
          <w:i/>
          <w:iCs/>
          <w:noProof/>
          <w:lang w:val="en-US"/>
        </w:rPr>
        <w:t>Environmental Microbiology</w:t>
      </w:r>
      <w:r w:rsidRPr="00FC7B33">
        <w:rPr>
          <w:rFonts w:ascii="Calibri" w:hAnsi="Calibri" w:cs="Times New Roman"/>
          <w:noProof/>
          <w:lang w:val="en-US"/>
        </w:rPr>
        <w:t xml:space="preserve">, </w:t>
      </w:r>
      <w:r w:rsidRPr="00FC7B33">
        <w:rPr>
          <w:rFonts w:ascii="Calibri" w:hAnsi="Calibri" w:cs="Times New Roman"/>
          <w:i/>
          <w:iCs/>
          <w:noProof/>
          <w:lang w:val="en-US"/>
        </w:rPr>
        <w:t>8</w:t>
      </w:r>
      <w:r w:rsidRPr="00FC7B33">
        <w:rPr>
          <w:rFonts w:ascii="Calibri" w:hAnsi="Calibri" w:cs="Times New Roman"/>
          <w:noProof/>
          <w:lang w:val="en-US"/>
        </w:rPr>
        <w:t>(6), 1048–1055. https://doi.org/10.1111/j.1462-2920.2006.00996.x</w:t>
      </w:r>
    </w:p>
    <w:p w14:paraId="4D282F29" w14:textId="77777777" w:rsidR="00FC7B33" w:rsidRPr="00FC7B33" w:rsidRDefault="00FC7B33" w:rsidP="00FC7B33">
      <w:pPr>
        <w:widowControl w:val="0"/>
        <w:autoSpaceDE w:val="0"/>
        <w:autoSpaceDN w:val="0"/>
        <w:adjustRightInd w:val="0"/>
        <w:ind w:left="480" w:hanging="480"/>
        <w:rPr>
          <w:rFonts w:ascii="Calibri" w:hAnsi="Calibri" w:cs="Times New Roman"/>
          <w:noProof/>
          <w:lang w:val="en-US"/>
        </w:rPr>
      </w:pPr>
      <w:r w:rsidRPr="00FC7B33">
        <w:rPr>
          <w:rFonts w:ascii="Calibri" w:hAnsi="Calibri" w:cs="Times New Roman"/>
          <w:noProof/>
          <w:lang w:val="en-US"/>
        </w:rPr>
        <w:t xml:space="preserve">Van Der Gast, C. J., Lilley, A. K., Ager, D., &amp; Thompson, I. P. (2005). Island size and bacterial diversity in an archipelago of engineering machines. </w:t>
      </w:r>
      <w:r w:rsidRPr="00FC7B33">
        <w:rPr>
          <w:rFonts w:ascii="Calibri" w:hAnsi="Calibri" w:cs="Times New Roman"/>
          <w:i/>
          <w:iCs/>
          <w:noProof/>
          <w:lang w:val="en-US"/>
        </w:rPr>
        <w:t>Environmental Microbiology</w:t>
      </w:r>
      <w:r w:rsidRPr="00FC7B33">
        <w:rPr>
          <w:rFonts w:ascii="Calibri" w:hAnsi="Calibri" w:cs="Times New Roman"/>
          <w:noProof/>
          <w:lang w:val="en-US"/>
        </w:rPr>
        <w:t xml:space="preserve">, </w:t>
      </w:r>
      <w:r w:rsidRPr="00FC7B33">
        <w:rPr>
          <w:rFonts w:ascii="Calibri" w:hAnsi="Calibri" w:cs="Times New Roman"/>
          <w:i/>
          <w:iCs/>
          <w:noProof/>
          <w:lang w:val="en-US"/>
        </w:rPr>
        <w:t>7</w:t>
      </w:r>
      <w:r w:rsidRPr="00FC7B33">
        <w:rPr>
          <w:rFonts w:ascii="Calibri" w:hAnsi="Calibri" w:cs="Times New Roman"/>
          <w:noProof/>
          <w:lang w:val="en-US"/>
        </w:rPr>
        <w:t>(8), 1220–1226. https://doi.org/10.1111/j.1462-2920.2005.00802.x</w:t>
      </w:r>
    </w:p>
    <w:p w14:paraId="19A618EE" w14:textId="77777777" w:rsidR="00FC7B33" w:rsidRPr="00FC7B33" w:rsidRDefault="00FC7B33" w:rsidP="00FC7B33">
      <w:pPr>
        <w:widowControl w:val="0"/>
        <w:autoSpaceDE w:val="0"/>
        <w:autoSpaceDN w:val="0"/>
        <w:adjustRightInd w:val="0"/>
        <w:ind w:left="480" w:hanging="480"/>
        <w:rPr>
          <w:rFonts w:ascii="Calibri" w:hAnsi="Calibri"/>
          <w:noProof/>
        </w:rPr>
      </w:pPr>
      <w:r w:rsidRPr="00FC7B33">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FC7B33">
        <w:rPr>
          <w:rFonts w:ascii="Calibri" w:hAnsi="Calibri" w:cs="Times New Roman"/>
          <w:i/>
          <w:iCs/>
          <w:noProof/>
          <w:lang w:val="en-US"/>
        </w:rPr>
        <w:t>Biogeosciences</w:t>
      </w:r>
      <w:r w:rsidRPr="00FC7B33">
        <w:rPr>
          <w:rFonts w:ascii="Calibri" w:hAnsi="Calibri" w:cs="Times New Roman"/>
          <w:noProof/>
          <w:lang w:val="en-US"/>
        </w:rPr>
        <w:t xml:space="preserve">, </w:t>
      </w:r>
      <w:r w:rsidRPr="00FC7B33">
        <w:rPr>
          <w:rFonts w:ascii="Calibri" w:hAnsi="Calibri" w:cs="Times New Roman"/>
          <w:i/>
          <w:iCs/>
          <w:noProof/>
          <w:lang w:val="en-US"/>
        </w:rPr>
        <w:t>13</w:t>
      </w:r>
      <w:r w:rsidRPr="00FC7B33">
        <w:rPr>
          <w:rFonts w:ascii="Calibri" w:hAnsi="Calibri" w:cs="Times New Roman"/>
          <w:noProof/>
          <w:lang w:val="en-US"/>
        </w:rPr>
        <w:t>(3), 659–674. https://doi.org/10.5194/bg-13-659-2016</w:t>
      </w:r>
    </w:p>
    <w:p w14:paraId="1636485B" w14:textId="5C99FE54" w:rsidR="002F4353" w:rsidRDefault="002F4353" w:rsidP="00FC7B33">
      <w:pPr>
        <w:widowControl w:val="0"/>
        <w:autoSpaceDE w:val="0"/>
        <w:autoSpaceDN w:val="0"/>
        <w:adjustRightInd w:val="0"/>
        <w:ind w:left="480" w:hanging="480"/>
      </w:pPr>
      <w:r>
        <w:fldChar w:fldCharType="end"/>
      </w:r>
    </w:p>
    <w:sectPr w:rsidR="002F435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42"/>
    <w:rsid w:val="000446FF"/>
    <w:rsid w:val="000F4C82"/>
    <w:rsid w:val="00104E55"/>
    <w:rsid w:val="001128DA"/>
    <w:rsid w:val="001176A7"/>
    <w:rsid w:val="00126C0F"/>
    <w:rsid w:val="001C367D"/>
    <w:rsid w:val="00247F7C"/>
    <w:rsid w:val="00271DC9"/>
    <w:rsid w:val="002E18B9"/>
    <w:rsid w:val="002F4353"/>
    <w:rsid w:val="00342F25"/>
    <w:rsid w:val="00393417"/>
    <w:rsid w:val="003A1A42"/>
    <w:rsid w:val="003A695F"/>
    <w:rsid w:val="003D31AD"/>
    <w:rsid w:val="00421BE3"/>
    <w:rsid w:val="004E2BA6"/>
    <w:rsid w:val="004E3CAA"/>
    <w:rsid w:val="00511661"/>
    <w:rsid w:val="005155B5"/>
    <w:rsid w:val="00531417"/>
    <w:rsid w:val="006C394A"/>
    <w:rsid w:val="006F6C16"/>
    <w:rsid w:val="007111A5"/>
    <w:rsid w:val="00751FED"/>
    <w:rsid w:val="00754F04"/>
    <w:rsid w:val="007574D4"/>
    <w:rsid w:val="007877CC"/>
    <w:rsid w:val="007B2ACA"/>
    <w:rsid w:val="007B60A6"/>
    <w:rsid w:val="007C5B68"/>
    <w:rsid w:val="007E7F54"/>
    <w:rsid w:val="00865C49"/>
    <w:rsid w:val="00874538"/>
    <w:rsid w:val="008A51C7"/>
    <w:rsid w:val="008F6434"/>
    <w:rsid w:val="00913A1F"/>
    <w:rsid w:val="0093112D"/>
    <w:rsid w:val="009408C2"/>
    <w:rsid w:val="00964412"/>
    <w:rsid w:val="009F1766"/>
    <w:rsid w:val="00A460B2"/>
    <w:rsid w:val="00A76400"/>
    <w:rsid w:val="00B072D6"/>
    <w:rsid w:val="00B14598"/>
    <w:rsid w:val="00B51828"/>
    <w:rsid w:val="00B94A15"/>
    <w:rsid w:val="00C018B2"/>
    <w:rsid w:val="00C30D35"/>
    <w:rsid w:val="00C50CC0"/>
    <w:rsid w:val="00CB5B15"/>
    <w:rsid w:val="00CC34EE"/>
    <w:rsid w:val="00D07FE8"/>
    <w:rsid w:val="00DB3740"/>
    <w:rsid w:val="00DB482F"/>
    <w:rsid w:val="00DB6297"/>
    <w:rsid w:val="00DC528E"/>
    <w:rsid w:val="00E35A33"/>
    <w:rsid w:val="00ED647D"/>
    <w:rsid w:val="00F31AC4"/>
    <w:rsid w:val="00F40B8C"/>
    <w:rsid w:val="00F54975"/>
    <w:rsid w:val="00FA63FB"/>
    <w:rsid w:val="00FC3E01"/>
    <w:rsid w:val="00FC7B33"/>
    <w:rsid w:val="00FF7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E7F2"/>
  <w14:defaultImageDpi w14:val="32767"/>
  <w15:chartTrackingRefBased/>
  <w15:docId w15:val="{FCF470CD-59FB-294F-94F4-906ED85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A33"/>
    <w:rPr>
      <w:color w:val="808080"/>
    </w:rPr>
  </w:style>
  <w:style w:type="table" w:styleId="TableGrid">
    <w:name w:val="Table Grid"/>
    <w:basedOn w:val="TableNormal"/>
    <w:uiPriority w:val="39"/>
    <w:rsid w:val="004E2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35">
      <w:bodyDiv w:val="1"/>
      <w:marLeft w:val="0"/>
      <w:marRight w:val="0"/>
      <w:marTop w:val="0"/>
      <w:marBottom w:val="0"/>
      <w:divBdr>
        <w:top w:val="none" w:sz="0" w:space="0" w:color="auto"/>
        <w:left w:val="none" w:sz="0" w:space="0" w:color="auto"/>
        <w:bottom w:val="none" w:sz="0" w:space="0" w:color="auto"/>
        <w:right w:val="none" w:sz="0" w:space="0" w:color="auto"/>
      </w:divBdr>
    </w:div>
    <w:div w:id="26495381">
      <w:bodyDiv w:val="1"/>
      <w:marLeft w:val="0"/>
      <w:marRight w:val="0"/>
      <w:marTop w:val="0"/>
      <w:marBottom w:val="0"/>
      <w:divBdr>
        <w:top w:val="none" w:sz="0" w:space="0" w:color="auto"/>
        <w:left w:val="none" w:sz="0" w:space="0" w:color="auto"/>
        <w:bottom w:val="none" w:sz="0" w:space="0" w:color="auto"/>
        <w:right w:val="none" w:sz="0" w:space="0" w:color="auto"/>
      </w:divBdr>
    </w:div>
    <w:div w:id="560600932">
      <w:bodyDiv w:val="1"/>
      <w:marLeft w:val="0"/>
      <w:marRight w:val="0"/>
      <w:marTop w:val="0"/>
      <w:marBottom w:val="0"/>
      <w:divBdr>
        <w:top w:val="none" w:sz="0" w:space="0" w:color="auto"/>
        <w:left w:val="none" w:sz="0" w:space="0" w:color="auto"/>
        <w:bottom w:val="none" w:sz="0" w:space="0" w:color="auto"/>
        <w:right w:val="none" w:sz="0" w:space="0" w:color="auto"/>
      </w:divBdr>
    </w:div>
    <w:div w:id="692994506">
      <w:bodyDiv w:val="1"/>
      <w:marLeft w:val="0"/>
      <w:marRight w:val="0"/>
      <w:marTop w:val="0"/>
      <w:marBottom w:val="0"/>
      <w:divBdr>
        <w:top w:val="none" w:sz="0" w:space="0" w:color="auto"/>
        <w:left w:val="none" w:sz="0" w:space="0" w:color="auto"/>
        <w:bottom w:val="none" w:sz="0" w:space="0" w:color="auto"/>
        <w:right w:val="none" w:sz="0" w:space="0" w:color="auto"/>
      </w:divBdr>
    </w:div>
    <w:div w:id="918908070">
      <w:bodyDiv w:val="1"/>
      <w:marLeft w:val="0"/>
      <w:marRight w:val="0"/>
      <w:marTop w:val="0"/>
      <w:marBottom w:val="0"/>
      <w:divBdr>
        <w:top w:val="none" w:sz="0" w:space="0" w:color="auto"/>
        <w:left w:val="none" w:sz="0" w:space="0" w:color="auto"/>
        <w:bottom w:val="none" w:sz="0" w:space="0" w:color="auto"/>
        <w:right w:val="none" w:sz="0" w:space="0" w:color="auto"/>
      </w:divBdr>
    </w:div>
    <w:div w:id="1213693693">
      <w:bodyDiv w:val="1"/>
      <w:marLeft w:val="0"/>
      <w:marRight w:val="0"/>
      <w:marTop w:val="0"/>
      <w:marBottom w:val="0"/>
      <w:divBdr>
        <w:top w:val="none" w:sz="0" w:space="0" w:color="auto"/>
        <w:left w:val="none" w:sz="0" w:space="0" w:color="auto"/>
        <w:bottom w:val="none" w:sz="0" w:space="0" w:color="auto"/>
        <w:right w:val="none" w:sz="0" w:space="0" w:color="auto"/>
      </w:divBdr>
    </w:div>
    <w:div w:id="1607233213">
      <w:bodyDiv w:val="1"/>
      <w:marLeft w:val="0"/>
      <w:marRight w:val="0"/>
      <w:marTop w:val="0"/>
      <w:marBottom w:val="0"/>
      <w:divBdr>
        <w:top w:val="none" w:sz="0" w:space="0" w:color="auto"/>
        <w:left w:val="none" w:sz="0" w:space="0" w:color="auto"/>
        <w:bottom w:val="none" w:sz="0" w:space="0" w:color="auto"/>
        <w:right w:val="none" w:sz="0" w:space="0" w:color="auto"/>
      </w:divBdr>
    </w:div>
    <w:div w:id="192657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1F630-BC68-4145-B1BC-C67E2565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TotalTime>
  <Pages>12</Pages>
  <Words>16980</Words>
  <Characters>130581</Characters>
  <Application>Microsoft Office Word</Application>
  <DocSecurity>0</DocSecurity>
  <Lines>1978</Lines>
  <Paragraphs>734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49</cp:revision>
  <dcterms:created xsi:type="dcterms:W3CDTF">2021-01-08T09:36:00Z</dcterms:created>
  <dcterms:modified xsi:type="dcterms:W3CDTF">2021-01-12T16:09:00Z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