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89D6A" w14:textId="2434E36E" w:rsidR="002C2DB9" w:rsidRDefault="00194AE8" w:rsidP="00795C2E">
      <w:pPr>
        <w:jc w:val="center"/>
        <w:rPr>
          <w:sz w:val="36"/>
          <w:u w:val="single"/>
        </w:rPr>
      </w:pPr>
      <w:r>
        <w:rPr>
          <w:sz w:val="36"/>
          <w:u w:val="single"/>
        </w:rPr>
        <w:t xml:space="preserve">Project Plan: </w:t>
      </w:r>
      <w:r w:rsidR="00795C2E">
        <w:rPr>
          <w:sz w:val="36"/>
          <w:u w:val="single"/>
        </w:rPr>
        <w:t>Impact of Dormancy on the Biogeography and Biogeochemistry of Cryoconite Holes</w:t>
      </w:r>
    </w:p>
    <w:p w14:paraId="664A1F3E" w14:textId="77777777" w:rsidR="00795C2E" w:rsidRDefault="00795C2E" w:rsidP="00795C2E">
      <w:pPr>
        <w:jc w:val="center"/>
        <w:rPr>
          <w:sz w:val="36"/>
          <w:u w:val="single"/>
        </w:rPr>
      </w:pPr>
    </w:p>
    <w:p w14:paraId="2A437932" w14:textId="125B6DAB" w:rsidR="00795C2E" w:rsidRPr="00795C2E" w:rsidRDefault="00795C2E" w:rsidP="00795C2E">
      <w:pPr>
        <w:jc w:val="center"/>
        <w:rPr>
          <w:sz w:val="28"/>
        </w:rPr>
      </w:pPr>
      <w:r w:rsidRPr="00795C2E">
        <w:rPr>
          <w:sz w:val="28"/>
        </w:rPr>
        <w:t>Amy Solman, 2021</w:t>
      </w:r>
    </w:p>
    <w:p w14:paraId="770E062C" w14:textId="77777777" w:rsidR="008367A0" w:rsidRDefault="008367A0" w:rsidP="002C2DB9"/>
    <w:sdt>
      <w:sdtPr>
        <w:rPr>
          <w:rFonts w:asciiTheme="minorHAnsi" w:eastAsiaTheme="minorHAnsi" w:hAnsiTheme="minorHAnsi" w:cstheme="minorBidi"/>
          <w:b/>
          <w:bCs/>
          <w:caps w:val="0"/>
          <w:color w:val="auto"/>
          <w:spacing w:val="0"/>
          <w:sz w:val="24"/>
          <w:szCs w:val="24"/>
        </w:rPr>
        <w:id w:val="549420945"/>
        <w:docPartObj>
          <w:docPartGallery w:val="Table of Contents"/>
          <w:docPartUnique/>
        </w:docPartObj>
      </w:sdtPr>
      <w:sdtEndPr>
        <w:rPr>
          <w:rFonts w:asciiTheme="majorHAnsi" w:eastAsiaTheme="majorEastAsia" w:hAnsiTheme="majorHAnsi" w:cstheme="majorBidi"/>
          <w:b w:val="0"/>
          <w:bCs w:val="0"/>
          <w:noProof/>
          <w:sz w:val="22"/>
          <w:szCs w:val="22"/>
        </w:rPr>
      </w:sdtEndPr>
      <w:sdtContent>
        <w:p w14:paraId="73A58C1B" w14:textId="122429AE" w:rsidR="002C2DB9" w:rsidRDefault="002C2DB9">
          <w:pPr>
            <w:pStyle w:val="TOCHeading"/>
          </w:pPr>
          <w:r>
            <w:t>Table of Contents</w:t>
          </w:r>
        </w:p>
        <w:p w14:paraId="0A84A9BD" w14:textId="74E0FFF1" w:rsidR="00D626D7" w:rsidRDefault="002C2DB9">
          <w:pPr>
            <w:pStyle w:val="TOC1"/>
            <w:tabs>
              <w:tab w:val="right" w:leader="dot" w:pos="9011"/>
            </w:tabs>
            <w:rPr>
              <w:rFonts w:asciiTheme="minorHAnsi" w:eastAsiaTheme="minorEastAsia" w:hAnsiTheme="minorHAnsi" w:cstheme="minorBidi"/>
              <w:b w:val="0"/>
              <w:bCs w:val="0"/>
              <w:i w:val="0"/>
              <w:iCs w:val="0"/>
              <w:noProof/>
              <w:sz w:val="24"/>
              <w:szCs w:val="24"/>
            </w:rPr>
          </w:pPr>
          <w:r>
            <w:rPr>
              <w:b w:val="0"/>
              <w:bCs w:val="0"/>
            </w:rPr>
            <w:fldChar w:fldCharType="begin"/>
          </w:r>
          <w:r>
            <w:instrText xml:space="preserve"> TOC \o "1-3" \h \z \u </w:instrText>
          </w:r>
          <w:r>
            <w:rPr>
              <w:b w:val="0"/>
              <w:bCs w:val="0"/>
            </w:rPr>
            <w:fldChar w:fldCharType="separate"/>
          </w:r>
          <w:hyperlink w:anchor="_Toc58605997" w:history="1">
            <w:r w:rsidR="00D626D7" w:rsidRPr="0006020A">
              <w:rPr>
                <w:rStyle w:val="Hyperlink"/>
                <w:noProof/>
              </w:rPr>
              <w:t>Summary Themes</w:t>
            </w:r>
            <w:r w:rsidR="00D626D7">
              <w:rPr>
                <w:noProof/>
                <w:webHidden/>
              </w:rPr>
              <w:tab/>
            </w:r>
            <w:r w:rsidR="00D626D7">
              <w:rPr>
                <w:noProof/>
                <w:webHidden/>
              </w:rPr>
              <w:fldChar w:fldCharType="begin"/>
            </w:r>
            <w:r w:rsidR="00D626D7">
              <w:rPr>
                <w:noProof/>
                <w:webHidden/>
              </w:rPr>
              <w:instrText xml:space="preserve"> PAGEREF _Toc58605997 \h </w:instrText>
            </w:r>
            <w:r w:rsidR="00D626D7">
              <w:rPr>
                <w:noProof/>
                <w:webHidden/>
              </w:rPr>
            </w:r>
            <w:r w:rsidR="00D626D7">
              <w:rPr>
                <w:noProof/>
                <w:webHidden/>
              </w:rPr>
              <w:fldChar w:fldCharType="separate"/>
            </w:r>
            <w:r w:rsidR="00D626D7">
              <w:rPr>
                <w:noProof/>
                <w:webHidden/>
              </w:rPr>
              <w:t>3</w:t>
            </w:r>
            <w:r w:rsidR="00D626D7">
              <w:rPr>
                <w:noProof/>
                <w:webHidden/>
              </w:rPr>
              <w:fldChar w:fldCharType="end"/>
            </w:r>
          </w:hyperlink>
        </w:p>
        <w:p w14:paraId="1E705E1A" w14:textId="5AA41119" w:rsidR="00D626D7" w:rsidRDefault="00A57BC7">
          <w:pPr>
            <w:pStyle w:val="TOC1"/>
            <w:tabs>
              <w:tab w:val="right" w:leader="dot" w:pos="9011"/>
            </w:tabs>
            <w:rPr>
              <w:rFonts w:asciiTheme="minorHAnsi" w:eastAsiaTheme="minorEastAsia" w:hAnsiTheme="minorHAnsi" w:cstheme="minorBidi"/>
              <w:b w:val="0"/>
              <w:bCs w:val="0"/>
              <w:i w:val="0"/>
              <w:iCs w:val="0"/>
              <w:noProof/>
              <w:sz w:val="24"/>
              <w:szCs w:val="24"/>
            </w:rPr>
          </w:pPr>
          <w:hyperlink w:anchor="_Toc58605998" w:history="1">
            <w:r w:rsidR="00D626D7" w:rsidRPr="0006020A">
              <w:rPr>
                <w:rStyle w:val="Hyperlink"/>
                <w:noProof/>
              </w:rPr>
              <w:t>Summary Questions</w:t>
            </w:r>
            <w:r w:rsidR="00D626D7">
              <w:rPr>
                <w:noProof/>
                <w:webHidden/>
              </w:rPr>
              <w:tab/>
            </w:r>
            <w:r w:rsidR="00D626D7">
              <w:rPr>
                <w:noProof/>
                <w:webHidden/>
              </w:rPr>
              <w:fldChar w:fldCharType="begin"/>
            </w:r>
            <w:r w:rsidR="00D626D7">
              <w:rPr>
                <w:noProof/>
                <w:webHidden/>
              </w:rPr>
              <w:instrText xml:space="preserve"> PAGEREF _Toc58605998 \h </w:instrText>
            </w:r>
            <w:r w:rsidR="00D626D7">
              <w:rPr>
                <w:noProof/>
                <w:webHidden/>
              </w:rPr>
            </w:r>
            <w:r w:rsidR="00D626D7">
              <w:rPr>
                <w:noProof/>
                <w:webHidden/>
              </w:rPr>
              <w:fldChar w:fldCharType="separate"/>
            </w:r>
            <w:r w:rsidR="00D626D7">
              <w:rPr>
                <w:noProof/>
                <w:webHidden/>
              </w:rPr>
              <w:t>4</w:t>
            </w:r>
            <w:r w:rsidR="00D626D7">
              <w:rPr>
                <w:noProof/>
                <w:webHidden/>
              </w:rPr>
              <w:fldChar w:fldCharType="end"/>
            </w:r>
          </w:hyperlink>
        </w:p>
        <w:p w14:paraId="57D6C5E3" w14:textId="79C60DAC" w:rsidR="00D626D7" w:rsidRDefault="00A57BC7">
          <w:pPr>
            <w:pStyle w:val="TOC1"/>
            <w:tabs>
              <w:tab w:val="right" w:leader="dot" w:pos="9011"/>
            </w:tabs>
            <w:rPr>
              <w:rFonts w:asciiTheme="minorHAnsi" w:eastAsiaTheme="minorEastAsia" w:hAnsiTheme="minorHAnsi" w:cstheme="minorBidi"/>
              <w:b w:val="0"/>
              <w:bCs w:val="0"/>
              <w:i w:val="0"/>
              <w:iCs w:val="0"/>
              <w:noProof/>
              <w:sz w:val="24"/>
              <w:szCs w:val="24"/>
            </w:rPr>
          </w:pPr>
          <w:hyperlink w:anchor="_Toc58605999" w:history="1">
            <w:r w:rsidR="00D626D7" w:rsidRPr="0006020A">
              <w:rPr>
                <w:rStyle w:val="Hyperlink"/>
                <w:noProof/>
              </w:rPr>
              <w:t>Literature Review</w:t>
            </w:r>
            <w:r w:rsidR="00D626D7">
              <w:rPr>
                <w:noProof/>
                <w:webHidden/>
              </w:rPr>
              <w:tab/>
            </w:r>
            <w:r w:rsidR="00D626D7">
              <w:rPr>
                <w:noProof/>
                <w:webHidden/>
              </w:rPr>
              <w:fldChar w:fldCharType="begin"/>
            </w:r>
            <w:r w:rsidR="00D626D7">
              <w:rPr>
                <w:noProof/>
                <w:webHidden/>
              </w:rPr>
              <w:instrText xml:space="preserve"> PAGEREF _Toc58605999 \h </w:instrText>
            </w:r>
            <w:r w:rsidR="00D626D7">
              <w:rPr>
                <w:noProof/>
                <w:webHidden/>
              </w:rPr>
            </w:r>
            <w:r w:rsidR="00D626D7">
              <w:rPr>
                <w:noProof/>
                <w:webHidden/>
              </w:rPr>
              <w:fldChar w:fldCharType="separate"/>
            </w:r>
            <w:r w:rsidR="00D626D7">
              <w:rPr>
                <w:noProof/>
                <w:webHidden/>
              </w:rPr>
              <w:t>9</w:t>
            </w:r>
            <w:r w:rsidR="00D626D7">
              <w:rPr>
                <w:noProof/>
                <w:webHidden/>
              </w:rPr>
              <w:fldChar w:fldCharType="end"/>
            </w:r>
          </w:hyperlink>
        </w:p>
        <w:p w14:paraId="65728960" w14:textId="2A9FCD81"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00" w:history="1">
            <w:r w:rsidR="00D626D7" w:rsidRPr="0006020A">
              <w:rPr>
                <w:rStyle w:val="Hyperlink"/>
                <w:noProof/>
              </w:rPr>
              <w:t>Section One: Cryoconite Holes</w:t>
            </w:r>
            <w:r w:rsidR="00D626D7">
              <w:rPr>
                <w:noProof/>
                <w:webHidden/>
              </w:rPr>
              <w:tab/>
            </w:r>
            <w:r w:rsidR="00D626D7">
              <w:rPr>
                <w:noProof/>
                <w:webHidden/>
              </w:rPr>
              <w:fldChar w:fldCharType="begin"/>
            </w:r>
            <w:r w:rsidR="00D626D7">
              <w:rPr>
                <w:noProof/>
                <w:webHidden/>
              </w:rPr>
              <w:instrText xml:space="preserve"> PAGEREF _Toc58606000 \h </w:instrText>
            </w:r>
            <w:r w:rsidR="00D626D7">
              <w:rPr>
                <w:noProof/>
                <w:webHidden/>
              </w:rPr>
            </w:r>
            <w:r w:rsidR="00D626D7">
              <w:rPr>
                <w:noProof/>
                <w:webHidden/>
              </w:rPr>
              <w:fldChar w:fldCharType="separate"/>
            </w:r>
            <w:r w:rsidR="00D626D7">
              <w:rPr>
                <w:noProof/>
                <w:webHidden/>
              </w:rPr>
              <w:t>9</w:t>
            </w:r>
            <w:r w:rsidR="00D626D7">
              <w:rPr>
                <w:noProof/>
                <w:webHidden/>
              </w:rPr>
              <w:fldChar w:fldCharType="end"/>
            </w:r>
          </w:hyperlink>
        </w:p>
        <w:p w14:paraId="760D2800" w14:textId="2A03AB27"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1" w:history="1">
            <w:r w:rsidR="00D626D7" w:rsidRPr="0006020A">
              <w:rPr>
                <w:rStyle w:val="Hyperlink"/>
                <w:noProof/>
              </w:rPr>
              <w:t>What are cryoconite holes?</w:t>
            </w:r>
            <w:r w:rsidR="00D626D7">
              <w:rPr>
                <w:noProof/>
                <w:webHidden/>
              </w:rPr>
              <w:tab/>
            </w:r>
            <w:r w:rsidR="00D626D7">
              <w:rPr>
                <w:noProof/>
                <w:webHidden/>
              </w:rPr>
              <w:fldChar w:fldCharType="begin"/>
            </w:r>
            <w:r w:rsidR="00D626D7">
              <w:rPr>
                <w:noProof/>
                <w:webHidden/>
              </w:rPr>
              <w:instrText xml:space="preserve"> PAGEREF _Toc58606001 \h </w:instrText>
            </w:r>
            <w:r w:rsidR="00D626D7">
              <w:rPr>
                <w:noProof/>
                <w:webHidden/>
              </w:rPr>
            </w:r>
            <w:r w:rsidR="00D626D7">
              <w:rPr>
                <w:noProof/>
                <w:webHidden/>
              </w:rPr>
              <w:fldChar w:fldCharType="separate"/>
            </w:r>
            <w:r w:rsidR="00D626D7">
              <w:rPr>
                <w:noProof/>
                <w:webHidden/>
              </w:rPr>
              <w:t>9</w:t>
            </w:r>
            <w:r w:rsidR="00D626D7">
              <w:rPr>
                <w:noProof/>
                <w:webHidden/>
              </w:rPr>
              <w:fldChar w:fldCharType="end"/>
            </w:r>
          </w:hyperlink>
        </w:p>
        <w:p w14:paraId="71C47910" w14:textId="4341D1CC"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2" w:history="1">
            <w:r w:rsidR="00D626D7" w:rsidRPr="0006020A">
              <w:rPr>
                <w:rStyle w:val="Hyperlink"/>
                <w:noProof/>
              </w:rPr>
              <w:t>What organisms live in cryoconite holes?</w:t>
            </w:r>
            <w:r w:rsidR="00D626D7">
              <w:rPr>
                <w:noProof/>
                <w:webHidden/>
              </w:rPr>
              <w:tab/>
            </w:r>
            <w:r w:rsidR="00D626D7">
              <w:rPr>
                <w:noProof/>
                <w:webHidden/>
              </w:rPr>
              <w:fldChar w:fldCharType="begin"/>
            </w:r>
            <w:r w:rsidR="00D626D7">
              <w:rPr>
                <w:noProof/>
                <w:webHidden/>
              </w:rPr>
              <w:instrText xml:space="preserve"> PAGEREF _Toc58606002 \h </w:instrText>
            </w:r>
            <w:r w:rsidR="00D626D7">
              <w:rPr>
                <w:noProof/>
                <w:webHidden/>
              </w:rPr>
            </w:r>
            <w:r w:rsidR="00D626D7">
              <w:rPr>
                <w:noProof/>
                <w:webHidden/>
              </w:rPr>
              <w:fldChar w:fldCharType="separate"/>
            </w:r>
            <w:r w:rsidR="00D626D7">
              <w:rPr>
                <w:noProof/>
                <w:webHidden/>
              </w:rPr>
              <w:t>10</w:t>
            </w:r>
            <w:r w:rsidR="00D626D7">
              <w:rPr>
                <w:noProof/>
                <w:webHidden/>
              </w:rPr>
              <w:fldChar w:fldCharType="end"/>
            </w:r>
          </w:hyperlink>
        </w:p>
        <w:p w14:paraId="19655EC4" w14:textId="173BC5F0"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3" w:history="1">
            <w:r w:rsidR="00D626D7" w:rsidRPr="0006020A">
              <w:rPr>
                <w:rStyle w:val="Hyperlink"/>
                <w:noProof/>
              </w:rPr>
              <w:t>What biogeochemical processes happen in cryoconite holes?</w:t>
            </w:r>
            <w:r w:rsidR="00D626D7">
              <w:rPr>
                <w:noProof/>
                <w:webHidden/>
              </w:rPr>
              <w:tab/>
            </w:r>
            <w:r w:rsidR="00D626D7">
              <w:rPr>
                <w:noProof/>
                <w:webHidden/>
              </w:rPr>
              <w:fldChar w:fldCharType="begin"/>
            </w:r>
            <w:r w:rsidR="00D626D7">
              <w:rPr>
                <w:noProof/>
                <w:webHidden/>
              </w:rPr>
              <w:instrText xml:space="preserve"> PAGEREF _Toc58606003 \h </w:instrText>
            </w:r>
            <w:r w:rsidR="00D626D7">
              <w:rPr>
                <w:noProof/>
                <w:webHidden/>
              </w:rPr>
            </w:r>
            <w:r w:rsidR="00D626D7">
              <w:rPr>
                <w:noProof/>
                <w:webHidden/>
              </w:rPr>
              <w:fldChar w:fldCharType="separate"/>
            </w:r>
            <w:r w:rsidR="00D626D7">
              <w:rPr>
                <w:noProof/>
                <w:webHidden/>
              </w:rPr>
              <w:t>10</w:t>
            </w:r>
            <w:r w:rsidR="00D626D7">
              <w:rPr>
                <w:noProof/>
                <w:webHidden/>
              </w:rPr>
              <w:fldChar w:fldCharType="end"/>
            </w:r>
          </w:hyperlink>
        </w:p>
        <w:p w14:paraId="60F133BB" w14:textId="73E7C7EA"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4" w:history="1">
            <w:r w:rsidR="00D626D7" w:rsidRPr="0006020A">
              <w:rPr>
                <w:rStyle w:val="Hyperlink"/>
                <w:noProof/>
              </w:rPr>
              <w:t>How do cryoconite holes effect the glacial system?</w:t>
            </w:r>
            <w:r w:rsidR="00D626D7">
              <w:rPr>
                <w:noProof/>
                <w:webHidden/>
              </w:rPr>
              <w:tab/>
            </w:r>
            <w:r w:rsidR="00D626D7">
              <w:rPr>
                <w:noProof/>
                <w:webHidden/>
              </w:rPr>
              <w:fldChar w:fldCharType="begin"/>
            </w:r>
            <w:r w:rsidR="00D626D7">
              <w:rPr>
                <w:noProof/>
                <w:webHidden/>
              </w:rPr>
              <w:instrText xml:space="preserve"> PAGEREF _Toc58606004 \h </w:instrText>
            </w:r>
            <w:r w:rsidR="00D626D7">
              <w:rPr>
                <w:noProof/>
                <w:webHidden/>
              </w:rPr>
            </w:r>
            <w:r w:rsidR="00D626D7">
              <w:rPr>
                <w:noProof/>
                <w:webHidden/>
              </w:rPr>
              <w:fldChar w:fldCharType="separate"/>
            </w:r>
            <w:r w:rsidR="00D626D7">
              <w:rPr>
                <w:noProof/>
                <w:webHidden/>
              </w:rPr>
              <w:t>11</w:t>
            </w:r>
            <w:r w:rsidR="00D626D7">
              <w:rPr>
                <w:noProof/>
                <w:webHidden/>
              </w:rPr>
              <w:fldChar w:fldCharType="end"/>
            </w:r>
          </w:hyperlink>
        </w:p>
        <w:p w14:paraId="205A856C" w14:textId="6BF19735"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05" w:history="1">
            <w:r w:rsidR="00D626D7" w:rsidRPr="0006020A">
              <w:rPr>
                <w:rStyle w:val="Hyperlink"/>
                <w:noProof/>
              </w:rPr>
              <w:t>Section Two: Microbial Dormancy</w:t>
            </w:r>
            <w:r w:rsidR="00D626D7">
              <w:rPr>
                <w:noProof/>
                <w:webHidden/>
              </w:rPr>
              <w:tab/>
            </w:r>
            <w:r w:rsidR="00D626D7">
              <w:rPr>
                <w:noProof/>
                <w:webHidden/>
              </w:rPr>
              <w:fldChar w:fldCharType="begin"/>
            </w:r>
            <w:r w:rsidR="00D626D7">
              <w:rPr>
                <w:noProof/>
                <w:webHidden/>
              </w:rPr>
              <w:instrText xml:space="preserve"> PAGEREF _Toc58606005 \h </w:instrText>
            </w:r>
            <w:r w:rsidR="00D626D7">
              <w:rPr>
                <w:noProof/>
                <w:webHidden/>
              </w:rPr>
            </w:r>
            <w:r w:rsidR="00D626D7">
              <w:rPr>
                <w:noProof/>
                <w:webHidden/>
              </w:rPr>
              <w:fldChar w:fldCharType="separate"/>
            </w:r>
            <w:r w:rsidR="00D626D7">
              <w:rPr>
                <w:noProof/>
                <w:webHidden/>
              </w:rPr>
              <w:t>11</w:t>
            </w:r>
            <w:r w:rsidR="00D626D7">
              <w:rPr>
                <w:noProof/>
                <w:webHidden/>
              </w:rPr>
              <w:fldChar w:fldCharType="end"/>
            </w:r>
          </w:hyperlink>
        </w:p>
        <w:p w14:paraId="4BBD36B5" w14:textId="33AE8402"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6" w:history="1">
            <w:r w:rsidR="00D626D7" w:rsidRPr="0006020A">
              <w:rPr>
                <w:rStyle w:val="Hyperlink"/>
                <w:noProof/>
              </w:rPr>
              <w:t>What is microbial dormancy?</w:t>
            </w:r>
            <w:r w:rsidR="00D626D7">
              <w:rPr>
                <w:noProof/>
                <w:webHidden/>
              </w:rPr>
              <w:tab/>
            </w:r>
            <w:r w:rsidR="00D626D7">
              <w:rPr>
                <w:noProof/>
                <w:webHidden/>
              </w:rPr>
              <w:fldChar w:fldCharType="begin"/>
            </w:r>
            <w:r w:rsidR="00D626D7">
              <w:rPr>
                <w:noProof/>
                <w:webHidden/>
              </w:rPr>
              <w:instrText xml:space="preserve"> PAGEREF _Toc58606006 \h </w:instrText>
            </w:r>
            <w:r w:rsidR="00D626D7">
              <w:rPr>
                <w:noProof/>
                <w:webHidden/>
              </w:rPr>
            </w:r>
            <w:r w:rsidR="00D626D7">
              <w:rPr>
                <w:noProof/>
                <w:webHidden/>
              </w:rPr>
              <w:fldChar w:fldCharType="separate"/>
            </w:r>
            <w:r w:rsidR="00D626D7">
              <w:rPr>
                <w:noProof/>
                <w:webHidden/>
              </w:rPr>
              <w:t>11</w:t>
            </w:r>
            <w:r w:rsidR="00D626D7">
              <w:rPr>
                <w:noProof/>
                <w:webHidden/>
              </w:rPr>
              <w:fldChar w:fldCharType="end"/>
            </w:r>
          </w:hyperlink>
        </w:p>
        <w:p w14:paraId="34E8999E" w14:textId="399AAA18"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7" w:history="1">
            <w:r w:rsidR="00D626D7" w:rsidRPr="0006020A">
              <w:rPr>
                <w:rStyle w:val="Hyperlink"/>
                <w:noProof/>
              </w:rPr>
              <w:t>Why is dormancy important?</w:t>
            </w:r>
            <w:r w:rsidR="00D626D7">
              <w:rPr>
                <w:noProof/>
                <w:webHidden/>
              </w:rPr>
              <w:tab/>
            </w:r>
            <w:r w:rsidR="00D626D7">
              <w:rPr>
                <w:noProof/>
                <w:webHidden/>
              </w:rPr>
              <w:fldChar w:fldCharType="begin"/>
            </w:r>
            <w:r w:rsidR="00D626D7">
              <w:rPr>
                <w:noProof/>
                <w:webHidden/>
              </w:rPr>
              <w:instrText xml:space="preserve"> PAGEREF _Toc58606007 \h </w:instrText>
            </w:r>
            <w:r w:rsidR="00D626D7">
              <w:rPr>
                <w:noProof/>
                <w:webHidden/>
              </w:rPr>
            </w:r>
            <w:r w:rsidR="00D626D7">
              <w:rPr>
                <w:noProof/>
                <w:webHidden/>
              </w:rPr>
              <w:fldChar w:fldCharType="separate"/>
            </w:r>
            <w:r w:rsidR="00D626D7">
              <w:rPr>
                <w:noProof/>
                <w:webHidden/>
              </w:rPr>
              <w:t>12</w:t>
            </w:r>
            <w:r w:rsidR="00D626D7">
              <w:rPr>
                <w:noProof/>
                <w:webHidden/>
              </w:rPr>
              <w:fldChar w:fldCharType="end"/>
            </w:r>
          </w:hyperlink>
        </w:p>
        <w:p w14:paraId="5A5A1066" w14:textId="28156FA2"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8" w:history="1">
            <w:r w:rsidR="00D626D7" w:rsidRPr="0006020A">
              <w:rPr>
                <w:rStyle w:val="Hyperlink"/>
                <w:noProof/>
              </w:rPr>
              <w:t>Are there dormant individuals in cryoconite holes? How does this differ between eukaryotic/prokaryotic organisms? How might this differ temporally?</w:t>
            </w:r>
            <w:r w:rsidR="00D626D7">
              <w:rPr>
                <w:noProof/>
                <w:webHidden/>
              </w:rPr>
              <w:tab/>
            </w:r>
            <w:r w:rsidR="00D626D7">
              <w:rPr>
                <w:noProof/>
                <w:webHidden/>
              </w:rPr>
              <w:fldChar w:fldCharType="begin"/>
            </w:r>
            <w:r w:rsidR="00D626D7">
              <w:rPr>
                <w:noProof/>
                <w:webHidden/>
              </w:rPr>
              <w:instrText xml:space="preserve"> PAGEREF _Toc58606008 \h </w:instrText>
            </w:r>
            <w:r w:rsidR="00D626D7">
              <w:rPr>
                <w:noProof/>
                <w:webHidden/>
              </w:rPr>
            </w:r>
            <w:r w:rsidR="00D626D7">
              <w:rPr>
                <w:noProof/>
                <w:webHidden/>
              </w:rPr>
              <w:fldChar w:fldCharType="separate"/>
            </w:r>
            <w:r w:rsidR="00D626D7">
              <w:rPr>
                <w:noProof/>
                <w:webHidden/>
              </w:rPr>
              <w:t>13</w:t>
            </w:r>
            <w:r w:rsidR="00D626D7">
              <w:rPr>
                <w:noProof/>
                <w:webHidden/>
              </w:rPr>
              <w:fldChar w:fldCharType="end"/>
            </w:r>
          </w:hyperlink>
        </w:p>
        <w:p w14:paraId="4C33F644" w14:textId="36A68192"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09" w:history="1">
            <w:r w:rsidR="00D626D7" w:rsidRPr="0006020A">
              <w:rPr>
                <w:rStyle w:val="Hyperlink"/>
                <w:noProof/>
              </w:rPr>
              <w:t>Will incidence of microbial dormancy change as a result of climate change and what are the implications?</w:t>
            </w:r>
            <w:r w:rsidR="00D626D7">
              <w:rPr>
                <w:noProof/>
                <w:webHidden/>
              </w:rPr>
              <w:tab/>
            </w:r>
            <w:r w:rsidR="00D626D7">
              <w:rPr>
                <w:noProof/>
                <w:webHidden/>
              </w:rPr>
              <w:fldChar w:fldCharType="begin"/>
            </w:r>
            <w:r w:rsidR="00D626D7">
              <w:rPr>
                <w:noProof/>
                <w:webHidden/>
              </w:rPr>
              <w:instrText xml:space="preserve"> PAGEREF _Toc58606009 \h </w:instrText>
            </w:r>
            <w:r w:rsidR="00D626D7">
              <w:rPr>
                <w:noProof/>
                <w:webHidden/>
              </w:rPr>
            </w:r>
            <w:r w:rsidR="00D626D7">
              <w:rPr>
                <w:noProof/>
                <w:webHidden/>
              </w:rPr>
              <w:fldChar w:fldCharType="separate"/>
            </w:r>
            <w:r w:rsidR="00D626D7">
              <w:rPr>
                <w:noProof/>
                <w:webHidden/>
              </w:rPr>
              <w:t>13</w:t>
            </w:r>
            <w:r w:rsidR="00D626D7">
              <w:rPr>
                <w:noProof/>
                <w:webHidden/>
              </w:rPr>
              <w:fldChar w:fldCharType="end"/>
            </w:r>
          </w:hyperlink>
        </w:p>
        <w:p w14:paraId="007B670C" w14:textId="0B0C9395"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10" w:history="1">
            <w:r w:rsidR="00D626D7" w:rsidRPr="0006020A">
              <w:rPr>
                <w:rStyle w:val="Hyperlink"/>
                <w:noProof/>
              </w:rPr>
              <w:t>Section Three: Microbial Biogeography and Community Assembly</w:t>
            </w:r>
            <w:r w:rsidR="00D626D7">
              <w:rPr>
                <w:noProof/>
                <w:webHidden/>
              </w:rPr>
              <w:tab/>
            </w:r>
            <w:r w:rsidR="00D626D7">
              <w:rPr>
                <w:noProof/>
                <w:webHidden/>
              </w:rPr>
              <w:fldChar w:fldCharType="begin"/>
            </w:r>
            <w:r w:rsidR="00D626D7">
              <w:rPr>
                <w:noProof/>
                <w:webHidden/>
              </w:rPr>
              <w:instrText xml:space="preserve"> PAGEREF _Toc58606010 \h </w:instrText>
            </w:r>
            <w:r w:rsidR="00D626D7">
              <w:rPr>
                <w:noProof/>
                <w:webHidden/>
              </w:rPr>
            </w:r>
            <w:r w:rsidR="00D626D7">
              <w:rPr>
                <w:noProof/>
                <w:webHidden/>
              </w:rPr>
              <w:fldChar w:fldCharType="separate"/>
            </w:r>
            <w:r w:rsidR="00D626D7">
              <w:rPr>
                <w:noProof/>
                <w:webHidden/>
              </w:rPr>
              <w:t>14</w:t>
            </w:r>
            <w:r w:rsidR="00D626D7">
              <w:rPr>
                <w:noProof/>
                <w:webHidden/>
              </w:rPr>
              <w:fldChar w:fldCharType="end"/>
            </w:r>
          </w:hyperlink>
        </w:p>
        <w:p w14:paraId="192CF0C2" w14:textId="1105496A"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1" w:history="1">
            <w:r w:rsidR="00D626D7" w:rsidRPr="0006020A">
              <w:rPr>
                <w:rStyle w:val="Hyperlink"/>
                <w:noProof/>
              </w:rPr>
              <w:t>Why are community assembly processes important to understand?</w:t>
            </w:r>
            <w:r w:rsidR="00D626D7">
              <w:rPr>
                <w:noProof/>
                <w:webHidden/>
              </w:rPr>
              <w:tab/>
            </w:r>
            <w:r w:rsidR="00D626D7">
              <w:rPr>
                <w:noProof/>
                <w:webHidden/>
              </w:rPr>
              <w:fldChar w:fldCharType="begin"/>
            </w:r>
            <w:r w:rsidR="00D626D7">
              <w:rPr>
                <w:noProof/>
                <w:webHidden/>
              </w:rPr>
              <w:instrText xml:space="preserve"> PAGEREF _Toc58606011 \h </w:instrText>
            </w:r>
            <w:r w:rsidR="00D626D7">
              <w:rPr>
                <w:noProof/>
                <w:webHidden/>
              </w:rPr>
            </w:r>
            <w:r w:rsidR="00D626D7">
              <w:rPr>
                <w:noProof/>
                <w:webHidden/>
              </w:rPr>
              <w:fldChar w:fldCharType="separate"/>
            </w:r>
            <w:r w:rsidR="00D626D7">
              <w:rPr>
                <w:noProof/>
                <w:webHidden/>
              </w:rPr>
              <w:t>14</w:t>
            </w:r>
            <w:r w:rsidR="00D626D7">
              <w:rPr>
                <w:noProof/>
                <w:webHidden/>
              </w:rPr>
              <w:fldChar w:fldCharType="end"/>
            </w:r>
          </w:hyperlink>
        </w:p>
        <w:p w14:paraId="6C1CFB32" w14:textId="606A4196"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2" w:history="1">
            <w:r w:rsidR="00D626D7" w:rsidRPr="0006020A">
              <w:rPr>
                <w:rStyle w:val="Hyperlink"/>
                <w:noProof/>
              </w:rPr>
              <w:t>Deterministic Mechanisms: What are deterministic processes of community assembly and Why are they important?</w:t>
            </w:r>
            <w:r w:rsidR="00D626D7">
              <w:rPr>
                <w:noProof/>
                <w:webHidden/>
              </w:rPr>
              <w:tab/>
            </w:r>
            <w:r w:rsidR="00D626D7">
              <w:rPr>
                <w:noProof/>
                <w:webHidden/>
              </w:rPr>
              <w:fldChar w:fldCharType="begin"/>
            </w:r>
            <w:r w:rsidR="00D626D7">
              <w:rPr>
                <w:noProof/>
                <w:webHidden/>
              </w:rPr>
              <w:instrText xml:space="preserve"> PAGEREF _Toc58606012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2EDDA5C3" w14:textId="05B122CB"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3" w:history="1">
            <w:r w:rsidR="00D626D7" w:rsidRPr="0006020A">
              <w:rPr>
                <w:rStyle w:val="Hyperlink"/>
                <w:noProof/>
              </w:rPr>
              <w:t>Do deterministic processes influence cryoconite holes?</w:t>
            </w:r>
            <w:r w:rsidR="00D626D7">
              <w:rPr>
                <w:noProof/>
                <w:webHidden/>
              </w:rPr>
              <w:tab/>
            </w:r>
            <w:r w:rsidR="00D626D7">
              <w:rPr>
                <w:noProof/>
                <w:webHidden/>
              </w:rPr>
              <w:fldChar w:fldCharType="begin"/>
            </w:r>
            <w:r w:rsidR="00D626D7">
              <w:rPr>
                <w:noProof/>
                <w:webHidden/>
              </w:rPr>
              <w:instrText xml:space="preserve"> PAGEREF _Toc58606013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082CFDFD" w14:textId="6B4DDC2D"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4" w:history="1">
            <w:r w:rsidR="00D626D7" w:rsidRPr="0006020A">
              <w:rPr>
                <w:rStyle w:val="Hyperlink"/>
                <w:noProof/>
              </w:rPr>
              <w:t>How might dormancy affect deterministic processes of community assembly?</w:t>
            </w:r>
            <w:r w:rsidR="00D626D7">
              <w:rPr>
                <w:noProof/>
                <w:webHidden/>
              </w:rPr>
              <w:tab/>
            </w:r>
            <w:r w:rsidR="00D626D7">
              <w:rPr>
                <w:noProof/>
                <w:webHidden/>
              </w:rPr>
              <w:fldChar w:fldCharType="begin"/>
            </w:r>
            <w:r w:rsidR="00D626D7">
              <w:rPr>
                <w:noProof/>
                <w:webHidden/>
              </w:rPr>
              <w:instrText xml:space="preserve"> PAGEREF _Toc58606014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411885B6" w14:textId="4D4307B2"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5" w:history="1">
            <w:r w:rsidR="00D626D7" w:rsidRPr="0006020A">
              <w:rPr>
                <w:rStyle w:val="Hyperlink"/>
                <w:noProof/>
              </w:rPr>
              <w:t>Stochastic Mechanisms</w:t>
            </w:r>
            <w:r w:rsidR="00D626D7">
              <w:rPr>
                <w:noProof/>
                <w:webHidden/>
              </w:rPr>
              <w:tab/>
            </w:r>
            <w:r w:rsidR="00D626D7">
              <w:rPr>
                <w:noProof/>
                <w:webHidden/>
              </w:rPr>
              <w:fldChar w:fldCharType="begin"/>
            </w:r>
            <w:r w:rsidR="00D626D7">
              <w:rPr>
                <w:noProof/>
                <w:webHidden/>
              </w:rPr>
              <w:instrText xml:space="preserve"> PAGEREF _Toc58606015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64CE76CC" w14:textId="096D9436"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6" w:history="1">
            <w:r w:rsidR="00D626D7" w:rsidRPr="0006020A">
              <w:rPr>
                <w:rStyle w:val="Hyperlink"/>
                <w:noProof/>
              </w:rPr>
              <w:t>Island Biogeography and Ecological Neutral Theory</w:t>
            </w:r>
            <w:r w:rsidR="00D626D7">
              <w:rPr>
                <w:noProof/>
                <w:webHidden/>
              </w:rPr>
              <w:tab/>
            </w:r>
            <w:r w:rsidR="00D626D7">
              <w:rPr>
                <w:noProof/>
                <w:webHidden/>
              </w:rPr>
              <w:fldChar w:fldCharType="begin"/>
            </w:r>
            <w:r w:rsidR="00D626D7">
              <w:rPr>
                <w:noProof/>
                <w:webHidden/>
              </w:rPr>
              <w:instrText xml:space="preserve"> PAGEREF _Toc58606016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5FB06E96" w14:textId="463BE973"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7" w:history="1">
            <w:r w:rsidR="00D626D7" w:rsidRPr="0006020A">
              <w:rPr>
                <w:rStyle w:val="Hyperlink"/>
                <w:noProof/>
              </w:rPr>
              <w:t>Do stochastic processes influence cryoconite holes?</w:t>
            </w:r>
            <w:r w:rsidR="00D626D7">
              <w:rPr>
                <w:noProof/>
                <w:webHidden/>
              </w:rPr>
              <w:tab/>
            </w:r>
            <w:r w:rsidR="00D626D7">
              <w:rPr>
                <w:noProof/>
                <w:webHidden/>
              </w:rPr>
              <w:fldChar w:fldCharType="begin"/>
            </w:r>
            <w:r w:rsidR="00D626D7">
              <w:rPr>
                <w:noProof/>
                <w:webHidden/>
              </w:rPr>
              <w:instrText xml:space="preserve"> PAGEREF _Toc58606017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0E8F61B6" w14:textId="6DE75D15"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8" w:history="1">
            <w:r w:rsidR="00D626D7" w:rsidRPr="0006020A">
              <w:rPr>
                <w:rStyle w:val="Hyperlink"/>
                <w:noProof/>
              </w:rPr>
              <w:t>How might dormancy affect stochastic processes of community assembly?</w:t>
            </w:r>
            <w:r w:rsidR="00D626D7">
              <w:rPr>
                <w:noProof/>
                <w:webHidden/>
              </w:rPr>
              <w:tab/>
            </w:r>
            <w:r w:rsidR="00D626D7">
              <w:rPr>
                <w:noProof/>
                <w:webHidden/>
              </w:rPr>
              <w:fldChar w:fldCharType="begin"/>
            </w:r>
            <w:r w:rsidR="00D626D7">
              <w:rPr>
                <w:noProof/>
                <w:webHidden/>
              </w:rPr>
              <w:instrText xml:space="preserve"> PAGEREF _Toc58606018 \h </w:instrText>
            </w:r>
            <w:r w:rsidR="00D626D7">
              <w:rPr>
                <w:noProof/>
                <w:webHidden/>
              </w:rPr>
            </w:r>
            <w:r w:rsidR="00D626D7">
              <w:rPr>
                <w:noProof/>
                <w:webHidden/>
              </w:rPr>
              <w:fldChar w:fldCharType="separate"/>
            </w:r>
            <w:r w:rsidR="00D626D7">
              <w:rPr>
                <w:noProof/>
                <w:webHidden/>
              </w:rPr>
              <w:t>16</w:t>
            </w:r>
            <w:r w:rsidR="00D626D7">
              <w:rPr>
                <w:noProof/>
                <w:webHidden/>
              </w:rPr>
              <w:fldChar w:fldCharType="end"/>
            </w:r>
          </w:hyperlink>
        </w:p>
        <w:p w14:paraId="2DA44834" w14:textId="47B6C757"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19" w:history="1">
            <w:r w:rsidR="00D626D7" w:rsidRPr="0006020A">
              <w:rPr>
                <w:rStyle w:val="Hyperlink"/>
                <w:noProof/>
              </w:rPr>
              <w:t>Why are islands good for studying community assembly processes?</w:t>
            </w:r>
            <w:r w:rsidR="00D626D7">
              <w:rPr>
                <w:noProof/>
                <w:webHidden/>
              </w:rPr>
              <w:tab/>
            </w:r>
            <w:r w:rsidR="00D626D7">
              <w:rPr>
                <w:noProof/>
                <w:webHidden/>
              </w:rPr>
              <w:fldChar w:fldCharType="begin"/>
            </w:r>
            <w:r w:rsidR="00D626D7">
              <w:rPr>
                <w:noProof/>
                <w:webHidden/>
              </w:rPr>
              <w:instrText xml:space="preserve"> PAGEREF _Toc58606019 \h </w:instrText>
            </w:r>
            <w:r w:rsidR="00D626D7">
              <w:rPr>
                <w:noProof/>
                <w:webHidden/>
              </w:rPr>
            </w:r>
            <w:r w:rsidR="00D626D7">
              <w:rPr>
                <w:noProof/>
                <w:webHidden/>
              </w:rPr>
              <w:fldChar w:fldCharType="separate"/>
            </w:r>
            <w:r w:rsidR="00D626D7">
              <w:rPr>
                <w:noProof/>
                <w:webHidden/>
              </w:rPr>
              <w:t>17</w:t>
            </w:r>
            <w:r w:rsidR="00D626D7">
              <w:rPr>
                <w:noProof/>
                <w:webHidden/>
              </w:rPr>
              <w:fldChar w:fldCharType="end"/>
            </w:r>
          </w:hyperlink>
        </w:p>
        <w:p w14:paraId="1272B881" w14:textId="7419C393"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0" w:history="1">
            <w:r w:rsidR="00D626D7" w:rsidRPr="0006020A">
              <w:rPr>
                <w:rStyle w:val="Hyperlink"/>
                <w:noProof/>
              </w:rPr>
              <w:t>Are cryoconite holes island-like?</w:t>
            </w:r>
            <w:r w:rsidR="00D626D7">
              <w:rPr>
                <w:noProof/>
                <w:webHidden/>
              </w:rPr>
              <w:tab/>
            </w:r>
            <w:r w:rsidR="00D626D7">
              <w:rPr>
                <w:noProof/>
                <w:webHidden/>
              </w:rPr>
              <w:fldChar w:fldCharType="begin"/>
            </w:r>
            <w:r w:rsidR="00D626D7">
              <w:rPr>
                <w:noProof/>
                <w:webHidden/>
              </w:rPr>
              <w:instrText xml:space="preserve"> PAGEREF _Toc58606020 \h </w:instrText>
            </w:r>
            <w:r w:rsidR="00D626D7">
              <w:rPr>
                <w:noProof/>
                <w:webHidden/>
              </w:rPr>
            </w:r>
            <w:r w:rsidR="00D626D7">
              <w:rPr>
                <w:noProof/>
                <w:webHidden/>
              </w:rPr>
              <w:fldChar w:fldCharType="separate"/>
            </w:r>
            <w:r w:rsidR="00D626D7">
              <w:rPr>
                <w:noProof/>
                <w:webHidden/>
              </w:rPr>
              <w:t>17</w:t>
            </w:r>
            <w:r w:rsidR="00D626D7">
              <w:rPr>
                <w:noProof/>
                <w:webHidden/>
              </w:rPr>
              <w:fldChar w:fldCharType="end"/>
            </w:r>
          </w:hyperlink>
        </w:p>
        <w:p w14:paraId="561CD686" w14:textId="1CDC0309"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1" w:history="1">
            <w:r w:rsidR="00D626D7" w:rsidRPr="0006020A">
              <w:rPr>
                <w:rStyle w:val="Hyperlink"/>
                <w:noProof/>
              </w:rPr>
              <w:t>What are the implications of dormancy for the principals of island biogeography?</w:t>
            </w:r>
            <w:r w:rsidR="00D626D7">
              <w:rPr>
                <w:noProof/>
                <w:webHidden/>
              </w:rPr>
              <w:tab/>
            </w:r>
            <w:r w:rsidR="00D626D7">
              <w:rPr>
                <w:noProof/>
                <w:webHidden/>
              </w:rPr>
              <w:fldChar w:fldCharType="begin"/>
            </w:r>
            <w:r w:rsidR="00D626D7">
              <w:rPr>
                <w:noProof/>
                <w:webHidden/>
              </w:rPr>
              <w:instrText xml:space="preserve"> PAGEREF _Toc58606021 \h </w:instrText>
            </w:r>
            <w:r w:rsidR="00D626D7">
              <w:rPr>
                <w:noProof/>
                <w:webHidden/>
              </w:rPr>
            </w:r>
            <w:r w:rsidR="00D626D7">
              <w:rPr>
                <w:noProof/>
                <w:webHidden/>
              </w:rPr>
              <w:fldChar w:fldCharType="separate"/>
            </w:r>
            <w:r w:rsidR="00D626D7">
              <w:rPr>
                <w:noProof/>
                <w:webHidden/>
              </w:rPr>
              <w:t>17</w:t>
            </w:r>
            <w:r w:rsidR="00D626D7">
              <w:rPr>
                <w:noProof/>
                <w:webHidden/>
              </w:rPr>
              <w:fldChar w:fldCharType="end"/>
            </w:r>
          </w:hyperlink>
        </w:p>
        <w:p w14:paraId="2B5EAC38" w14:textId="3698887A"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2" w:history="1">
            <w:r w:rsidR="00D626D7" w:rsidRPr="0006020A">
              <w:rPr>
                <w:rStyle w:val="Hyperlink"/>
                <w:noProof/>
              </w:rPr>
              <w:t>How might dormancy impact community assembly processes?</w:t>
            </w:r>
            <w:r w:rsidR="00D626D7">
              <w:rPr>
                <w:noProof/>
                <w:webHidden/>
              </w:rPr>
              <w:tab/>
            </w:r>
            <w:r w:rsidR="00D626D7">
              <w:rPr>
                <w:noProof/>
                <w:webHidden/>
              </w:rPr>
              <w:fldChar w:fldCharType="begin"/>
            </w:r>
            <w:r w:rsidR="00D626D7">
              <w:rPr>
                <w:noProof/>
                <w:webHidden/>
              </w:rPr>
              <w:instrText xml:space="preserve"> PAGEREF _Toc58606022 \h </w:instrText>
            </w:r>
            <w:r w:rsidR="00D626D7">
              <w:rPr>
                <w:noProof/>
                <w:webHidden/>
              </w:rPr>
            </w:r>
            <w:r w:rsidR="00D626D7">
              <w:rPr>
                <w:noProof/>
                <w:webHidden/>
              </w:rPr>
              <w:fldChar w:fldCharType="separate"/>
            </w:r>
            <w:r w:rsidR="00D626D7">
              <w:rPr>
                <w:noProof/>
                <w:webHidden/>
              </w:rPr>
              <w:t>18</w:t>
            </w:r>
            <w:r w:rsidR="00D626D7">
              <w:rPr>
                <w:noProof/>
                <w:webHidden/>
              </w:rPr>
              <w:fldChar w:fldCharType="end"/>
            </w:r>
          </w:hyperlink>
        </w:p>
        <w:p w14:paraId="6A01BC81" w14:textId="74B12AFF"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23" w:history="1">
            <w:r w:rsidR="00D626D7" w:rsidRPr="0006020A">
              <w:rPr>
                <w:rStyle w:val="Hyperlink"/>
                <w:noProof/>
              </w:rPr>
              <w:t>Section Four: Community Assembly and Community Structure</w:t>
            </w:r>
            <w:r w:rsidR="00D626D7">
              <w:rPr>
                <w:noProof/>
                <w:webHidden/>
              </w:rPr>
              <w:tab/>
            </w:r>
            <w:r w:rsidR="00D626D7">
              <w:rPr>
                <w:noProof/>
                <w:webHidden/>
              </w:rPr>
              <w:fldChar w:fldCharType="begin"/>
            </w:r>
            <w:r w:rsidR="00D626D7">
              <w:rPr>
                <w:noProof/>
                <w:webHidden/>
              </w:rPr>
              <w:instrText xml:space="preserve"> PAGEREF _Toc58606023 \h </w:instrText>
            </w:r>
            <w:r w:rsidR="00D626D7">
              <w:rPr>
                <w:noProof/>
                <w:webHidden/>
              </w:rPr>
            </w:r>
            <w:r w:rsidR="00D626D7">
              <w:rPr>
                <w:noProof/>
                <w:webHidden/>
              </w:rPr>
              <w:fldChar w:fldCharType="separate"/>
            </w:r>
            <w:r w:rsidR="00D626D7">
              <w:rPr>
                <w:noProof/>
                <w:webHidden/>
              </w:rPr>
              <w:t>18</w:t>
            </w:r>
            <w:r w:rsidR="00D626D7">
              <w:rPr>
                <w:noProof/>
                <w:webHidden/>
              </w:rPr>
              <w:fldChar w:fldCharType="end"/>
            </w:r>
          </w:hyperlink>
        </w:p>
        <w:p w14:paraId="5FA98ABC" w14:textId="2D9CFF47"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4" w:history="1">
            <w:r w:rsidR="00D626D7" w:rsidRPr="0006020A">
              <w:rPr>
                <w:rStyle w:val="Hyperlink"/>
                <w:noProof/>
              </w:rPr>
              <w:t>Does community assembly affect community structure?</w:t>
            </w:r>
            <w:r w:rsidR="00D626D7">
              <w:rPr>
                <w:noProof/>
                <w:webHidden/>
              </w:rPr>
              <w:tab/>
            </w:r>
            <w:r w:rsidR="00D626D7">
              <w:rPr>
                <w:noProof/>
                <w:webHidden/>
              </w:rPr>
              <w:fldChar w:fldCharType="begin"/>
            </w:r>
            <w:r w:rsidR="00D626D7">
              <w:rPr>
                <w:noProof/>
                <w:webHidden/>
              </w:rPr>
              <w:instrText xml:space="preserve"> PAGEREF _Toc58606024 \h </w:instrText>
            </w:r>
            <w:r w:rsidR="00D626D7">
              <w:rPr>
                <w:noProof/>
                <w:webHidden/>
              </w:rPr>
            </w:r>
            <w:r w:rsidR="00D626D7">
              <w:rPr>
                <w:noProof/>
                <w:webHidden/>
              </w:rPr>
              <w:fldChar w:fldCharType="separate"/>
            </w:r>
            <w:r w:rsidR="00D626D7">
              <w:rPr>
                <w:noProof/>
                <w:webHidden/>
              </w:rPr>
              <w:t>18</w:t>
            </w:r>
            <w:r w:rsidR="00D626D7">
              <w:rPr>
                <w:noProof/>
                <w:webHidden/>
              </w:rPr>
              <w:fldChar w:fldCharType="end"/>
            </w:r>
          </w:hyperlink>
        </w:p>
        <w:p w14:paraId="063C4164" w14:textId="717DEF83"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25" w:history="1">
            <w:r w:rsidR="00D626D7" w:rsidRPr="0006020A">
              <w:rPr>
                <w:rStyle w:val="Hyperlink"/>
                <w:noProof/>
              </w:rPr>
              <w:t>Section Five: Community Structure and Function</w:t>
            </w:r>
            <w:r w:rsidR="00D626D7">
              <w:rPr>
                <w:noProof/>
                <w:webHidden/>
              </w:rPr>
              <w:tab/>
            </w:r>
            <w:r w:rsidR="00D626D7">
              <w:rPr>
                <w:noProof/>
                <w:webHidden/>
              </w:rPr>
              <w:fldChar w:fldCharType="begin"/>
            </w:r>
            <w:r w:rsidR="00D626D7">
              <w:rPr>
                <w:noProof/>
                <w:webHidden/>
              </w:rPr>
              <w:instrText xml:space="preserve"> PAGEREF _Toc58606025 \h </w:instrText>
            </w:r>
            <w:r w:rsidR="00D626D7">
              <w:rPr>
                <w:noProof/>
                <w:webHidden/>
              </w:rPr>
            </w:r>
            <w:r w:rsidR="00D626D7">
              <w:rPr>
                <w:noProof/>
                <w:webHidden/>
              </w:rPr>
              <w:fldChar w:fldCharType="separate"/>
            </w:r>
            <w:r w:rsidR="00D626D7">
              <w:rPr>
                <w:noProof/>
                <w:webHidden/>
              </w:rPr>
              <w:t>18</w:t>
            </w:r>
            <w:r w:rsidR="00D626D7">
              <w:rPr>
                <w:noProof/>
                <w:webHidden/>
              </w:rPr>
              <w:fldChar w:fldCharType="end"/>
            </w:r>
          </w:hyperlink>
        </w:p>
        <w:p w14:paraId="50A54CCE" w14:textId="501160E7"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6" w:history="1">
            <w:r w:rsidR="00D626D7" w:rsidRPr="0006020A">
              <w:rPr>
                <w:rStyle w:val="Hyperlink"/>
                <w:noProof/>
              </w:rPr>
              <w:t>Does cryoconite community structure affect function or are they functionally redundant?</w:t>
            </w:r>
            <w:r w:rsidR="00D626D7">
              <w:rPr>
                <w:noProof/>
                <w:webHidden/>
              </w:rPr>
              <w:tab/>
            </w:r>
            <w:r w:rsidR="00D626D7">
              <w:rPr>
                <w:noProof/>
                <w:webHidden/>
              </w:rPr>
              <w:fldChar w:fldCharType="begin"/>
            </w:r>
            <w:r w:rsidR="00D626D7">
              <w:rPr>
                <w:noProof/>
                <w:webHidden/>
              </w:rPr>
              <w:instrText xml:space="preserve"> PAGEREF _Toc58606026 \h </w:instrText>
            </w:r>
            <w:r w:rsidR="00D626D7">
              <w:rPr>
                <w:noProof/>
                <w:webHidden/>
              </w:rPr>
            </w:r>
            <w:r w:rsidR="00D626D7">
              <w:rPr>
                <w:noProof/>
                <w:webHidden/>
              </w:rPr>
              <w:fldChar w:fldCharType="separate"/>
            </w:r>
            <w:r w:rsidR="00D626D7">
              <w:rPr>
                <w:noProof/>
                <w:webHidden/>
              </w:rPr>
              <w:t>18</w:t>
            </w:r>
            <w:r w:rsidR="00D626D7">
              <w:rPr>
                <w:noProof/>
                <w:webHidden/>
              </w:rPr>
              <w:fldChar w:fldCharType="end"/>
            </w:r>
          </w:hyperlink>
        </w:p>
        <w:p w14:paraId="70804C81" w14:textId="287BB8CC"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27" w:history="1">
            <w:r w:rsidR="00D626D7" w:rsidRPr="0006020A">
              <w:rPr>
                <w:rStyle w:val="Hyperlink"/>
                <w:noProof/>
              </w:rPr>
              <w:t>Section Six: Community Function and Ecosystem Functioning</w:t>
            </w:r>
            <w:r w:rsidR="00D626D7">
              <w:rPr>
                <w:noProof/>
                <w:webHidden/>
              </w:rPr>
              <w:tab/>
            </w:r>
            <w:r w:rsidR="00D626D7">
              <w:rPr>
                <w:noProof/>
                <w:webHidden/>
              </w:rPr>
              <w:fldChar w:fldCharType="begin"/>
            </w:r>
            <w:r w:rsidR="00D626D7">
              <w:rPr>
                <w:noProof/>
                <w:webHidden/>
              </w:rPr>
              <w:instrText xml:space="preserve"> PAGEREF _Toc58606027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0503F09F" w14:textId="16949D4A"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28" w:history="1">
            <w:r w:rsidR="00D626D7" w:rsidRPr="0006020A">
              <w:rPr>
                <w:rStyle w:val="Hyperlink"/>
                <w:noProof/>
              </w:rPr>
              <w:t>How can community function in cryoconite holes affect ecosystem functioning?</w:t>
            </w:r>
            <w:r w:rsidR="00D626D7">
              <w:rPr>
                <w:noProof/>
                <w:webHidden/>
              </w:rPr>
              <w:tab/>
            </w:r>
            <w:r w:rsidR="00D626D7">
              <w:rPr>
                <w:noProof/>
                <w:webHidden/>
              </w:rPr>
              <w:fldChar w:fldCharType="begin"/>
            </w:r>
            <w:r w:rsidR="00D626D7">
              <w:rPr>
                <w:noProof/>
                <w:webHidden/>
              </w:rPr>
              <w:instrText xml:space="preserve"> PAGEREF _Toc58606028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0332ABB4" w14:textId="67586825"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29" w:history="1">
            <w:r w:rsidR="00D626D7" w:rsidRPr="0006020A">
              <w:rPr>
                <w:rStyle w:val="Hyperlink"/>
                <w:noProof/>
              </w:rPr>
              <w:t>Section Seven: Climate Change Implications</w:t>
            </w:r>
            <w:r w:rsidR="00D626D7">
              <w:rPr>
                <w:noProof/>
                <w:webHidden/>
              </w:rPr>
              <w:tab/>
            </w:r>
            <w:r w:rsidR="00D626D7">
              <w:rPr>
                <w:noProof/>
                <w:webHidden/>
              </w:rPr>
              <w:fldChar w:fldCharType="begin"/>
            </w:r>
            <w:r w:rsidR="00D626D7">
              <w:rPr>
                <w:noProof/>
                <w:webHidden/>
              </w:rPr>
              <w:instrText xml:space="preserve"> PAGEREF _Toc58606029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49F1C4BF" w14:textId="0B7616CE"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30" w:history="1">
            <w:r w:rsidR="00D626D7" w:rsidRPr="0006020A">
              <w:rPr>
                <w:rStyle w:val="Hyperlink"/>
                <w:noProof/>
              </w:rPr>
              <w:t>How will warming temperatures affect dormancy in cryoconite holes?</w:t>
            </w:r>
            <w:r w:rsidR="00D626D7">
              <w:rPr>
                <w:noProof/>
                <w:webHidden/>
              </w:rPr>
              <w:tab/>
            </w:r>
            <w:r w:rsidR="00D626D7">
              <w:rPr>
                <w:noProof/>
                <w:webHidden/>
              </w:rPr>
              <w:fldChar w:fldCharType="begin"/>
            </w:r>
            <w:r w:rsidR="00D626D7">
              <w:rPr>
                <w:noProof/>
                <w:webHidden/>
              </w:rPr>
              <w:instrText xml:space="preserve"> PAGEREF _Toc58606030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5B15C19B" w14:textId="65CB075E"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31" w:history="1">
            <w:r w:rsidR="00D626D7" w:rsidRPr="0006020A">
              <w:rPr>
                <w:rStyle w:val="Hyperlink"/>
                <w:noProof/>
              </w:rPr>
              <w:t>Will decreasing dormancy influence biogeochemical processes within cryoconite holes?</w:t>
            </w:r>
            <w:r w:rsidR="00D626D7">
              <w:rPr>
                <w:noProof/>
                <w:webHidden/>
              </w:rPr>
              <w:tab/>
            </w:r>
            <w:r w:rsidR="00D626D7">
              <w:rPr>
                <w:noProof/>
                <w:webHidden/>
              </w:rPr>
              <w:fldChar w:fldCharType="begin"/>
            </w:r>
            <w:r w:rsidR="00D626D7">
              <w:rPr>
                <w:noProof/>
                <w:webHidden/>
              </w:rPr>
              <w:instrText xml:space="preserve"> PAGEREF _Toc58606031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6CB14F91" w14:textId="2D17BFCE"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32" w:history="1">
            <w:r w:rsidR="00D626D7" w:rsidRPr="0006020A">
              <w:rPr>
                <w:rStyle w:val="Hyperlink"/>
                <w:noProof/>
              </w:rPr>
              <w:t>How will warming temperatures affect the size, abundance and distribution of cryoconite holes?</w:t>
            </w:r>
            <w:r w:rsidR="00D626D7">
              <w:rPr>
                <w:noProof/>
                <w:webHidden/>
              </w:rPr>
              <w:tab/>
            </w:r>
            <w:r w:rsidR="00D626D7">
              <w:rPr>
                <w:noProof/>
                <w:webHidden/>
              </w:rPr>
              <w:fldChar w:fldCharType="begin"/>
            </w:r>
            <w:r w:rsidR="00D626D7">
              <w:rPr>
                <w:noProof/>
                <w:webHidden/>
              </w:rPr>
              <w:instrText xml:space="preserve"> PAGEREF _Toc58606032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69465BF8" w14:textId="6FEDD45B" w:rsidR="00D626D7" w:rsidRDefault="00A57BC7">
          <w:pPr>
            <w:pStyle w:val="TOC3"/>
            <w:tabs>
              <w:tab w:val="right" w:leader="dot" w:pos="9011"/>
            </w:tabs>
            <w:rPr>
              <w:rFonts w:asciiTheme="minorHAnsi" w:eastAsiaTheme="minorEastAsia" w:hAnsiTheme="minorHAnsi" w:cstheme="minorBidi"/>
              <w:noProof/>
              <w:sz w:val="24"/>
              <w:szCs w:val="24"/>
            </w:rPr>
          </w:pPr>
          <w:hyperlink w:anchor="_Toc58606033" w:history="1">
            <w:r w:rsidR="00D626D7" w:rsidRPr="0006020A">
              <w:rPr>
                <w:rStyle w:val="Hyperlink"/>
                <w:noProof/>
              </w:rPr>
              <w:t>What could this mean for carbon cycling across glaciers?</w:t>
            </w:r>
            <w:r w:rsidR="00D626D7">
              <w:rPr>
                <w:noProof/>
                <w:webHidden/>
              </w:rPr>
              <w:tab/>
            </w:r>
            <w:r w:rsidR="00D626D7">
              <w:rPr>
                <w:noProof/>
                <w:webHidden/>
              </w:rPr>
              <w:fldChar w:fldCharType="begin"/>
            </w:r>
            <w:r w:rsidR="00D626D7">
              <w:rPr>
                <w:noProof/>
                <w:webHidden/>
              </w:rPr>
              <w:instrText xml:space="preserve"> PAGEREF _Toc58606033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4B432152" w14:textId="44510541"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34" w:history="1">
            <w:r w:rsidR="00D626D7" w:rsidRPr="0006020A">
              <w:rPr>
                <w:rStyle w:val="Hyperlink"/>
                <w:noProof/>
              </w:rPr>
              <w:t>Section Eight: Implications Beyond Climate Change</w:t>
            </w:r>
            <w:r w:rsidR="00D626D7">
              <w:rPr>
                <w:noProof/>
                <w:webHidden/>
              </w:rPr>
              <w:tab/>
            </w:r>
            <w:r w:rsidR="00D626D7">
              <w:rPr>
                <w:noProof/>
                <w:webHidden/>
              </w:rPr>
              <w:fldChar w:fldCharType="begin"/>
            </w:r>
            <w:r w:rsidR="00D626D7">
              <w:rPr>
                <w:noProof/>
                <w:webHidden/>
              </w:rPr>
              <w:instrText xml:space="preserve"> PAGEREF _Toc58606034 \h </w:instrText>
            </w:r>
            <w:r w:rsidR="00D626D7">
              <w:rPr>
                <w:noProof/>
                <w:webHidden/>
              </w:rPr>
            </w:r>
            <w:r w:rsidR="00D626D7">
              <w:rPr>
                <w:noProof/>
                <w:webHidden/>
              </w:rPr>
              <w:fldChar w:fldCharType="separate"/>
            </w:r>
            <w:r w:rsidR="00D626D7">
              <w:rPr>
                <w:noProof/>
                <w:webHidden/>
              </w:rPr>
              <w:t>19</w:t>
            </w:r>
            <w:r w:rsidR="00D626D7">
              <w:rPr>
                <w:noProof/>
                <w:webHidden/>
              </w:rPr>
              <w:fldChar w:fldCharType="end"/>
            </w:r>
          </w:hyperlink>
        </w:p>
        <w:p w14:paraId="696213AA" w14:textId="687632B0" w:rsidR="00D626D7" w:rsidRDefault="00A57BC7">
          <w:pPr>
            <w:pStyle w:val="TOC1"/>
            <w:tabs>
              <w:tab w:val="right" w:leader="dot" w:pos="9011"/>
            </w:tabs>
            <w:rPr>
              <w:rFonts w:asciiTheme="minorHAnsi" w:eastAsiaTheme="minorEastAsia" w:hAnsiTheme="minorHAnsi" w:cstheme="minorBidi"/>
              <w:b w:val="0"/>
              <w:bCs w:val="0"/>
              <w:i w:val="0"/>
              <w:iCs w:val="0"/>
              <w:noProof/>
              <w:sz w:val="24"/>
              <w:szCs w:val="24"/>
            </w:rPr>
          </w:pPr>
          <w:hyperlink w:anchor="_Toc58606035" w:history="1">
            <w:r w:rsidR="00D626D7" w:rsidRPr="0006020A">
              <w:rPr>
                <w:rStyle w:val="Hyperlink"/>
                <w:noProof/>
              </w:rPr>
              <w:t>Methods</w:t>
            </w:r>
            <w:r w:rsidR="00D626D7">
              <w:rPr>
                <w:noProof/>
                <w:webHidden/>
              </w:rPr>
              <w:tab/>
            </w:r>
            <w:r w:rsidR="00D626D7">
              <w:rPr>
                <w:noProof/>
                <w:webHidden/>
              </w:rPr>
              <w:fldChar w:fldCharType="begin"/>
            </w:r>
            <w:r w:rsidR="00D626D7">
              <w:rPr>
                <w:noProof/>
                <w:webHidden/>
              </w:rPr>
              <w:instrText xml:space="preserve"> PAGEREF _Toc58606035 \h </w:instrText>
            </w:r>
            <w:r w:rsidR="00D626D7">
              <w:rPr>
                <w:noProof/>
                <w:webHidden/>
              </w:rPr>
            </w:r>
            <w:r w:rsidR="00D626D7">
              <w:rPr>
                <w:noProof/>
                <w:webHidden/>
              </w:rPr>
              <w:fldChar w:fldCharType="separate"/>
            </w:r>
            <w:r w:rsidR="00D626D7">
              <w:rPr>
                <w:noProof/>
                <w:webHidden/>
              </w:rPr>
              <w:t>20</w:t>
            </w:r>
            <w:r w:rsidR="00D626D7">
              <w:rPr>
                <w:noProof/>
                <w:webHidden/>
              </w:rPr>
              <w:fldChar w:fldCharType="end"/>
            </w:r>
          </w:hyperlink>
        </w:p>
        <w:p w14:paraId="72994888" w14:textId="57942C63"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36" w:history="1">
            <w:r w:rsidR="00D626D7" w:rsidRPr="0006020A">
              <w:rPr>
                <w:rStyle w:val="Hyperlink"/>
                <w:noProof/>
              </w:rPr>
              <w:t>A note on Ecological Network Analysis</w:t>
            </w:r>
            <w:r w:rsidR="00D626D7">
              <w:rPr>
                <w:noProof/>
                <w:webHidden/>
              </w:rPr>
              <w:tab/>
            </w:r>
            <w:r w:rsidR="00D626D7">
              <w:rPr>
                <w:noProof/>
                <w:webHidden/>
              </w:rPr>
              <w:fldChar w:fldCharType="begin"/>
            </w:r>
            <w:r w:rsidR="00D626D7">
              <w:rPr>
                <w:noProof/>
                <w:webHidden/>
              </w:rPr>
              <w:instrText xml:space="preserve"> PAGEREF _Toc58606036 \h </w:instrText>
            </w:r>
            <w:r w:rsidR="00D626D7">
              <w:rPr>
                <w:noProof/>
                <w:webHidden/>
              </w:rPr>
            </w:r>
            <w:r w:rsidR="00D626D7">
              <w:rPr>
                <w:noProof/>
                <w:webHidden/>
              </w:rPr>
              <w:fldChar w:fldCharType="separate"/>
            </w:r>
            <w:r w:rsidR="00D626D7">
              <w:rPr>
                <w:noProof/>
                <w:webHidden/>
              </w:rPr>
              <w:t>20</w:t>
            </w:r>
            <w:r w:rsidR="00D626D7">
              <w:rPr>
                <w:noProof/>
                <w:webHidden/>
              </w:rPr>
              <w:fldChar w:fldCharType="end"/>
            </w:r>
          </w:hyperlink>
        </w:p>
        <w:p w14:paraId="7D807932" w14:textId="3C03FE78"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37" w:history="1">
            <w:r w:rsidR="00D626D7" w:rsidRPr="0006020A">
              <w:rPr>
                <w:rStyle w:val="Hyperlink"/>
                <w:noProof/>
              </w:rPr>
              <w:t xml:space="preserve">Question 1: Do cryoconite holes </w:t>
            </w:r>
            <w:r w:rsidR="00D626D7" w:rsidRPr="0006020A">
              <w:rPr>
                <w:rStyle w:val="Hyperlink"/>
                <w:noProof/>
              </w:rPr>
              <w:t>e</w:t>
            </w:r>
            <w:r w:rsidR="00D626D7" w:rsidRPr="0006020A">
              <w:rPr>
                <w:rStyle w:val="Hyperlink"/>
                <w:noProof/>
              </w:rPr>
              <w:t>xhibit classic patterns of island biogeography?</w:t>
            </w:r>
            <w:r w:rsidR="00D626D7">
              <w:rPr>
                <w:noProof/>
                <w:webHidden/>
              </w:rPr>
              <w:tab/>
            </w:r>
            <w:r w:rsidR="00D626D7">
              <w:rPr>
                <w:noProof/>
                <w:webHidden/>
              </w:rPr>
              <w:fldChar w:fldCharType="begin"/>
            </w:r>
            <w:r w:rsidR="00D626D7">
              <w:rPr>
                <w:noProof/>
                <w:webHidden/>
              </w:rPr>
              <w:instrText xml:space="preserve"> PAGEREF _Toc58606037 \h </w:instrText>
            </w:r>
            <w:r w:rsidR="00D626D7">
              <w:rPr>
                <w:noProof/>
                <w:webHidden/>
              </w:rPr>
            </w:r>
            <w:r w:rsidR="00D626D7">
              <w:rPr>
                <w:noProof/>
                <w:webHidden/>
              </w:rPr>
              <w:fldChar w:fldCharType="separate"/>
            </w:r>
            <w:r w:rsidR="00D626D7">
              <w:rPr>
                <w:noProof/>
                <w:webHidden/>
              </w:rPr>
              <w:t>21</w:t>
            </w:r>
            <w:r w:rsidR="00D626D7">
              <w:rPr>
                <w:noProof/>
                <w:webHidden/>
              </w:rPr>
              <w:fldChar w:fldCharType="end"/>
            </w:r>
          </w:hyperlink>
        </w:p>
        <w:p w14:paraId="44B673AB" w14:textId="3D8293C7"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38" w:history="1">
            <w:r w:rsidR="00D626D7" w:rsidRPr="0006020A">
              <w:rPr>
                <w:rStyle w:val="Hyperlink"/>
                <w:noProof/>
              </w:rPr>
              <w:t>Question 2: What community assembly mechanisms (neutral and non-neutral) are driving community assembly across a glacier?</w:t>
            </w:r>
            <w:r w:rsidR="00D626D7">
              <w:rPr>
                <w:noProof/>
                <w:webHidden/>
              </w:rPr>
              <w:tab/>
            </w:r>
            <w:r w:rsidR="00D626D7">
              <w:rPr>
                <w:noProof/>
                <w:webHidden/>
              </w:rPr>
              <w:fldChar w:fldCharType="begin"/>
            </w:r>
            <w:r w:rsidR="00D626D7">
              <w:rPr>
                <w:noProof/>
                <w:webHidden/>
              </w:rPr>
              <w:instrText xml:space="preserve"> PAGEREF _Toc58606038 \h </w:instrText>
            </w:r>
            <w:r w:rsidR="00D626D7">
              <w:rPr>
                <w:noProof/>
                <w:webHidden/>
              </w:rPr>
            </w:r>
            <w:r w:rsidR="00D626D7">
              <w:rPr>
                <w:noProof/>
                <w:webHidden/>
              </w:rPr>
              <w:fldChar w:fldCharType="separate"/>
            </w:r>
            <w:r w:rsidR="00D626D7">
              <w:rPr>
                <w:noProof/>
                <w:webHidden/>
              </w:rPr>
              <w:t>21</w:t>
            </w:r>
            <w:r w:rsidR="00D626D7">
              <w:rPr>
                <w:noProof/>
                <w:webHidden/>
              </w:rPr>
              <w:fldChar w:fldCharType="end"/>
            </w:r>
          </w:hyperlink>
        </w:p>
        <w:p w14:paraId="26802E61" w14:textId="1842BF54"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39" w:history="1">
            <w:r w:rsidR="00D626D7" w:rsidRPr="0006020A">
              <w:rPr>
                <w:rStyle w:val="Hyperlink"/>
                <w:noProof/>
              </w:rPr>
              <w:t>Question 3: Does the relative influence of community assembly mechanisms change with cryoconite size?</w:t>
            </w:r>
            <w:r w:rsidR="00D626D7">
              <w:rPr>
                <w:noProof/>
                <w:webHidden/>
              </w:rPr>
              <w:tab/>
            </w:r>
            <w:r w:rsidR="00D626D7">
              <w:rPr>
                <w:noProof/>
                <w:webHidden/>
              </w:rPr>
              <w:fldChar w:fldCharType="begin"/>
            </w:r>
            <w:r w:rsidR="00D626D7">
              <w:rPr>
                <w:noProof/>
                <w:webHidden/>
              </w:rPr>
              <w:instrText xml:space="preserve"> PAGEREF _Toc58606039 \h </w:instrText>
            </w:r>
            <w:r w:rsidR="00D626D7">
              <w:rPr>
                <w:noProof/>
                <w:webHidden/>
              </w:rPr>
            </w:r>
            <w:r w:rsidR="00D626D7">
              <w:rPr>
                <w:noProof/>
                <w:webHidden/>
              </w:rPr>
              <w:fldChar w:fldCharType="separate"/>
            </w:r>
            <w:r w:rsidR="00D626D7">
              <w:rPr>
                <w:noProof/>
                <w:webHidden/>
              </w:rPr>
              <w:t>22</w:t>
            </w:r>
            <w:r w:rsidR="00D626D7">
              <w:rPr>
                <w:noProof/>
                <w:webHidden/>
              </w:rPr>
              <w:fldChar w:fldCharType="end"/>
            </w:r>
          </w:hyperlink>
        </w:p>
        <w:p w14:paraId="1E800F1D" w14:textId="100631BA"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0" w:history="1">
            <w:r w:rsidR="00D626D7" w:rsidRPr="0006020A">
              <w:rPr>
                <w:rStyle w:val="Hyperlink"/>
                <w:noProof/>
              </w:rPr>
              <w:t>Question 4: Does the different relative contribution of community assembly mechanisms alter community structure?</w:t>
            </w:r>
            <w:r w:rsidR="00D626D7">
              <w:rPr>
                <w:noProof/>
                <w:webHidden/>
              </w:rPr>
              <w:tab/>
            </w:r>
            <w:r w:rsidR="00D626D7">
              <w:rPr>
                <w:noProof/>
                <w:webHidden/>
              </w:rPr>
              <w:fldChar w:fldCharType="begin"/>
            </w:r>
            <w:r w:rsidR="00D626D7">
              <w:rPr>
                <w:noProof/>
                <w:webHidden/>
              </w:rPr>
              <w:instrText xml:space="preserve"> PAGEREF _Toc58606040 \h </w:instrText>
            </w:r>
            <w:r w:rsidR="00D626D7">
              <w:rPr>
                <w:noProof/>
                <w:webHidden/>
              </w:rPr>
            </w:r>
            <w:r w:rsidR="00D626D7">
              <w:rPr>
                <w:noProof/>
                <w:webHidden/>
              </w:rPr>
              <w:fldChar w:fldCharType="separate"/>
            </w:r>
            <w:r w:rsidR="00D626D7">
              <w:rPr>
                <w:noProof/>
                <w:webHidden/>
              </w:rPr>
              <w:t>22</w:t>
            </w:r>
            <w:r w:rsidR="00D626D7">
              <w:rPr>
                <w:noProof/>
                <w:webHidden/>
              </w:rPr>
              <w:fldChar w:fldCharType="end"/>
            </w:r>
          </w:hyperlink>
        </w:p>
        <w:p w14:paraId="31D09724" w14:textId="4923125B"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1" w:history="1">
            <w:r w:rsidR="00D626D7" w:rsidRPr="0006020A">
              <w:rPr>
                <w:rStyle w:val="Hyperlink"/>
                <w:noProof/>
              </w:rPr>
              <w:t>Question 5: Does differential community structure lead to functional changes within the cryoconite community?</w:t>
            </w:r>
            <w:r w:rsidR="00D626D7">
              <w:rPr>
                <w:noProof/>
                <w:webHidden/>
              </w:rPr>
              <w:tab/>
            </w:r>
            <w:r w:rsidR="00D626D7">
              <w:rPr>
                <w:noProof/>
                <w:webHidden/>
              </w:rPr>
              <w:fldChar w:fldCharType="begin"/>
            </w:r>
            <w:r w:rsidR="00D626D7">
              <w:rPr>
                <w:noProof/>
                <w:webHidden/>
              </w:rPr>
              <w:instrText xml:space="preserve"> PAGEREF _Toc58606041 \h </w:instrText>
            </w:r>
            <w:r w:rsidR="00D626D7">
              <w:rPr>
                <w:noProof/>
                <w:webHidden/>
              </w:rPr>
            </w:r>
            <w:r w:rsidR="00D626D7">
              <w:rPr>
                <w:noProof/>
                <w:webHidden/>
              </w:rPr>
              <w:fldChar w:fldCharType="separate"/>
            </w:r>
            <w:r w:rsidR="00D626D7">
              <w:rPr>
                <w:noProof/>
                <w:webHidden/>
              </w:rPr>
              <w:t>22</w:t>
            </w:r>
            <w:r w:rsidR="00D626D7">
              <w:rPr>
                <w:noProof/>
                <w:webHidden/>
              </w:rPr>
              <w:fldChar w:fldCharType="end"/>
            </w:r>
          </w:hyperlink>
        </w:p>
        <w:p w14:paraId="2A42FE1F" w14:textId="724A6E02"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2" w:history="1">
            <w:r w:rsidR="00D626D7" w:rsidRPr="0006020A">
              <w:rPr>
                <w:rStyle w:val="Hyperlink"/>
                <w:noProof/>
              </w:rPr>
              <w:t>Question 6: How does the proportion dormant individuals within a community change with increasing temperature? What is the resulting impact on biogeochemical processes?</w:t>
            </w:r>
            <w:r w:rsidR="00D626D7">
              <w:rPr>
                <w:noProof/>
                <w:webHidden/>
              </w:rPr>
              <w:tab/>
            </w:r>
            <w:r w:rsidR="00D626D7">
              <w:rPr>
                <w:noProof/>
                <w:webHidden/>
              </w:rPr>
              <w:fldChar w:fldCharType="begin"/>
            </w:r>
            <w:r w:rsidR="00D626D7">
              <w:rPr>
                <w:noProof/>
                <w:webHidden/>
              </w:rPr>
              <w:instrText xml:space="preserve"> PAGEREF _Toc58606042 \h </w:instrText>
            </w:r>
            <w:r w:rsidR="00D626D7">
              <w:rPr>
                <w:noProof/>
                <w:webHidden/>
              </w:rPr>
            </w:r>
            <w:r w:rsidR="00D626D7">
              <w:rPr>
                <w:noProof/>
                <w:webHidden/>
              </w:rPr>
              <w:fldChar w:fldCharType="separate"/>
            </w:r>
            <w:r w:rsidR="00D626D7">
              <w:rPr>
                <w:noProof/>
                <w:webHidden/>
              </w:rPr>
              <w:t>23</w:t>
            </w:r>
            <w:r w:rsidR="00D626D7">
              <w:rPr>
                <w:noProof/>
                <w:webHidden/>
              </w:rPr>
              <w:fldChar w:fldCharType="end"/>
            </w:r>
          </w:hyperlink>
        </w:p>
        <w:p w14:paraId="671BAE05" w14:textId="4460251F"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3" w:history="1">
            <w:r w:rsidR="00D626D7" w:rsidRPr="0006020A">
              <w:rPr>
                <w:rStyle w:val="Hyperlink"/>
                <w:noProof/>
              </w:rPr>
              <w:t>Question 7: Can we construct a</w:t>
            </w:r>
            <w:r w:rsidR="00D626D7" w:rsidRPr="0006020A">
              <w:rPr>
                <w:rStyle w:val="Hyperlink"/>
                <w:noProof/>
              </w:rPr>
              <w:t xml:space="preserve"> </w:t>
            </w:r>
            <w:r w:rsidR="00D626D7" w:rsidRPr="0006020A">
              <w:rPr>
                <w:rStyle w:val="Hyperlink"/>
                <w:noProof/>
              </w:rPr>
              <w:t>species interaction network of the cryoconite community, that incorporates dormancy, ﻿environmental factors and stochastic immigration-extinction events as well as spatial scaling of communities?</w:t>
            </w:r>
            <w:r w:rsidR="00D626D7">
              <w:rPr>
                <w:noProof/>
                <w:webHidden/>
              </w:rPr>
              <w:tab/>
            </w:r>
            <w:r w:rsidR="00D626D7">
              <w:rPr>
                <w:noProof/>
                <w:webHidden/>
              </w:rPr>
              <w:fldChar w:fldCharType="begin"/>
            </w:r>
            <w:r w:rsidR="00D626D7">
              <w:rPr>
                <w:noProof/>
                <w:webHidden/>
              </w:rPr>
              <w:instrText xml:space="preserve"> PAGEREF _Toc58606043 \h </w:instrText>
            </w:r>
            <w:r w:rsidR="00D626D7">
              <w:rPr>
                <w:noProof/>
                <w:webHidden/>
              </w:rPr>
            </w:r>
            <w:r w:rsidR="00D626D7">
              <w:rPr>
                <w:noProof/>
                <w:webHidden/>
              </w:rPr>
              <w:fldChar w:fldCharType="separate"/>
            </w:r>
            <w:r w:rsidR="00D626D7">
              <w:rPr>
                <w:noProof/>
                <w:webHidden/>
              </w:rPr>
              <w:t>23</w:t>
            </w:r>
            <w:r w:rsidR="00D626D7">
              <w:rPr>
                <w:noProof/>
                <w:webHidden/>
              </w:rPr>
              <w:fldChar w:fldCharType="end"/>
            </w:r>
          </w:hyperlink>
        </w:p>
        <w:p w14:paraId="2BEFEFF3" w14:textId="5FB316B4"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4" w:history="1">
            <w:r w:rsidR="00D626D7" w:rsidRPr="0006020A">
              <w:rPr>
                <w:rStyle w:val="Hyperlink"/>
                <w:noProof/>
              </w:rPr>
              <w:t>Question 8: Can we use the species interaction network to calculate the rates of biogeochemical processes across a glacier?</w:t>
            </w:r>
            <w:r w:rsidR="00D626D7">
              <w:rPr>
                <w:noProof/>
                <w:webHidden/>
              </w:rPr>
              <w:tab/>
            </w:r>
            <w:r w:rsidR="00D626D7">
              <w:rPr>
                <w:noProof/>
                <w:webHidden/>
              </w:rPr>
              <w:fldChar w:fldCharType="begin"/>
            </w:r>
            <w:r w:rsidR="00D626D7">
              <w:rPr>
                <w:noProof/>
                <w:webHidden/>
              </w:rPr>
              <w:instrText xml:space="preserve"> PAGEREF _Toc58606044 \h </w:instrText>
            </w:r>
            <w:r w:rsidR="00D626D7">
              <w:rPr>
                <w:noProof/>
                <w:webHidden/>
              </w:rPr>
            </w:r>
            <w:r w:rsidR="00D626D7">
              <w:rPr>
                <w:noProof/>
                <w:webHidden/>
              </w:rPr>
              <w:fldChar w:fldCharType="separate"/>
            </w:r>
            <w:r w:rsidR="00D626D7">
              <w:rPr>
                <w:noProof/>
                <w:webHidden/>
              </w:rPr>
              <w:t>23</w:t>
            </w:r>
            <w:r w:rsidR="00D626D7">
              <w:rPr>
                <w:noProof/>
                <w:webHidden/>
              </w:rPr>
              <w:fldChar w:fldCharType="end"/>
            </w:r>
          </w:hyperlink>
        </w:p>
        <w:p w14:paraId="2ED519F7" w14:textId="5EB6F18D"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5" w:history="1">
            <w:r w:rsidR="00D626D7" w:rsidRPr="0006020A">
              <w:rPr>
                <w:rStyle w:val="Hyperlink"/>
                <w:noProof/>
              </w:rPr>
              <w:t>Question 9: Can we use the species interaction network to calculate the rates of biogeochemical processes across a glacier under different climate change scenarios?</w:t>
            </w:r>
            <w:r w:rsidR="00D626D7">
              <w:rPr>
                <w:noProof/>
                <w:webHidden/>
              </w:rPr>
              <w:tab/>
            </w:r>
            <w:r w:rsidR="00D626D7">
              <w:rPr>
                <w:noProof/>
                <w:webHidden/>
              </w:rPr>
              <w:fldChar w:fldCharType="begin"/>
            </w:r>
            <w:r w:rsidR="00D626D7">
              <w:rPr>
                <w:noProof/>
                <w:webHidden/>
              </w:rPr>
              <w:instrText xml:space="preserve"> PAGEREF _Toc58606045 \h </w:instrText>
            </w:r>
            <w:r w:rsidR="00D626D7">
              <w:rPr>
                <w:noProof/>
                <w:webHidden/>
              </w:rPr>
            </w:r>
            <w:r w:rsidR="00D626D7">
              <w:rPr>
                <w:noProof/>
                <w:webHidden/>
              </w:rPr>
              <w:fldChar w:fldCharType="separate"/>
            </w:r>
            <w:r w:rsidR="00D626D7">
              <w:rPr>
                <w:noProof/>
                <w:webHidden/>
              </w:rPr>
              <w:t>23</w:t>
            </w:r>
            <w:r w:rsidR="00D626D7">
              <w:rPr>
                <w:noProof/>
                <w:webHidden/>
              </w:rPr>
              <w:fldChar w:fldCharType="end"/>
            </w:r>
          </w:hyperlink>
        </w:p>
        <w:p w14:paraId="4051E6A8" w14:textId="3870728B"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6" w:history="1">
            <w:r w:rsidR="00D626D7" w:rsidRPr="0006020A">
              <w:rPr>
                <w:rStyle w:val="Hyperlink"/>
                <w:noProof/>
              </w:rPr>
              <w:t>Question 10: Can we use this information to infer microbial community structure and function on icy worlds?</w:t>
            </w:r>
            <w:r w:rsidR="00D626D7">
              <w:rPr>
                <w:noProof/>
                <w:webHidden/>
              </w:rPr>
              <w:tab/>
            </w:r>
            <w:r w:rsidR="00D626D7">
              <w:rPr>
                <w:noProof/>
                <w:webHidden/>
              </w:rPr>
              <w:fldChar w:fldCharType="begin"/>
            </w:r>
            <w:r w:rsidR="00D626D7">
              <w:rPr>
                <w:noProof/>
                <w:webHidden/>
              </w:rPr>
              <w:instrText xml:space="preserve"> PAGEREF _Toc58606046 \h </w:instrText>
            </w:r>
            <w:r w:rsidR="00D626D7">
              <w:rPr>
                <w:noProof/>
                <w:webHidden/>
              </w:rPr>
            </w:r>
            <w:r w:rsidR="00D626D7">
              <w:rPr>
                <w:noProof/>
                <w:webHidden/>
              </w:rPr>
              <w:fldChar w:fldCharType="separate"/>
            </w:r>
            <w:r w:rsidR="00D626D7">
              <w:rPr>
                <w:noProof/>
                <w:webHidden/>
              </w:rPr>
              <w:t>24</w:t>
            </w:r>
            <w:r w:rsidR="00D626D7">
              <w:rPr>
                <w:noProof/>
                <w:webHidden/>
              </w:rPr>
              <w:fldChar w:fldCharType="end"/>
            </w:r>
          </w:hyperlink>
        </w:p>
        <w:p w14:paraId="210A9147" w14:textId="453B9192" w:rsidR="00D626D7" w:rsidRDefault="00A57BC7">
          <w:pPr>
            <w:pStyle w:val="TOC2"/>
            <w:tabs>
              <w:tab w:val="right" w:leader="dot" w:pos="9011"/>
            </w:tabs>
            <w:rPr>
              <w:rFonts w:asciiTheme="minorHAnsi" w:eastAsiaTheme="minorEastAsia" w:hAnsiTheme="minorHAnsi" w:cstheme="minorBidi"/>
              <w:b w:val="0"/>
              <w:bCs w:val="0"/>
              <w:noProof/>
              <w:sz w:val="24"/>
              <w:szCs w:val="24"/>
            </w:rPr>
          </w:pPr>
          <w:hyperlink w:anchor="_Toc58606047" w:history="1">
            <w:r w:rsidR="00D626D7" w:rsidRPr="0006020A">
              <w:rPr>
                <w:rStyle w:val="Hyperlink"/>
                <w:noProof/>
              </w:rPr>
              <w:t>Bibliography</w:t>
            </w:r>
            <w:r w:rsidR="00D626D7">
              <w:rPr>
                <w:noProof/>
                <w:webHidden/>
              </w:rPr>
              <w:tab/>
            </w:r>
            <w:r w:rsidR="00D626D7">
              <w:rPr>
                <w:noProof/>
                <w:webHidden/>
              </w:rPr>
              <w:fldChar w:fldCharType="begin"/>
            </w:r>
            <w:r w:rsidR="00D626D7">
              <w:rPr>
                <w:noProof/>
                <w:webHidden/>
              </w:rPr>
              <w:instrText xml:space="preserve"> PAGEREF _Toc58606047 \h </w:instrText>
            </w:r>
            <w:r w:rsidR="00D626D7">
              <w:rPr>
                <w:noProof/>
                <w:webHidden/>
              </w:rPr>
            </w:r>
            <w:r w:rsidR="00D626D7">
              <w:rPr>
                <w:noProof/>
                <w:webHidden/>
              </w:rPr>
              <w:fldChar w:fldCharType="separate"/>
            </w:r>
            <w:r w:rsidR="00D626D7">
              <w:rPr>
                <w:noProof/>
                <w:webHidden/>
              </w:rPr>
              <w:t>24</w:t>
            </w:r>
            <w:r w:rsidR="00D626D7">
              <w:rPr>
                <w:noProof/>
                <w:webHidden/>
              </w:rPr>
              <w:fldChar w:fldCharType="end"/>
            </w:r>
          </w:hyperlink>
        </w:p>
        <w:p w14:paraId="30FCEFBB" w14:textId="25C17A7C" w:rsidR="002C2DB9" w:rsidRDefault="002C2DB9">
          <w:r>
            <w:rPr>
              <w:b/>
              <w:bCs/>
              <w:noProof/>
            </w:rPr>
            <w:fldChar w:fldCharType="end"/>
          </w:r>
        </w:p>
      </w:sdtContent>
    </w:sdt>
    <w:p w14:paraId="5AAE3CA0" w14:textId="77777777" w:rsidR="002C2DB9" w:rsidRPr="002C2DB9" w:rsidRDefault="002C2DB9" w:rsidP="002C2DB9"/>
    <w:p w14:paraId="6DBCC38F" w14:textId="77777777" w:rsidR="00FF68C8" w:rsidRDefault="00FF68C8" w:rsidP="006024CB">
      <w:pPr>
        <w:pStyle w:val="Heading1"/>
      </w:pPr>
    </w:p>
    <w:p w14:paraId="7DA72587" w14:textId="77777777" w:rsidR="00FF68C8" w:rsidRDefault="00FF68C8" w:rsidP="006024CB">
      <w:pPr>
        <w:pStyle w:val="Heading1"/>
      </w:pPr>
    </w:p>
    <w:p w14:paraId="1057B17E" w14:textId="77777777" w:rsidR="00FF68C8" w:rsidRDefault="00FF68C8" w:rsidP="006024CB">
      <w:pPr>
        <w:pStyle w:val="Heading1"/>
      </w:pPr>
    </w:p>
    <w:p w14:paraId="0F40F595" w14:textId="77777777" w:rsidR="00FF68C8" w:rsidRDefault="00FF68C8" w:rsidP="006024CB">
      <w:pPr>
        <w:pStyle w:val="Heading1"/>
      </w:pPr>
    </w:p>
    <w:p w14:paraId="4A1A218E" w14:textId="77777777" w:rsidR="00FF68C8" w:rsidRDefault="00FF68C8" w:rsidP="006024CB">
      <w:pPr>
        <w:pStyle w:val="Heading1"/>
      </w:pPr>
    </w:p>
    <w:p w14:paraId="678628EA" w14:textId="77777777" w:rsidR="00FF68C8" w:rsidRDefault="00FF68C8" w:rsidP="006024CB">
      <w:pPr>
        <w:pStyle w:val="Heading1"/>
      </w:pPr>
    </w:p>
    <w:p w14:paraId="20DC7B2B" w14:textId="77777777" w:rsidR="00FF68C8" w:rsidRDefault="00FF68C8" w:rsidP="006024CB">
      <w:pPr>
        <w:pStyle w:val="Heading1"/>
      </w:pPr>
    </w:p>
    <w:p w14:paraId="456DD226" w14:textId="77777777" w:rsidR="00FF68C8" w:rsidRDefault="00FF68C8" w:rsidP="006024CB">
      <w:pPr>
        <w:pStyle w:val="Heading1"/>
      </w:pPr>
    </w:p>
    <w:p w14:paraId="10C3A0A1" w14:textId="6880FB29" w:rsidR="00BD29D5" w:rsidRDefault="006024CB" w:rsidP="006024CB">
      <w:pPr>
        <w:pStyle w:val="Heading1"/>
      </w:pPr>
      <w:bookmarkStart w:id="0" w:name="_Toc58605997"/>
      <w:r>
        <w:t>Summary</w:t>
      </w:r>
      <w:r w:rsidR="00DE3B79">
        <w:t xml:space="preserve"> </w:t>
      </w:r>
      <w:r w:rsidR="00442CCE">
        <w:t>Themes</w:t>
      </w:r>
      <w:bookmarkEnd w:id="0"/>
    </w:p>
    <w:p w14:paraId="1897D63D" w14:textId="77777777" w:rsidR="00442CCE" w:rsidRDefault="00442CCE" w:rsidP="00442CCE"/>
    <w:p w14:paraId="7CF7F2EA" w14:textId="77777777" w:rsidR="00FF68C8" w:rsidRDefault="00FF68C8" w:rsidP="00442CCE"/>
    <w:p w14:paraId="57A681DA" w14:textId="44B2CA7F" w:rsidR="00FF68C8" w:rsidRDefault="00442CCE" w:rsidP="00442CCE">
      <w:r>
        <w:rPr>
          <w:noProof/>
        </w:rPr>
        <w:lastRenderedPageBreak/>
        <w:drawing>
          <wp:inline distT="0" distB="0" distL="0" distR="0" wp14:anchorId="692C6044" wp14:editId="17C29F1F">
            <wp:extent cx="5765800" cy="7721600"/>
            <wp:effectExtent l="0" t="0" r="0" b="127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770CEDC" w14:textId="77777777" w:rsidR="00FF68C8" w:rsidRDefault="00FF68C8" w:rsidP="00442CCE">
      <w:pPr>
        <w:pStyle w:val="Heading1"/>
      </w:pPr>
    </w:p>
    <w:p w14:paraId="77185976" w14:textId="65A8DC38" w:rsidR="00442CCE" w:rsidRDefault="00442CCE" w:rsidP="00442CCE">
      <w:pPr>
        <w:pStyle w:val="Heading1"/>
      </w:pPr>
      <w:bookmarkStart w:id="1" w:name="_Toc58605998"/>
      <w:r>
        <w:t>Summary Questions</w:t>
      </w:r>
      <w:bookmarkEnd w:id="1"/>
    </w:p>
    <w:p w14:paraId="7C2D01BE" w14:textId="77777777" w:rsidR="00442CCE" w:rsidRDefault="00442CCE" w:rsidP="00442CCE">
      <w:pPr>
        <w:pStyle w:val="ListParagraph"/>
        <w:ind w:left="0"/>
      </w:pPr>
    </w:p>
    <w:p w14:paraId="066E9B1E" w14:textId="27965095" w:rsidR="006024CB" w:rsidRDefault="00AF5D56" w:rsidP="006024CB">
      <w:pPr>
        <w:pStyle w:val="ListParagraph"/>
        <w:numPr>
          <w:ilvl w:val="0"/>
          <w:numId w:val="1"/>
        </w:numPr>
      </w:pPr>
      <w:r>
        <w:t xml:space="preserve">Question 1: </w:t>
      </w:r>
      <w:r w:rsidR="006024CB">
        <w:t>Do cryoconite holes exhibit classic patterns of island biogeography?</w:t>
      </w:r>
      <w:r w:rsidR="00DE3B79">
        <w:t xml:space="preserve"> How does this change between domains, functional groups, active vs total communities, across seasons?</w:t>
      </w:r>
    </w:p>
    <w:p w14:paraId="35535A79" w14:textId="4C9E1CED" w:rsidR="006024CB" w:rsidRDefault="00AF5D56" w:rsidP="006024CB">
      <w:pPr>
        <w:pStyle w:val="ListParagraph"/>
        <w:numPr>
          <w:ilvl w:val="0"/>
          <w:numId w:val="1"/>
        </w:numPr>
      </w:pPr>
      <w:r>
        <w:t xml:space="preserve">Question 2: </w:t>
      </w:r>
      <w:r w:rsidR="006024CB">
        <w:t xml:space="preserve">What community assembly </w:t>
      </w:r>
      <w:r w:rsidR="00DE3B79">
        <w:t>mechanisms</w:t>
      </w:r>
      <w:r w:rsidR="006024CB">
        <w:t xml:space="preserve"> </w:t>
      </w:r>
      <w:r w:rsidR="00DE3B79">
        <w:t xml:space="preserve">(neutral and non-neutral) </w:t>
      </w:r>
      <w:r w:rsidR="006024CB">
        <w:t xml:space="preserve">are </w:t>
      </w:r>
      <w:r w:rsidR="00DE3B79">
        <w:t>driving community assembly across a glacier? How does this change between domains, functional groups, active vs total communities, across seasons?</w:t>
      </w:r>
    </w:p>
    <w:p w14:paraId="163B604E" w14:textId="68C87DCC" w:rsidR="00DE3B79" w:rsidRDefault="00AF5D56" w:rsidP="006024CB">
      <w:pPr>
        <w:pStyle w:val="ListParagraph"/>
        <w:numPr>
          <w:ilvl w:val="0"/>
          <w:numId w:val="1"/>
        </w:numPr>
      </w:pPr>
      <w:r>
        <w:t xml:space="preserve">Question 3: </w:t>
      </w:r>
      <w:r w:rsidR="00DE3B79">
        <w:t>Does the relative influence of community assembly mechanisms change with cryoconite size? How does this change between domains, functional groups, active vs total communities, across seasons?</w:t>
      </w:r>
    </w:p>
    <w:p w14:paraId="65D3AA79" w14:textId="6E8EE2CF" w:rsidR="00DE3B79" w:rsidRDefault="00AF5D56" w:rsidP="006024CB">
      <w:pPr>
        <w:pStyle w:val="ListParagraph"/>
        <w:numPr>
          <w:ilvl w:val="0"/>
          <w:numId w:val="1"/>
        </w:numPr>
      </w:pPr>
      <w:r>
        <w:t xml:space="preserve">Question 4: </w:t>
      </w:r>
      <w:r w:rsidR="00DE3B79">
        <w:t>Does the different relative contribution of community assembly mechanisms alter community structure? How does this change between domains, functional groups, active vs total communities, across seasons?</w:t>
      </w:r>
    </w:p>
    <w:p w14:paraId="5250C70E" w14:textId="7AA00805" w:rsidR="00DE3B79" w:rsidRDefault="00AF5D56" w:rsidP="006024CB">
      <w:pPr>
        <w:pStyle w:val="ListParagraph"/>
        <w:numPr>
          <w:ilvl w:val="0"/>
          <w:numId w:val="1"/>
        </w:numPr>
      </w:pPr>
      <w:r>
        <w:t xml:space="preserve">Question 5: </w:t>
      </w:r>
      <w:r w:rsidR="00DE3B79">
        <w:t xml:space="preserve">Does differential community structure lead to functional changes within the cryoconite community? </w:t>
      </w:r>
    </w:p>
    <w:p w14:paraId="074E9A6C" w14:textId="6860AC83" w:rsidR="00916041" w:rsidRDefault="00AF5D56" w:rsidP="006024CB">
      <w:pPr>
        <w:pStyle w:val="ListParagraph"/>
        <w:numPr>
          <w:ilvl w:val="0"/>
          <w:numId w:val="1"/>
        </w:numPr>
      </w:pPr>
      <w:r>
        <w:t xml:space="preserve">Question 6: </w:t>
      </w:r>
      <w:r w:rsidR="00916041">
        <w:t>How does the proportion dormant individuals within a community change with increasing temperature? What is the resulting impact on biogeochemical processes?</w:t>
      </w:r>
    </w:p>
    <w:p w14:paraId="50EEA9C8" w14:textId="5FC711CD" w:rsidR="00916041" w:rsidRDefault="00AF5D56" w:rsidP="00916041">
      <w:pPr>
        <w:pStyle w:val="ListParagraph"/>
        <w:numPr>
          <w:ilvl w:val="0"/>
          <w:numId w:val="1"/>
        </w:numPr>
      </w:pPr>
      <w:r>
        <w:t xml:space="preserve">Question 7: </w:t>
      </w:r>
      <w:r w:rsidR="00DE3B79">
        <w:t>Can we construct a species interaction network of the cryoconite community</w:t>
      </w:r>
      <w:r w:rsidR="00916041">
        <w:t xml:space="preserve">, that incorporates dormancy, </w:t>
      </w:r>
      <w:r w:rsidR="00916041" w:rsidRPr="00916041">
        <w:t>﻿environmental f</w:t>
      </w:r>
      <w:r w:rsidR="00916041">
        <w:t>actors and stochastic immigration-extinction events as well as spatial scaling of communities?</w:t>
      </w:r>
    </w:p>
    <w:p w14:paraId="002ECCC0" w14:textId="7302DB1B" w:rsidR="00DE3B79" w:rsidRDefault="00AF5D56" w:rsidP="006024CB">
      <w:pPr>
        <w:pStyle w:val="ListParagraph"/>
        <w:numPr>
          <w:ilvl w:val="0"/>
          <w:numId w:val="1"/>
        </w:numPr>
      </w:pPr>
      <w:r>
        <w:t xml:space="preserve">Question 8: </w:t>
      </w:r>
      <w:r w:rsidR="00916041">
        <w:t>Can we use the species interaction network to calculate the rates of biogeochemical processes across a glacier?</w:t>
      </w:r>
    </w:p>
    <w:p w14:paraId="179B275B" w14:textId="4F9CA1C1" w:rsidR="00916041" w:rsidRDefault="00AF5D56" w:rsidP="00916041">
      <w:pPr>
        <w:pStyle w:val="ListParagraph"/>
        <w:numPr>
          <w:ilvl w:val="0"/>
          <w:numId w:val="1"/>
        </w:numPr>
      </w:pPr>
      <w:r>
        <w:t xml:space="preserve">Question 9: </w:t>
      </w:r>
      <w:r w:rsidR="00916041">
        <w:t>Can we use the species interaction network to calculate the rates of biogeochemical processes across a glacier under different climate change scenarios?</w:t>
      </w:r>
    </w:p>
    <w:p w14:paraId="4F1D8E5B" w14:textId="46F64832" w:rsidR="004253B1" w:rsidRPr="006024CB" w:rsidRDefault="00AF5D56" w:rsidP="00916041">
      <w:pPr>
        <w:pStyle w:val="ListParagraph"/>
        <w:numPr>
          <w:ilvl w:val="0"/>
          <w:numId w:val="1"/>
        </w:numPr>
      </w:pPr>
      <w:r>
        <w:t xml:space="preserve">Question 10: </w:t>
      </w:r>
      <w:r w:rsidR="004253B1">
        <w:t xml:space="preserve">Can we use this information to infer microbial community structure and function on icy worlds? </w:t>
      </w:r>
    </w:p>
    <w:p w14:paraId="5E31DE7B" w14:textId="77777777" w:rsidR="008B1E20" w:rsidRDefault="008B1E20">
      <w:pPr>
        <w:sectPr w:rsidR="008B1E20" w:rsidSect="00BF7219">
          <w:pgSz w:w="11901" w:h="16817"/>
          <w:pgMar w:top="1440" w:right="1440" w:bottom="1440" w:left="1440" w:header="720" w:footer="720" w:gutter="0"/>
          <w:cols w:space="720"/>
          <w:docGrid w:linePitch="360"/>
        </w:sectPr>
      </w:pPr>
    </w:p>
    <w:tbl>
      <w:tblPr>
        <w:tblW w:w="5000" w:type="pct"/>
        <w:tblLook w:val="04A0" w:firstRow="1" w:lastRow="0" w:firstColumn="1" w:lastColumn="0" w:noHBand="0" w:noVBand="1"/>
      </w:tblPr>
      <w:tblGrid>
        <w:gridCol w:w="5740"/>
        <w:gridCol w:w="1141"/>
        <w:gridCol w:w="905"/>
        <w:gridCol w:w="1017"/>
        <w:gridCol w:w="823"/>
        <w:gridCol w:w="864"/>
        <w:gridCol w:w="864"/>
        <w:gridCol w:w="864"/>
        <w:gridCol w:w="864"/>
        <w:gridCol w:w="855"/>
      </w:tblGrid>
      <w:tr w:rsidR="00E42044" w:rsidRPr="00E42044" w14:paraId="5EBA1B44" w14:textId="77777777" w:rsidTr="00E42044">
        <w:trPr>
          <w:trHeight w:val="320"/>
        </w:trPr>
        <w:tc>
          <w:tcPr>
            <w:tcW w:w="1772" w:type="pct"/>
            <w:tcBorders>
              <w:top w:val="nil"/>
              <w:left w:val="nil"/>
              <w:bottom w:val="nil"/>
              <w:right w:val="nil"/>
            </w:tcBorders>
            <w:shd w:val="clear" w:color="auto" w:fill="auto"/>
            <w:noWrap/>
            <w:vAlign w:val="bottom"/>
            <w:hideMark/>
          </w:tcPr>
          <w:p w14:paraId="544670D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lastRenderedPageBreak/>
              <w:t>Year One</w:t>
            </w:r>
          </w:p>
        </w:tc>
        <w:tc>
          <w:tcPr>
            <w:tcW w:w="359" w:type="pct"/>
            <w:tcBorders>
              <w:top w:val="nil"/>
              <w:left w:val="nil"/>
              <w:bottom w:val="nil"/>
              <w:right w:val="nil"/>
            </w:tcBorders>
            <w:shd w:val="clear" w:color="auto" w:fill="auto"/>
            <w:noWrap/>
            <w:vAlign w:val="bottom"/>
            <w:hideMark/>
          </w:tcPr>
          <w:p w14:paraId="2D636FE6"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AC8A03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DB68F9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FB0074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F14CE3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C380B7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D1DAFB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6EC1D7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B330100"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2C0660AC" w14:textId="77777777" w:rsidTr="00E42044">
        <w:trPr>
          <w:trHeight w:val="320"/>
        </w:trPr>
        <w:tc>
          <w:tcPr>
            <w:tcW w:w="1772" w:type="pct"/>
            <w:tcBorders>
              <w:top w:val="nil"/>
              <w:left w:val="nil"/>
              <w:bottom w:val="nil"/>
              <w:right w:val="nil"/>
            </w:tcBorders>
            <w:shd w:val="clear" w:color="auto" w:fill="auto"/>
            <w:noWrap/>
            <w:vAlign w:val="bottom"/>
            <w:hideMark/>
          </w:tcPr>
          <w:p w14:paraId="24B4D75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Task</w:t>
            </w:r>
          </w:p>
        </w:tc>
        <w:tc>
          <w:tcPr>
            <w:tcW w:w="359" w:type="pct"/>
            <w:tcBorders>
              <w:top w:val="nil"/>
              <w:left w:val="nil"/>
              <w:bottom w:val="nil"/>
              <w:right w:val="nil"/>
            </w:tcBorders>
            <w:shd w:val="clear" w:color="auto" w:fill="auto"/>
            <w:noWrap/>
            <w:vAlign w:val="bottom"/>
            <w:hideMark/>
          </w:tcPr>
          <w:p w14:paraId="48B71EEB"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December</w:t>
            </w:r>
          </w:p>
        </w:tc>
        <w:tc>
          <w:tcPr>
            <w:tcW w:w="359" w:type="pct"/>
            <w:tcBorders>
              <w:top w:val="nil"/>
              <w:left w:val="nil"/>
              <w:bottom w:val="nil"/>
              <w:right w:val="nil"/>
            </w:tcBorders>
            <w:shd w:val="clear" w:color="auto" w:fill="auto"/>
            <w:noWrap/>
            <w:vAlign w:val="bottom"/>
            <w:hideMark/>
          </w:tcPr>
          <w:p w14:paraId="3429FB2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January</w:t>
            </w:r>
          </w:p>
        </w:tc>
        <w:tc>
          <w:tcPr>
            <w:tcW w:w="359" w:type="pct"/>
            <w:tcBorders>
              <w:top w:val="nil"/>
              <w:left w:val="nil"/>
              <w:bottom w:val="nil"/>
              <w:right w:val="nil"/>
            </w:tcBorders>
            <w:shd w:val="clear" w:color="auto" w:fill="auto"/>
            <w:noWrap/>
            <w:vAlign w:val="bottom"/>
            <w:hideMark/>
          </w:tcPr>
          <w:p w14:paraId="4995FD6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February</w:t>
            </w:r>
          </w:p>
        </w:tc>
        <w:tc>
          <w:tcPr>
            <w:tcW w:w="359" w:type="pct"/>
            <w:tcBorders>
              <w:top w:val="nil"/>
              <w:left w:val="nil"/>
              <w:bottom w:val="nil"/>
              <w:right w:val="nil"/>
            </w:tcBorders>
            <w:shd w:val="clear" w:color="auto" w:fill="auto"/>
            <w:noWrap/>
            <w:vAlign w:val="bottom"/>
            <w:hideMark/>
          </w:tcPr>
          <w:p w14:paraId="1A28707B"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March</w:t>
            </w:r>
          </w:p>
        </w:tc>
        <w:tc>
          <w:tcPr>
            <w:tcW w:w="359" w:type="pct"/>
            <w:tcBorders>
              <w:top w:val="nil"/>
              <w:left w:val="nil"/>
              <w:bottom w:val="nil"/>
              <w:right w:val="nil"/>
            </w:tcBorders>
            <w:shd w:val="clear" w:color="auto" w:fill="auto"/>
            <w:noWrap/>
            <w:vAlign w:val="bottom"/>
            <w:hideMark/>
          </w:tcPr>
          <w:p w14:paraId="1C6FDA67"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April</w:t>
            </w:r>
          </w:p>
        </w:tc>
        <w:tc>
          <w:tcPr>
            <w:tcW w:w="359" w:type="pct"/>
            <w:tcBorders>
              <w:top w:val="nil"/>
              <w:left w:val="nil"/>
              <w:bottom w:val="nil"/>
              <w:right w:val="nil"/>
            </w:tcBorders>
            <w:shd w:val="clear" w:color="auto" w:fill="auto"/>
            <w:noWrap/>
            <w:vAlign w:val="bottom"/>
            <w:hideMark/>
          </w:tcPr>
          <w:p w14:paraId="0A1A7258"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May</w:t>
            </w:r>
          </w:p>
        </w:tc>
        <w:tc>
          <w:tcPr>
            <w:tcW w:w="359" w:type="pct"/>
            <w:tcBorders>
              <w:top w:val="nil"/>
              <w:left w:val="nil"/>
              <w:bottom w:val="nil"/>
              <w:right w:val="nil"/>
            </w:tcBorders>
            <w:shd w:val="clear" w:color="auto" w:fill="auto"/>
            <w:noWrap/>
            <w:vAlign w:val="bottom"/>
            <w:hideMark/>
          </w:tcPr>
          <w:p w14:paraId="33A1540A"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June</w:t>
            </w:r>
          </w:p>
        </w:tc>
        <w:tc>
          <w:tcPr>
            <w:tcW w:w="359" w:type="pct"/>
            <w:tcBorders>
              <w:top w:val="nil"/>
              <w:left w:val="nil"/>
              <w:bottom w:val="nil"/>
              <w:right w:val="nil"/>
            </w:tcBorders>
            <w:shd w:val="clear" w:color="auto" w:fill="auto"/>
            <w:noWrap/>
            <w:vAlign w:val="bottom"/>
            <w:hideMark/>
          </w:tcPr>
          <w:p w14:paraId="4F21D4B4"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xml:space="preserve">July </w:t>
            </w:r>
          </w:p>
        </w:tc>
        <w:tc>
          <w:tcPr>
            <w:tcW w:w="359" w:type="pct"/>
            <w:tcBorders>
              <w:top w:val="nil"/>
              <w:left w:val="nil"/>
              <w:bottom w:val="nil"/>
              <w:right w:val="nil"/>
            </w:tcBorders>
            <w:shd w:val="clear" w:color="auto" w:fill="auto"/>
            <w:noWrap/>
            <w:vAlign w:val="bottom"/>
            <w:hideMark/>
          </w:tcPr>
          <w:p w14:paraId="5FE9EBC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August</w:t>
            </w:r>
          </w:p>
        </w:tc>
      </w:tr>
      <w:tr w:rsidR="00E42044" w:rsidRPr="00E42044" w14:paraId="7642707A" w14:textId="77777777" w:rsidTr="00E42044">
        <w:trPr>
          <w:trHeight w:val="320"/>
        </w:trPr>
        <w:tc>
          <w:tcPr>
            <w:tcW w:w="1772" w:type="pct"/>
            <w:tcBorders>
              <w:top w:val="nil"/>
              <w:left w:val="nil"/>
              <w:bottom w:val="nil"/>
              <w:right w:val="nil"/>
            </w:tcBorders>
            <w:shd w:val="clear" w:color="auto" w:fill="auto"/>
            <w:noWrap/>
            <w:vAlign w:val="bottom"/>
            <w:hideMark/>
          </w:tcPr>
          <w:p w14:paraId="0BB76F3E"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Progress Report: Literature Review</w:t>
            </w:r>
          </w:p>
        </w:tc>
        <w:tc>
          <w:tcPr>
            <w:tcW w:w="359" w:type="pct"/>
            <w:tcBorders>
              <w:top w:val="nil"/>
              <w:left w:val="nil"/>
              <w:bottom w:val="nil"/>
              <w:right w:val="nil"/>
            </w:tcBorders>
            <w:shd w:val="clear" w:color="000000" w:fill="92D050"/>
            <w:noWrap/>
            <w:vAlign w:val="bottom"/>
            <w:hideMark/>
          </w:tcPr>
          <w:p w14:paraId="17335F50"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28DC45F9"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257526F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A65A75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8D11F2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9A5DD2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214EC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7D6D6B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7F828D0"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150D848E" w14:textId="77777777" w:rsidTr="00E42044">
        <w:trPr>
          <w:trHeight w:val="320"/>
        </w:trPr>
        <w:tc>
          <w:tcPr>
            <w:tcW w:w="1772" w:type="pct"/>
            <w:tcBorders>
              <w:top w:val="nil"/>
              <w:left w:val="nil"/>
              <w:bottom w:val="nil"/>
              <w:right w:val="nil"/>
            </w:tcBorders>
            <w:shd w:val="clear" w:color="auto" w:fill="auto"/>
            <w:noWrap/>
            <w:vAlign w:val="bottom"/>
            <w:hideMark/>
          </w:tcPr>
          <w:p w14:paraId="6DE1EC0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Progress Report: Methods</w:t>
            </w:r>
          </w:p>
        </w:tc>
        <w:tc>
          <w:tcPr>
            <w:tcW w:w="359" w:type="pct"/>
            <w:tcBorders>
              <w:top w:val="nil"/>
              <w:left w:val="nil"/>
              <w:bottom w:val="nil"/>
              <w:right w:val="nil"/>
            </w:tcBorders>
            <w:shd w:val="clear" w:color="000000" w:fill="92D050"/>
            <w:noWrap/>
            <w:vAlign w:val="bottom"/>
            <w:hideMark/>
          </w:tcPr>
          <w:p w14:paraId="0F27F3F4"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000000" w:fill="92D050"/>
            <w:noWrap/>
            <w:vAlign w:val="bottom"/>
            <w:hideMark/>
          </w:tcPr>
          <w:p w14:paraId="0AC6886C"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7D6C5439"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FE8095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3BC1BF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2898AC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19DC90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D3648D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6945F01"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2D7539B1" w14:textId="77777777" w:rsidTr="00E42044">
        <w:trPr>
          <w:trHeight w:val="320"/>
        </w:trPr>
        <w:tc>
          <w:tcPr>
            <w:tcW w:w="1772" w:type="pct"/>
            <w:tcBorders>
              <w:top w:val="nil"/>
              <w:left w:val="nil"/>
              <w:bottom w:val="nil"/>
              <w:right w:val="nil"/>
            </w:tcBorders>
            <w:shd w:val="clear" w:color="auto" w:fill="auto"/>
            <w:noWrap/>
            <w:vAlign w:val="bottom"/>
            <w:hideMark/>
          </w:tcPr>
          <w:p w14:paraId="42A2F13C"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Progress Report: Introduction</w:t>
            </w:r>
          </w:p>
        </w:tc>
        <w:tc>
          <w:tcPr>
            <w:tcW w:w="359" w:type="pct"/>
            <w:tcBorders>
              <w:top w:val="nil"/>
              <w:left w:val="nil"/>
              <w:bottom w:val="nil"/>
              <w:right w:val="nil"/>
            </w:tcBorders>
            <w:shd w:val="clear" w:color="auto" w:fill="auto"/>
            <w:noWrap/>
            <w:vAlign w:val="bottom"/>
            <w:hideMark/>
          </w:tcPr>
          <w:p w14:paraId="000D66BD"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000000" w:fill="92D050"/>
            <w:noWrap/>
            <w:vAlign w:val="bottom"/>
            <w:hideMark/>
          </w:tcPr>
          <w:p w14:paraId="1D2B0F4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17F57CCC"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FC15E1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843C39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AB26D6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A1B556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5A7C2C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FE84A40"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6B4BFC52" w14:textId="77777777" w:rsidTr="00E42044">
        <w:trPr>
          <w:trHeight w:val="320"/>
        </w:trPr>
        <w:tc>
          <w:tcPr>
            <w:tcW w:w="1772" w:type="pct"/>
            <w:tcBorders>
              <w:top w:val="nil"/>
              <w:left w:val="nil"/>
              <w:bottom w:val="nil"/>
              <w:right w:val="nil"/>
            </w:tcBorders>
            <w:shd w:val="clear" w:color="auto" w:fill="auto"/>
            <w:noWrap/>
            <w:vAlign w:val="bottom"/>
            <w:hideMark/>
          </w:tcPr>
          <w:p w14:paraId="0532F6D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Progress Report: Submit for Critique</w:t>
            </w:r>
          </w:p>
        </w:tc>
        <w:tc>
          <w:tcPr>
            <w:tcW w:w="359" w:type="pct"/>
            <w:tcBorders>
              <w:top w:val="nil"/>
              <w:left w:val="nil"/>
              <w:bottom w:val="nil"/>
              <w:right w:val="nil"/>
            </w:tcBorders>
            <w:shd w:val="clear" w:color="auto" w:fill="auto"/>
            <w:noWrap/>
            <w:vAlign w:val="bottom"/>
            <w:hideMark/>
          </w:tcPr>
          <w:p w14:paraId="0F358C00"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000000" w:fill="92D050"/>
            <w:noWrap/>
            <w:vAlign w:val="bottom"/>
            <w:hideMark/>
          </w:tcPr>
          <w:p w14:paraId="14489E51"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40EE3363"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D362C0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243612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DF21A5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BEA207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FEDA99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B90C115"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00E46038" w14:textId="77777777" w:rsidTr="00E42044">
        <w:trPr>
          <w:trHeight w:val="320"/>
        </w:trPr>
        <w:tc>
          <w:tcPr>
            <w:tcW w:w="1772" w:type="pct"/>
            <w:tcBorders>
              <w:top w:val="nil"/>
              <w:left w:val="nil"/>
              <w:bottom w:val="nil"/>
              <w:right w:val="nil"/>
            </w:tcBorders>
            <w:shd w:val="clear" w:color="auto" w:fill="auto"/>
            <w:noWrap/>
            <w:vAlign w:val="bottom"/>
            <w:hideMark/>
          </w:tcPr>
          <w:p w14:paraId="5D1BD0B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Progress Report: Apply Critiques</w:t>
            </w:r>
          </w:p>
        </w:tc>
        <w:tc>
          <w:tcPr>
            <w:tcW w:w="359" w:type="pct"/>
            <w:tcBorders>
              <w:top w:val="nil"/>
              <w:left w:val="nil"/>
              <w:bottom w:val="nil"/>
              <w:right w:val="nil"/>
            </w:tcBorders>
            <w:shd w:val="clear" w:color="auto" w:fill="auto"/>
            <w:noWrap/>
            <w:vAlign w:val="bottom"/>
            <w:hideMark/>
          </w:tcPr>
          <w:p w14:paraId="0F240C14"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74F002D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36A9554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1938A184"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2C9904F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55F700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959E4F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8B2579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CD7E11F"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09C4F37A" w14:textId="77777777" w:rsidTr="00E42044">
        <w:trPr>
          <w:trHeight w:val="320"/>
        </w:trPr>
        <w:tc>
          <w:tcPr>
            <w:tcW w:w="1772" w:type="pct"/>
            <w:tcBorders>
              <w:top w:val="nil"/>
              <w:left w:val="nil"/>
              <w:bottom w:val="nil"/>
              <w:right w:val="nil"/>
            </w:tcBorders>
            <w:shd w:val="clear" w:color="auto" w:fill="auto"/>
            <w:noWrap/>
            <w:vAlign w:val="bottom"/>
            <w:hideMark/>
          </w:tcPr>
          <w:p w14:paraId="544C04DB"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Submit Progress Report</w:t>
            </w:r>
          </w:p>
        </w:tc>
        <w:tc>
          <w:tcPr>
            <w:tcW w:w="359" w:type="pct"/>
            <w:tcBorders>
              <w:top w:val="nil"/>
              <w:left w:val="nil"/>
              <w:bottom w:val="nil"/>
              <w:right w:val="nil"/>
            </w:tcBorders>
            <w:shd w:val="clear" w:color="auto" w:fill="auto"/>
            <w:noWrap/>
            <w:vAlign w:val="bottom"/>
            <w:hideMark/>
          </w:tcPr>
          <w:p w14:paraId="03632E77"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EFA2F3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2EF17233"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7FB6CA9E"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2288032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6EE2E2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A6DB4D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DBE41D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6F0AA5F"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43FEB97F" w14:textId="77777777" w:rsidTr="00E42044">
        <w:trPr>
          <w:trHeight w:val="320"/>
        </w:trPr>
        <w:tc>
          <w:tcPr>
            <w:tcW w:w="1772" w:type="pct"/>
            <w:tcBorders>
              <w:top w:val="nil"/>
              <w:left w:val="nil"/>
              <w:bottom w:val="nil"/>
              <w:right w:val="nil"/>
            </w:tcBorders>
            <w:shd w:val="clear" w:color="auto" w:fill="auto"/>
            <w:noWrap/>
            <w:vAlign w:val="bottom"/>
            <w:hideMark/>
          </w:tcPr>
          <w:p w14:paraId="63BD57A0"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Cryoconite data from literature</w:t>
            </w:r>
          </w:p>
        </w:tc>
        <w:tc>
          <w:tcPr>
            <w:tcW w:w="359" w:type="pct"/>
            <w:tcBorders>
              <w:top w:val="nil"/>
              <w:left w:val="nil"/>
              <w:bottom w:val="nil"/>
              <w:right w:val="nil"/>
            </w:tcBorders>
            <w:shd w:val="clear" w:color="auto" w:fill="auto"/>
            <w:noWrap/>
            <w:vAlign w:val="bottom"/>
            <w:hideMark/>
          </w:tcPr>
          <w:p w14:paraId="71D779D3"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726998A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58120207"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45E4ABC5"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709E8D9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DABB33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F068C6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9456CA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7668B67"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3F968B2B" w14:textId="77777777" w:rsidTr="00E42044">
        <w:trPr>
          <w:trHeight w:val="320"/>
        </w:trPr>
        <w:tc>
          <w:tcPr>
            <w:tcW w:w="1772" w:type="pct"/>
            <w:tcBorders>
              <w:top w:val="nil"/>
              <w:left w:val="nil"/>
              <w:bottom w:val="nil"/>
              <w:right w:val="nil"/>
            </w:tcBorders>
            <w:shd w:val="clear" w:color="auto" w:fill="auto"/>
            <w:noWrap/>
            <w:vAlign w:val="bottom"/>
            <w:hideMark/>
          </w:tcPr>
          <w:p w14:paraId="1E1F1721"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1: Biogeographic patterns literature data</w:t>
            </w:r>
          </w:p>
        </w:tc>
        <w:tc>
          <w:tcPr>
            <w:tcW w:w="359" w:type="pct"/>
            <w:tcBorders>
              <w:top w:val="nil"/>
              <w:left w:val="nil"/>
              <w:bottom w:val="nil"/>
              <w:right w:val="nil"/>
            </w:tcBorders>
            <w:shd w:val="clear" w:color="auto" w:fill="auto"/>
            <w:noWrap/>
            <w:vAlign w:val="bottom"/>
            <w:hideMark/>
          </w:tcPr>
          <w:p w14:paraId="29C7063C"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346FCF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5629EE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1376558A"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3DBC5843"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7D92E6F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7B38FC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E9EF36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2EC5571"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3282872D" w14:textId="77777777" w:rsidTr="00E42044">
        <w:trPr>
          <w:trHeight w:val="320"/>
        </w:trPr>
        <w:tc>
          <w:tcPr>
            <w:tcW w:w="1772" w:type="pct"/>
            <w:tcBorders>
              <w:top w:val="nil"/>
              <w:left w:val="nil"/>
              <w:bottom w:val="nil"/>
              <w:right w:val="nil"/>
            </w:tcBorders>
            <w:shd w:val="clear" w:color="auto" w:fill="auto"/>
            <w:noWrap/>
            <w:vAlign w:val="bottom"/>
            <w:hideMark/>
          </w:tcPr>
          <w:p w14:paraId="0D65D688"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2: Community assembly literature data</w:t>
            </w:r>
          </w:p>
        </w:tc>
        <w:tc>
          <w:tcPr>
            <w:tcW w:w="359" w:type="pct"/>
            <w:tcBorders>
              <w:top w:val="nil"/>
              <w:left w:val="nil"/>
              <w:bottom w:val="nil"/>
              <w:right w:val="nil"/>
            </w:tcBorders>
            <w:shd w:val="clear" w:color="auto" w:fill="auto"/>
            <w:noWrap/>
            <w:vAlign w:val="bottom"/>
            <w:hideMark/>
          </w:tcPr>
          <w:p w14:paraId="16E3C4B9"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AFEB23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807CCF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3E4FB3B1"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12AD6678"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2140C2E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C82631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1218D7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F3D6CC5"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4F14A79C" w14:textId="77777777" w:rsidTr="00E42044">
        <w:trPr>
          <w:trHeight w:val="320"/>
        </w:trPr>
        <w:tc>
          <w:tcPr>
            <w:tcW w:w="1772" w:type="pct"/>
            <w:tcBorders>
              <w:top w:val="nil"/>
              <w:left w:val="nil"/>
              <w:bottom w:val="nil"/>
              <w:right w:val="nil"/>
            </w:tcBorders>
            <w:shd w:val="clear" w:color="auto" w:fill="auto"/>
            <w:noWrap/>
            <w:vAlign w:val="bottom"/>
            <w:hideMark/>
          </w:tcPr>
          <w:p w14:paraId="5488995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3: Community assembly and size literature data</w:t>
            </w:r>
          </w:p>
        </w:tc>
        <w:tc>
          <w:tcPr>
            <w:tcW w:w="359" w:type="pct"/>
            <w:tcBorders>
              <w:top w:val="nil"/>
              <w:left w:val="nil"/>
              <w:bottom w:val="nil"/>
              <w:right w:val="nil"/>
            </w:tcBorders>
            <w:shd w:val="clear" w:color="auto" w:fill="auto"/>
            <w:noWrap/>
            <w:vAlign w:val="bottom"/>
            <w:hideMark/>
          </w:tcPr>
          <w:p w14:paraId="1770AB0E"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85EEDE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CD8E0F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73BA38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05FE0BB4"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7E13A3B2"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27BE36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5D04E2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353C0B4"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3955FE8A" w14:textId="77777777" w:rsidTr="00E42044">
        <w:trPr>
          <w:trHeight w:val="320"/>
        </w:trPr>
        <w:tc>
          <w:tcPr>
            <w:tcW w:w="1772" w:type="pct"/>
            <w:tcBorders>
              <w:top w:val="nil"/>
              <w:left w:val="nil"/>
              <w:bottom w:val="nil"/>
              <w:right w:val="nil"/>
            </w:tcBorders>
            <w:shd w:val="clear" w:color="auto" w:fill="auto"/>
            <w:noWrap/>
            <w:vAlign w:val="bottom"/>
            <w:hideMark/>
          </w:tcPr>
          <w:p w14:paraId="666EECED"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WRITE UP</w:t>
            </w:r>
          </w:p>
        </w:tc>
        <w:tc>
          <w:tcPr>
            <w:tcW w:w="359" w:type="pct"/>
            <w:tcBorders>
              <w:top w:val="nil"/>
              <w:left w:val="nil"/>
              <w:bottom w:val="nil"/>
              <w:right w:val="nil"/>
            </w:tcBorders>
            <w:shd w:val="clear" w:color="auto" w:fill="auto"/>
            <w:noWrap/>
            <w:vAlign w:val="bottom"/>
            <w:hideMark/>
          </w:tcPr>
          <w:p w14:paraId="48843775"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13506AE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F22133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948AD2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6428830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01373155"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D6C4D8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EE781C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26B4C2C"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054F31E5" w14:textId="77777777" w:rsidTr="00E42044">
        <w:trPr>
          <w:trHeight w:val="320"/>
        </w:trPr>
        <w:tc>
          <w:tcPr>
            <w:tcW w:w="1772" w:type="pct"/>
            <w:tcBorders>
              <w:top w:val="nil"/>
              <w:left w:val="nil"/>
              <w:bottom w:val="nil"/>
              <w:right w:val="nil"/>
            </w:tcBorders>
            <w:shd w:val="clear" w:color="auto" w:fill="auto"/>
            <w:noWrap/>
            <w:vAlign w:val="bottom"/>
            <w:hideMark/>
          </w:tcPr>
          <w:p w14:paraId="3312C3B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Collect Field Data 1</w:t>
            </w:r>
          </w:p>
        </w:tc>
        <w:tc>
          <w:tcPr>
            <w:tcW w:w="359" w:type="pct"/>
            <w:tcBorders>
              <w:top w:val="nil"/>
              <w:left w:val="nil"/>
              <w:bottom w:val="nil"/>
              <w:right w:val="nil"/>
            </w:tcBorders>
            <w:shd w:val="clear" w:color="auto" w:fill="auto"/>
            <w:noWrap/>
            <w:vAlign w:val="bottom"/>
            <w:hideMark/>
          </w:tcPr>
          <w:p w14:paraId="71EACCD8"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7C16F5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2D9DDB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B1A646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6E8BB257"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0045A07B"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A2A3F5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1CBB57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EFE1A99"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4BE680F1" w14:textId="77777777" w:rsidTr="00E42044">
        <w:trPr>
          <w:trHeight w:val="320"/>
        </w:trPr>
        <w:tc>
          <w:tcPr>
            <w:tcW w:w="1772" w:type="pct"/>
            <w:tcBorders>
              <w:top w:val="nil"/>
              <w:left w:val="nil"/>
              <w:bottom w:val="nil"/>
              <w:right w:val="nil"/>
            </w:tcBorders>
            <w:shd w:val="clear" w:color="auto" w:fill="auto"/>
            <w:noWrap/>
            <w:vAlign w:val="bottom"/>
            <w:hideMark/>
          </w:tcPr>
          <w:p w14:paraId="4A39D2F1"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Laboratory analysis: dormancy</w:t>
            </w:r>
          </w:p>
        </w:tc>
        <w:tc>
          <w:tcPr>
            <w:tcW w:w="359" w:type="pct"/>
            <w:tcBorders>
              <w:top w:val="nil"/>
              <w:left w:val="nil"/>
              <w:bottom w:val="nil"/>
              <w:right w:val="nil"/>
            </w:tcBorders>
            <w:shd w:val="clear" w:color="auto" w:fill="auto"/>
            <w:noWrap/>
            <w:vAlign w:val="bottom"/>
            <w:hideMark/>
          </w:tcPr>
          <w:p w14:paraId="275E3C99"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547734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11E3F6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072959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6E115B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440B401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7EA5C64E"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8B5A16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AFD20F8"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79BA3AE0" w14:textId="77777777" w:rsidTr="00E42044">
        <w:trPr>
          <w:trHeight w:val="320"/>
        </w:trPr>
        <w:tc>
          <w:tcPr>
            <w:tcW w:w="1772" w:type="pct"/>
            <w:tcBorders>
              <w:top w:val="nil"/>
              <w:left w:val="nil"/>
              <w:bottom w:val="nil"/>
              <w:right w:val="nil"/>
            </w:tcBorders>
            <w:shd w:val="clear" w:color="auto" w:fill="auto"/>
            <w:noWrap/>
            <w:vAlign w:val="bottom"/>
            <w:hideMark/>
          </w:tcPr>
          <w:p w14:paraId="64ED75E4"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1: Biogeographic patterns field data 1</w:t>
            </w:r>
          </w:p>
        </w:tc>
        <w:tc>
          <w:tcPr>
            <w:tcW w:w="359" w:type="pct"/>
            <w:tcBorders>
              <w:top w:val="nil"/>
              <w:left w:val="nil"/>
              <w:bottom w:val="nil"/>
              <w:right w:val="nil"/>
            </w:tcBorders>
            <w:shd w:val="clear" w:color="auto" w:fill="auto"/>
            <w:noWrap/>
            <w:vAlign w:val="bottom"/>
            <w:hideMark/>
          </w:tcPr>
          <w:p w14:paraId="04D08B97"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4F87D89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98C6C8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2B2FF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2DBB27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1159EDED"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000000" w:fill="92D050"/>
            <w:noWrap/>
            <w:vAlign w:val="bottom"/>
            <w:hideMark/>
          </w:tcPr>
          <w:p w14:paraId="42095226"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7AA1465B"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18150700"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497E8881" w14:textId="77777777" w:rsidTr="00E42044">
        <w:trPr>
          <w:trHeight w:val="320"/>
        </w:trPr>
        <w:tc>
          <w:tcPr>
            <w:tcW w:w="1772" w:type="pct"/>
            <w:tcBorders>
              <w:top w:val="nil"/>
              <w:left w:val="nil"/>
              <w:bottom w:val="nil"/>
              <w:right w:val="nil"/>
            </w:tcBorders>
            <w:shd w:val="clear" w:color="auto" w:fill="auto"/>
            <w:noWrap/>
            <w:vAlign w:val="bottom"/>
            <w:hideMark/>
          </w:tcPr>
          <w:p w14:paraId="7871A63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2: Community assembly field data 1</w:t>
            </w:r>
          </w:p>
        </w:tc>
        <w:tc>
          <w:tcPr>
            <w:tcW w:w="359" w:type="pct"/>
            <w:tcBorders>
              <w:top w:val="nil"/>
              <w:left w:val="nil"/>
              <w:bottom w:val="nil"/>
              <w:right w:val="nil"/>
            </w:tcBorders>
            <w:shd w:val="clear" w:color="auto" w:fill="auto"/>
            <w:noWrap/>
            <w:vAlign w:val="bottom"/>
            <w:hideMark/>
          </w:tcPr>
          <w:p w14:paraId="3B01D210"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4FE47A1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2BB83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747E2B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D239B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AFBE44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4C71AC1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3FE3096D"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3ED811B"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1D814084" w14:textId="77777777" w:rsidTr="00E42044">
        <w:trPr>
          <w:trHeight w:val="320"/>
        </w:trPr>
        <w:tc>
          <w:tcPr>
            <w:tcW w:w="1772" w:type="pct"/>
            <w:tcBorders>
              <w:top w:val="nil"/>
              <w:left w:val="nil"/>
              <w:bottom w:val="nil"/>
              <w:right w:val="nil"/>
            </w:tcBorders>
            <w:shd w:val="clear" w:color="auto" w:fill="auto"/>
            <w:noWrap/>
            <w:vAlign w:val="bottom"/>
            <w:hideMark/>
          </w:tcPr>
          <w:p w14:paraId="16479056"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3: Community assembly and size field data 1</w:t>
            </w:r>
          </w:p>
        </w:tc>
        <w:tc>
          <w:tcPr>
            <w:tcW w:w="359" w:type="pct"/>
            <w:tcBorders>
              <w:top w:val="nil"/>
              <w:left w:val="nil"/>
              <w:bottom w:val="nil"/>
              <w:right w:val="nil"/>
            </w:tcBorders>
            <w:shd w:val="clear" w:color="auto" w:fill="auto"/>
            <w:noWrap/>
            <w:vAlign w:val="bottom"/>
            <w:hideMark/>
          </w:tcPr>
          <w:p w14:paraId="5278F40E"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5379B8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1552BE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B81414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8B2729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0E332C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071F8B9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603A88B3"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409B365C"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3CA7BD68" w14:textId="77777777" w:rsidTr="00E42044">
        <w:trPr>
          <w:trHeight w:val="320"/>
        </w:trPr>
        <w:tc>
          <w:tcPr>
            <w:tcW w:w="1772" w:type="pct"/>
            <w:tcBorders>
              <w:top w:val="nil"/>
              <w:left w:val="nil"/>
              <w:bottom w:val="nil"/>
              <w:right w:val="nil"/>
            </w:tcBorders>
            <w:shd w:val="clear" w:color="auto" w:fill="auto"/>
            <w:noWrap/>
            <w:vAlign w:val="bottom"/>
            <w:hideMark/>
          </w:tcPr>
          <w:p w14:paraId="0294BA4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WRITE UP</w:t>
            </w:r>
          </w:p>
        </w:tc>
        <w:tc>
          <w:tcPr>
            <w:tcW w:w="359" w:type="pct"/>
            <w:tcBorders>
              <w:top w:val="nil"/>
              <w:left w:val="nil"/>
              <w:bottom w:val="nil"/>
              <w:right w:val="nil"/>
            </w:tcBorders>
            <w:shd w:val="clear" w:color="auto" w:fill="auto"/>
            <w:noWrap/>
            <w:vAlign w:val="bottom"/>
            <w:hideMark/>
          </w:tcPr>
          <w:p w14:paraId="1EBC1E93"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31EDB7E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7B438B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7F06F4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DE952A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15A1E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57F1A3DD"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6C2839E9"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E429DAC" w14:textId="77777777" w:rsidR="00E42044" w:rsidRPr="00E42044" w:rsidRDefault="00E42044" w:rsidP="00E42044">
            <w:pPr>
              <w:rPr>
                <w:rFonts w:ascii="Times New Roman" w:eastAsia="Times New Roman" w:hAnsi="Times New Roman" w:cs="Times New Roman"/>
                <w:sz w:val="20"/>
                <w:szCs w:val="20"/>
              </w:rPr>
            </w:pPr>
          </w:p>
        </w:tc>
      </w:tr>
      <w:tr w:rsidR="00E42044" w:rsidRPr="00E42044" w14:paraId="4062261E" w14:textId="77777777" w:rsidTr="00E42044">
        <w:trPr>
          <w:trHeight w:val="320"/>
        </w:trPr>
        <w:tc>
          <w:tcPr>
            <w:tcW w:w="1772" w:type="pct"/>
            <w:tcBorders>
              <w:top w:val="nil"/>
              <w:left w:val="nil"/>
              <w:bottom w:val="nil"/>
              <w:right w:val="nil"/>
            </w:tcBorders>
            <w:shd w:val="clear" w:color="auto" w:fill="auto"/>
            <w:noWrap/>
            <w:vAlign w:val="bottom"/>
            <w:hideMark/>
          </w:tcPr>
          <w:p w14:paraId="0A1A042B"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lastRenderedPageBreak/>
              <w:t>Question 4: Assembly and structure literature and field data 1</w:t>
            </w:r>
          </w:p>
        </w:tc>
        <w:tc>
          <w:tcPr>
            <w:tcW w:w="359" w:type="pct"/>
            <w:tcBorders>
              <w:top w:val="nil"/>
              <w:left w:val="nil"/>
              <w:bottom w:val="nil"/>
              <w:right w:val="nil"/>
            </w:tcBorders>
            <w:shd w:val="clear" w:color="auto" w:fill="auto"/>
            <w:noWrap/>
            <w:vAlign w:val="bottom"/>
            <w:hideMark/>
          </w:tcPr>
          <w:p w14:paraId="231EA0BE"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909588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697675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964B5C6"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79E2AB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9DAB59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675DB7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2270599E"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4B2AB4AD" w14:textId="77777777" w:rsidR="00E42044" w:rsidRPr="00E42044" w:rsidRDefault="00E42044" w:rsidP="00E42044">
            <w:pPr>
              <w:rPr>
                <w:rFonts w:ascii="Calibri" w:eastAsia="Times New Roman" w:hAnsi="Calibri" w:cs="Calibri"/>
                <w:color w:val="000000"/>
              </w:rPr>
            </w:pPr>
          </w:p>
        </w:tc>
      </w:tr>
      <w:tr w:rsidR="00E42044" w:rsidRPr="00E42044" w14:paraId="7AB38708" w14:textId="77777777" w:rsidTr="00E42044">
        <w:trPr>
          <w:trHeight w:val="320"/>
        </w:trPr>
        <w:tc>
          <w:tcPr>
            <w:tcW w:w="1772" w:type="pct"/>
            <w:tcBorders>
              <w:top w:val="nil"/>
              <w:left w:val="nil"/>
              <w:bottom w:val="nil"/>
              <w:right w:val="nil"/>
            </w:tcBorders>
            <w:shd w:val="clear" w:color="auto" w:fill="auto"/>
            <w:noWrap/>
            <w:vAlign w:val="bottom"/>
            <w:hideMark/>
          </w:tcPr>
          <w:p w14:paraId="105D1B80"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5: Structure and function literature and field data 1</w:t>
            </w:r>
          </w:p>
        </w:tc>
        <w:tc>
          <w:tcPr>
            <w:tcW w:w="359" w:type="pct"/>
            <w:tcBorders>
              <w:top w:val="nil"/>
              <w:left w:val="nil"/>
              <w:bottom w:val="nil"/>
              <w:right w:val="nil"/>
            </w:tcBorders>
            <w:shd w:val="clear" w:color="auto" w:fill="auto"/>
            <w:noWrap/>
            <w:vAlign w:val="bottom"/>
            <w:hideMark/>
          </w:tcPr>
          <w:p w14:paraId="5EF4C5BB"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F5274A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952A6E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2D8C8C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19C29C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EFA9D5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F7212D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764A1AB8"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c>
          <w:tcPr>
            <w:tcW w:w="359" w:type="pct"/>
            <w:tcBorders>
              <w:top w:val="nil"/>
              <w:left w:val="nil"/>
              <w:bottom w:val="nil"/>
              <w:right w:val="nil"/>
            </w:tcBorders>
            <w:shd w:val="clear" w:color="auto" w:fill="auto"/>
            <w:noWrap/>
            <w:vAlign w:val="bottom"/>
            <w:hideMark/>
          </w:tcPr>
          <w:p w14:paraId="13F009C5" w14:textId="77777777" w:rsidR="00E42044" w:rsidRPr="00E42044" w:rsidRDefault="00E42044" w:rsidP="00E42044">
            <w:pPr>
              <w:rPr>
                <w:rFonts w:ascii="Calibri" w:eastAsia="Times New Roman" w:hAnsi="Calibri" w:cs="Calibri"/>
                <w:color w:val="000000"/>
              </w:rPr>
            </w:pPr>
          </w:p>
        </w:tc>
      </w:tr>
      <w:tr w:rsidR="00E42044" w:rsidRPr="00E42044" w14:paraId="31B88372" w14:textId="77777777" w:rsidTr="00E42044">
        <w:trPr>
          <w:trHeight w:val="320"/>
        </w:trPr>
        <w:tc>
          <w:tcPr>
            <w:tcW w:w="1772" w:type="pct"/>
            <w:tcBorders>
              <w:top w:val="nil"/>
              <w:left w:val="nil"/>
              <w:bottom w:val="nil"/>
              <w:right w:val="nil"/>
            </w:tcBorders>
            <w:shd w:val="clear" w:color="auto" w:fill="auto"/>
            <w:noWrap/>
            <w:vAlign w:val="bottom"/>
            <w:hideMark/>
          </w:tcPr>
          <w:p w14:paraId="54502E26"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Collect Field Data 2</w:t>
            </w:r>
          </w:p>
        </w:tc>
        <w:tc>
          <w:tcPr>
            <w:tcW w:w="359" w:type="pct"/>
            <w:tcBorders>
              <w:top w:val="nil"/>
              <w:left w:val="nil"/>
              <w:bottom w:val="nil"/>
              <w:right w:val="nil"/>
            </w:tcBorders>
            <w:shd w:val="clear" w:color="auto" w:fill="auto"/>
            <w:noWrap/>
            <w:vAlign w:val="bottom"/>
            <w:hideMark/>
          </w:tcPr>
          <w:p w14:paraId="2307458B"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903A1E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B666AB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319B65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C76089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7347DE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3CE898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57F5AA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31C6C677"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5D460766" w14:textId="77777777" w:rsidTr="00E42044">
        <w:trPr>
          <w:trHeight w:val="320"/>
        </w:trPr>
        <w:tc>
          <w:tcPr>
            <w:tcW w:w="1772" w:type="pct"/>
            <w:tcBorders>
              <w:top w:val="nil"/>
              <w:left w:val="nil"/>
              <w:bottom w:val="nil"/>
              <w:right w:val="nil"/>
            </w:tcBorders>
            <w:shd w:val="clear" w:color="auto" w:fill="auto"/>
            <w:noWrap/>
            <w:vAlign w:val="bottom"/>
            <w:hideMark/>
          </w:tcPr>
          <w:p w14:paraId="0E977972"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Laboratory analysis: dormancy</w:t>
            </w:r>
          </w:p>
        </w:tc>
        <w:tc>
          <w:tcPr>
            <w:tcW w:w="359" w:type="pct"/>
            <w:tcBorders>
              <w:top w:val="nil"/>
              <w:left w:val="nil"/>
              <w:bottom w:val="nil"/>
              <w:right w:val="nil"/>
            </w:tcBorders>
            <w:shd w:val="clear" w:color="auto" w:fill="auto"/>
            <w:noWrap/>
            <w:vAlign w:val="bottom"/>
            <w:hideMark/>
          </w:tcPr>
          <w:p w14:paraId="641AB366"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F61379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F9F103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43D34B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B1D2A2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8E5E3F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66677F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415B38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0F94DF4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3A54C871" w14:textId="77777777" w:rsidTr="00E42044">
        <w:trPr>
          <w:trHeight w:val="320"/>
        </w:trPr>
        <w:tc>
          <w:tcPr>
            <w:tcW w:w="1772" w:type="pct"/>
            <w:tcBorders>
              <w:top w:val="nil"/>
              <w:left w:val="nil"/>
              <w:bottom w:val="nil"/>
              <w:right w:val="nil"/>
            </w:tcBorders>
            <w:shd w:val="clear" w:color="auto" w:fill="auto"/>
            <w:noWrap/>
            <w:vAlign w:val="bottom"/>
            <w:hideMark/>
          </w:tcPr>
          <w:p w14:paraId="6296A9C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1: Biogeographic patterns field data 2</w:t>
            </w:r>
          </w:p>
        </w:tc>
        <w:tc>
          <w:tcPr>
            <w:tcW w:w="359" w:type="pct"/>
            <w:tcBorders>
              <w:top w:val="nil"/>
              <w:left w:val="nil"/>
              <w:bottom w:val="nil"/>
              <w:right w:val="nil"/>
            </w:tcBorders>
            <w:shd w:val="clear" w:color="auto" w:fill="auto"/>
            <w:noWrap/>
            <w:vAlign w:val="bottom"/>
            <w:hideMark/>
          </w:tcPr>
          <w:p w14:paraId="48FBE2FA"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23F66B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5534DEB"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7E1245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33CD52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FCA439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D8EB19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63FFC9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6FCA2E07"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797C375D" w14:textId="77777777" w:rsidTr="00E42044">
        <w:trPr>
          <w:trHeight w:val="320"/>
        </w:trPr>
        <w:tc>
          <w:tcPr>
            <w:tcW w:w="1772" w:type="pct"/>
            <w:tcBorders>
              <w:top w:val="nil"/>
              <w:left w:val="nil"/>
              <w:bottom w:val="nil"/>
              <w:right w:val="nil"/>
            </w:tcBorders>
            <w:shd w:val="clear" w:color="auto" w:fill="auto"/>
            <w:noWrap/>
            <w:vAlign w:val="bottom"/>
            <w:hideMark/>
          </w:tcPr>
          <w:p w14:paraId="619A614E"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2: Community assembly field data 2</w:t>
            </w:r>
          </w:p>
        </w:tc>
        <w:tc>
          <w:tcPr>
            <w:tcW w:w="359" w:type="pct"/>
            <w:tcBorders>
              <w:top w:val="nil"/>
              <w:left w:val="nil"/>
              <w:bottom w:val="nil"/>
              <w:right w:val="nil"/>
            </w:tcBorders>
            <w:shd w:val="clear" w:color="auto" w:fill="auto"/>
            <w:noWrap/>
            <w:vAlign w:val="bottom"/>
            <w:hideMark/>
          </w:tcPr>
          <w:p w14:paraId="7A93C766"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12557AA2"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44E65F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EAA17F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E65F56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8857EA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459035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5E21AA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2E25C17A"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5163FF3B" w14:textId="77777777" w:rsidTr="00E42044">
        <w:trPr>
          <w:trHeight w:val="320"/>
        </w:trPr>
        <w:tc>
          <w:tcPr>
            <w:tcW w:w="1772" w:type="pct"/>
            <w:tcBorders>
              <w:top w:val="nil"/>
              <w:left w:val="nil"/>
              <w:bottom w:val="nil"/>
              <w:right w:val="nil"/>
            </w:tcBorders>
            <w:shd w:val="clear" w:color="auto" w:fill="auto"/>
            <w:noWrap/>
            <w:vAlign w:val="bottom"/>
            <w:hideMark/>
          </w:tcPr>
          <w:p w14:paraId="2D64E705"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3: Community assembly and size field data 2</w:t>
            </w:r>
          </w:p>
        </w:tc>
        <w:tc>
          <w:tcPr>
            <w:tcW w:w="359" w:type="pct"/>
            <w:tcBorders>
              <w:top w:val="nil"/>
              <w:left w:val="nil"/>
              <w:bottom w:val="nil"/>
              <w:right w:val="nil"/>
            </w:tcBorders>
            <w:shd w:val="clear" w:color="auto" w:fill="auto"/>
            <w:noWrap/>
            <w:vAlign w:val="bottom"/>
            <w:hideMark/>
          </w:tcPr>
          <w:p w14:paraId="12FF6497"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6AC2AA0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902B39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7AFFC1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56721EE"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08D489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27263A8C"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0A0CC1A"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33C2C09C"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7DB4F8E5" w14:textId="77777777" w:rsidTr="00E42044">
        <w:trPr>
          <w:trHeight w:val="320"/>
        </w:trPr>
        <w:tc>
          <w:tcPr>
            <w:tcW w:w="1772" w:type="pct"/>
            <w:tcBorders>
              <w:top w:val="nil"/>
              <w:left w:val="nil"/>
              <w:bottom w:val="nil"/>
              <w:right w:val="nil"/>
            </w:tcBorders>
            <w:shd w:val="clear" w:color="auto" w:fill="auto"/>
            <w:noWrap/>
            <w:vAlign w:val="bottom"/>
            <w:hideMark/>
          </w:tcPr>
          <w:p w14:paraId="0443689F"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4: Assembly and structure field data 2</w:t>
            </w:r>
          </w:p>
        </w:tc>
        <w:tc>
          <w:tcPr>
            <w:tcW w:w="359" w:type="pct"/>
            <w:tcBorders>
              <w:top w:val="nil"/>
              <w:left w:val="nil"/>
              <w:bottom w:val="nil"/>
              <w:right w:val="nil"/>
            </w:tcBorders>
            <w:shd w:val="clear" w:color="auto" w:fill="auto"/>
            <w:noWrap/>
            <w:vAlign w:val="bottom"/>
            <w:hideMark/>
          </w:tcPr>
          <w:p w14:paraId="29114007"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15D2231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998D4F7"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72ED6A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AECC29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07F20E79"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C21F5D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DE16104"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7A53D8E6"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45419078" w14:textId="77777777" w:rsidTr="00E42044">
        <w:trPr>
          <w:trHeight w:val="320"/>
        </w:trPr>
        <w:tc>
          <w:tcPr>
            <w:tcW w:w="1772" w:type="pct"/>
            <w:tcBorders>
              <w:top w:val="nil"/>
              <w:left w:val="nil"/>
              <w:bottom w:val="nil"/>
              <w:right w:val="nil"/>
            </w:tcBorders>
            <w:shd w:val="clear" w:color="auto" w:fill="auto"/>
            <w:noWrap/>
            <w:vAlign w:val="bottom"/>
            <w:hideMark/>
          </w:tcPr>
          <w:p w14:paraId="22BD6773"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Question 5: Structure and function field data 2</w:t>
            </w:r>
          </w:p>
        </w:tc>
        <w:tc>
          <w:tcPr>
            <w:tcW w:w="359" w:type="pct"/>
            <w:tcBorders>
              <w:top w:val="nil"/>
              <w:left w:val="nil"/>
              <w:bottom w:val="nil"/>
              <w:right w:val="nil"/>
            </w:tcBorders>
            <w:shd w:val="clear" w:color="auto" w:fill="auto"/>
            <w:noWrap/>
            <w:vAlign w:val="bottom"/>
            <w:hideMark/>
          </w:tcPr>
          <w:p w14:paraId="57365CCD"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5B92FCE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0FC7731"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0756DC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1400BF5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7BB821F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1FD2DD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8D49B33"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1F52C44D"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r w:rsidR="00E42044" w:rsidRPr="00E42044" w14:paraId="40E8791E" w14:textId="77777777" w:rsidTr="00E42044">
        <w:trPr>
          <w:trHeight w:val="320"/>
        </w:trPr>
        <w:tc>
          <w:tcPr>
            <w:tcW w:w="1772" w:type="pct"/>
            <w:tcBorders>
              <w:top w:val="nil"/>
              <w:left w:val="nil"/>
              <w:bottom w:val="nil"/>
              <w:right w:val="nil"/>
            </w:tcBorders>
            <w:shd w:val="clear" w:color="auto" w:fill="auto"/>
            <w:noWrap/>
            <w:vAlign w:val="bottom"/>
            <w:hideMark/>
          </w:tcPr>
          <w:p w14:paraId="7F5024E8"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WRITE UP</w:t>
            </w:r>
          </w:p>
        </w:tc>
        <w:tc>
          <w:tcPr>
            <w:tcW w:w="359" w:type="pct"/>
            <w:tcBorders>
              <w:top w:val="nil"/>
              <w:left w:val="nil"/>
              <w:bottom w:val="nil"/>
              <w:right w:val="nil"/>
            </w:tcBorders>
            <w:shd w:val="clear" w:color="auto" w:fill="auto"/>
            <w:noWrap/>
            <w:vAlign w:val="bottom"/>
            <w:hideMark/>
          </w:tcPr>
          <w:p w14:paraId="40A4C5E7" w14:textId="77777777" w:rsidR="00E42044" w:rsidRPr="00E42044" w:rsidRDefault="00E42044" w:rsidP="00E42044">
            <w:pPr>
              <w:rPr>
                <w:rFonts w:ascii="Calibri" w:eastAsia="Times New Roman" w:hAnsi="Calibri" w:cs="Calibri"/>
                <w:color w:val="000000"/>
              </w:rPr>
            </w:pPr>
          </w:p>
        </w:tc>
        <w:tc>
          <w:tcPr>
            <w:tcW w:w="359" w:type="pct"/>
            <w:tcBorders>
              <w:top w:val="nil"/>
              <w:left w:val="nil"/>
              <w:bottom w:val="nil"/>
              <w:right w:val="nil"/>
            </w:tcBorders>
            <w:shd w:val="clear" w:color="auto" w:fill="auto"/>
            <w:noWrap/>
            <w:vAlign w:val="bottom"/>
            <w:hideMark/>
          </w:tcPr>
          <w:p w14:paraId="0C48FED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7665D38"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5D130DA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3EFE9CA0"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8CB765F"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408908F5"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noWrap/>
            <w:vAlign w:val="bottom"/>
            <w:hideMark/>
          </w:tcPr>
          <w:p w14:paraId="64296ECD" w14:textId="77777777" w:rsidR="00E42044" w:rsidRPr="00E42044" w:rsidRDefault="00E42044" w:rsidP="00E42044">
            <w:pPr>
              <w:rPr>
                <w:rFonts w:ascii="Times New Roman" w:eastAsia="Times New Roman" w:hAnsi="Times New Roman" w:cs="Times New Roman"/>
                <w:sz w:val="20"/>
                <w:szCs w:val="20"/>
              </w:rPr>
            </w:pPr>
          </w:p>
        </w:tc>
        <w:tc>
          <w:tcPr>
            <w:tcW w:w="359" w:type="pct"/>
            <w:tcBorders>
              <w:top w:val="nil"/>
              <w:left w:val="nil"/>
              <w:bottom w:val="nil"/>
              <w:right w:val="nil"/>
            </w:tcBorders>
            <w:shd w:val="clear" w:color="000000" w:fill="92D050"/>
            <w:noWrap/>
            <w:vAlign w:val="bottom"/>
            <w:hideMark/>
          </w:tcPr>
          <w:p w14:paraId="248C9979" w14:textId="77777777" w:rsidR="00E42044" w:rsidRPr="00E42044" w:rsidRDefault="00E42044" w:rsidP="00E42044">
            <w:pPr>
              <w:rPr>
                <w:rFonts w:ascii="Calibri" w:eastAsia="Times New Roman" w:hAnsi="Calibri" w:cs="Calibri"/>
                <w:color w:val="000000"/>
              </w:rPr>
            </w:pPr>
            <w:r w:rsidRPr="00E42044">
              <w:rPr>
                <w:rFonts w:ascii="Calibri" w:eastAsia="Times New Roman" w:hAnsi="Calibri" w:cs="Calibri"/>
                <w:color w:val="000000"/>
              </w:rPr>
              <w:t> </w:t>
            </w:r>
          </w:p>
        </w:tc>
      </w:tr>
    </w:tbl>
    <w:p w14:paraId="43DC76A9" w14:textId="77777777" w:rsidR="00BF7219" w:rsidRDefault="00BF7219">
      <w:pPr>
        <w:sectPr w:rsidR="00BF7219" w:rsidSect="00E42044">
          <w:pgSz w:w="16817" w:h="11901" w:orient="landscape"/>
          <w:pgMar w:top="1134" w:right="1440" w:bottom="1440" w:left="1440" w:header="720" w:footer="720" w:gutter="0"/>
          <w:cols w:space="720"/>
          <w:docGrid w:linePitch="360"/>
        </w:sectPr>
      </w:pPr>
    </w:p>
    <w:tbl>
      <w:tblPr>
        <w:tblW w:w="5000" w:type="pct"/>
        <w:tblLook w:val="04A0" w:firstRow="1" w:lastRow="0" w:firstColumn="1" w:lastColumn="0" w:noHBand="0" w:noVBand="1"/>
      </w:tblPr>
      <w:tblGrid>
        <w:gridCol w:w="4332"/>
        <w:gridCol w:w="1024"/>
        <w:gridCol w:w="814"/>
        <w:gridCol w:w="989"/>
        <w:gridCol w:w="973"/>
        <w:gridCol w:w="780"/>
        <w:gridCol w:w="871"/>
        <w:gridCol w:w="690"/>
        <w:gridCol w:w="586"/>
        <w:gridCol w:w="717"/>
        <w:gridCol w:w="718"/>
        <w:gridCol w:w="718"/>
        <w:gridCol w:w="725"/>
      </w:tblGrid>
      <w:tr w:rsidR="00E42044" w:rsidRPr="00E42044" w14:paraId="6A9A5911" w14:textId="77777777" w:rsidTr="00E42044">
        <w:trPr>
          <w:trHeight w:val="320"/>
        </w:trPr>
        <w:tc>
          <w:tcPr>
            <w:tcW w:w="1458" w:type="pct"/>
            <w:tcBorders>
              <w:top w:val="nil"/>
              <w:left w:val="nil"/>
              <w:bottom w:val="nil"/>
              <w:right w:val="nil"/>
            </w:tcBorders>
            <w:shd w:val="clear" w:color="auto" w:fill="auto"/>
            <w:noWrap/>
            <w:vAlign w:val="bottom"/>
            <w:hideMark/>
          </w:tcPr>
          <w:p w14:paraId="2D7FB9B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lastRenderedPageBreak/>
              <w:t>Year Two</w:t>
            </w:r>
          </w:p>
        </w:tc>
        <w:tc>
          <w:tcPr>
            <w:tcW w:w="295" w:type="pct"/>
            <w:tcBorders>
              <w:top w:val="nil"/>
              <w:left w:val="nil"/>
              <w:bottom w:val="nil"/>
              <w:right w:val="nil"/>
            </w:tcBorders>
            <w:shd w:val="clear" w:color="auto" w:fill="auto"/>
            <w:noWrap/>
            <w:vAlign w:val="bottom"/>
            <w:hideMark/>
          </w:tcPr>
          <w:p w14:paraId="1805494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September</w:t>
            </w:r>
          </w:p>
        </w:tc>
        <w:tc>
          <w:tcPr>
            <w:tcW w:w="295" w:type="pct"/>
            <w:tcBorders>
              <w:top w:val="nil"/>
              <w:left w:val="nil"/>
              <w:bottom w:val="nil"/>
              <w:right w:val="nil"/>
            </w:tcBorders>
            <w:shd w:val="clear" w:color="auto" w:fill="auto"/>
            <w:noWrap/>
            <w:vAlign w:val="bottom"/>
            <w:hideMark/>
          </w:tcPr>
          <w:p w14:paraId="1DD9C6F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October</w:t>
            </w:r>
          </w:p>
        </w:tc>
        <w:tc>
          <w:tcPr>
            <w:tcW w:w="295" w:type="pct"/>
            <w:tcBorders>
              <w:top w:val="nil"/>
              <w:left w:val="nil"/>
              <w:bottom w:val="nil"/>
              <w:right w:val="nil"/>
            </w:tcBorders>
            <w:shd w:val="clear" w:color="auto" w:fill="auto"/>
            <w:noWrap/>
            <w:vAlign w:val="bottom"/>
            <w:hideMark/>
          </w:tcPr>
          <w:p w14:paraId="46B1FFB1"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November</w:t>
            </w:r>
          </w:p>
        </w:tc>
        <w:tc>
          <w:tcPr>
            <w:tcW w:w="295" w:type="pct"/>
            <w:tcBorders>
              <w:top w:val="nil"/>
              <w:left w:val="nil"/>
              <w:bottom w:val="nil"/>
              <w:right w:val="nil"/>
            </w:tcBorders>
            <w:shd w:val="clear" w:color="auto" w:fill="auto"/>
            <w:noWrap/>
            <w:vAlign w:val="bottom"/>
            <w:hideMark/>
          </w:tcPr>
          <w:p w14:paraId="35AAF19C"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December</w:t>
            </w:r>
          </w:p>
        </w:tc>
        <w:tc>
          <w:tcPr>
            <w:tcW w:w="295" w:type="pct"/>
            <w:tcBorders>
              <w:top w:val="nil"/>
              <w:left w:val="nil"/>
              <w:bottom w:val="nil"/>
              <w:right w:val="nil"/>
            </w:tcBorders>
            <w:shd w:val="clear" w:color="auto" w:fill="auto"/>
            <w:noWrap/>
            <w:vAlign w:val="bottom"/>
            <w:hideMark/>
          </w:tcPr>
          <w:p w14:paraId="7A03AC0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January</w:t>
            </w:r>
          </w:p>
        </w:tc>
        <w:tc>
          <w:tcPr>
            <w:tcW w:w="295" w:type="pct"/>
            <w:tcBorders>
              <w:top w:val="nil"/>
              <w:left w:val="nil"/>
              <w:bottom w:val="nil"/>
              <w:right w:val="nil"/>
            </w:tcBorders>
            <w:shd w:val="clear" w:color="auto" w:fill="auto"/>
            <w:noWrap/>
            <w:vAlign w:val="bottom"/>
            <w:hideMark/>
          </w:tcPr>
          <w:p w14:paraId="79EACDB9"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February</w:t>
            </w:r>
          </w:p>
        </w:tc>
        <w:tc>
          <w:tcPr>
            <w:tcW w:w="295" w:type="pct"/>
            <w:tcBorders>
              <w:top w:val="nil"/>
              <w:left w:val="nil"/>
              <w:bottom w:val="nil"/>
              <w:right w:val="nil"/>
            </w:tcBorders>
            <w:shd w:val="clear" w:color="auto" w:fill="auto"/>
            <w:noWrap/>
            <w:vAlign w:val="bottom"/>
            <w:hideMark/>
          </w:tcPr>
          <w:p w14:paraId="3FE31BEE"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March</w:t>
            </w:r>
          </w:p>
        </w:tc>
        <w:tc>
          <w:tcPr>
            <w:tcW w:w="295" w:type="pct"/>
            <w:tcBorders>
              <w:top w:val="nil"/>
              <w:left w:val="nil"/>
              <w:bottom w:val="nil"/>
              <w:right w:val="nil"/>
            </w:tcBorders>
            <w:shd w:val="clear" w:color="auto" w:fill="auto"/>
            <w:noWrap/>
            <w:vAlign w:val="bottom"/>
            <w:hideMark/>
          </w:tcPr>
          <w:p w14:paraId="06B35EB1"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April</w:t>
            </w:r>
          </w:p>
        </w:tc>
        <w:tc>
          <w:tcPr>
            <w:tcW w:w="295" w:type="pct"/>
            <w:tcBorders>
              <w:top w:val="nil"/>
              <w:left w:val="nil"/>
              <w:bottom w:val="nil"/>
              <w:right w:val="nil"/>
            </w:tcBorders>
            <w:shd w:val="clear" w:color="auto" w:fill="auto"/>
            <w:noWrap/>
            <w:vAlign w:val="bottom"/>
            <w:hideMark/>
          </w:tcPr>
          <w:p w14:paraId="2A446EF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May</w:t>
            </w:r>
          </w:p>
        </w:tc>
        <w:tc>
          <w:tcPr>
            <w:tcW w:w="295" w:type="pct"/>
            <w:tcBorders>
              <w:top w:val="nil"/>
              <w:left w:val="nil"/>
              <w:bottom w:val="nil"/>
              <w:right w:val="nil"/>
            </w:tcBorders>
            <w:shd w:val="clear" w:color="auto" w:fill="auto"/>
            <w:noWrap/>
            <w:vAlign w:val="bottom"/>
            <w:hideMark/>
          </w:tcPr>
          <w:p w14:paraId="1E62ACB7"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June</w:t>
            </w:r>
          </w:p>
        </w:tc>
        <w:tc>
          <w:tcPr>
            <w:tcW w:w="295" w:type="pct"/>
            <w:tcBorders>
              <w:top w:val="nil"/>
              <w:left w:val="nil"/>
              <w:bottom w:val="nil"/>
              <w:right w:val="nil"/>
            </w:tcBorders>
            <w:shd w:val="clear" w:color="auto" w:fill="auto"/>
            <w:noWrap/>
            <w:vAlign w:val="bottom"/>
            <w:hideMark/>
          </w:tcPr>
          <w:p w14:paraId="4A88A2E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xml:space="preserve">July </w:t>
            </w:r>
          </w:p>
        </w:tc>
        <w:tc>
          <w:tcPr>
            <w:tcW w:w="295" w:type="pct"/>
            <w:tcBorders>
              <w:top w:val="nil"/>
              <w:left w:val="nil"/>
              <w:bottom w:val="nil"/>
              <w:right w:val="nil"/>
            </w:tcBorders>
            <w:shd w:val="clear" w:color="auto" w:fill="auto"/>
            <w:noWrap/>
            <w:vAlign w:val="bottom"/>
            <w:hideMark/>
          </w:tcPr>
          <w:p w14:paraId="76DF2BA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August</w:t>
            </w:r>
          </w:p>
        </w:tc>
      </w:tr>
      <w:tr w:rsidR="00E42044" w:rsidRPr="00E42044" w14:paraId="6CD25D66" w14:textId="77777777" w:rsidTr="00E42044">
        <w:trPr>
          <w:trHeight w:val="320"/>
        </w:trPr>
        <w:tc>
          <w:tcPr>
            <w:tcW w:w="1458" w:type="pct"/>
            <w:tcBorders>
              <w:top w:val="nil"/>
              <w:left w:val="nil"/>
              <w:bottom w:val="nil"/>
              <w:right w:val="nil"/>
            </w:tcBorders>
            <w:shd w:val="clear" w:color="auto" w:fill="auto"/>
            <w:noWrap/>
            <w:vAlign w:val="bottom"/>
            <w:hideMark/>
          </w:tcPr>
          <w:p w14:paraId="3E57D26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Question 6: Dormancy Experiment</w:t>
            </w:r>
          </w:p>
        </w:tc>
        <w:tc>
          <w:tcPr>
            <w:tcW w:w="295" w:type="pct"/>
            <w:tcBorders>
              <w:top w:val="nil"/>
              <w:left w:val="nil"/>
              <w:bottom w:val="nil"/>
              <w:right w:val="nil"/>
            </w:tcBorders>
            <w:shd w:val="clear" w:color="000000" w:fill="92D050"/>
            <w:noWrap/>
            <w:vAlign w:val="bottom"/>
            <w:hideMark/>
          </w:tcPr>
          <w:p w14:paraId="4A2F31C6"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0F9564E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714CC1F0"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28B9141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5F449297"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64B89BB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auto" w:fill="auto"/>
            <w:noWrap/>
            <w:vAlign w:val="bottom"/>
            <w:hideMark/>
          </w:tcPr>
          <w:p w14:paraId="1939EAA3"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5DEB231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0AD1154"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A7E884D"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33FC21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0050D0C"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26C2070E" w14:textId="77777777" w:rsidTr="00E42044">
        <w:trPr>
          <w:trHeight w:val="320"/>
        </w:trPr>
        <w:tc>
          <w:tcPr>
            <w:tcW w:w="1458" w:type="pct"/>
            <w:tcBorders>
              <w:top w:val="nil"/>
              <w:left w:val="nil"/>
              <w:bottom w:val="nil"/>
              <w:right w:val="nil"/>
            </w:tcBorders>
            <w:shd w:val="clear" w:color="auto" w:fill="auto"/>
            <w:noWrap/>
            <w:vAlign w:val="bottom"/>
            <w:hideMark/>
          </w:tcPr>
          <w:p w14:paraId="5D55FC4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Question 7: Species Interaction Network</w:t>
            </w:r>
          </w:p>
        </w:tc>
        <w:tc>
          <w:tcPr>
            <w:tcW w:w="295" w:type="pct"/>
            <w:tcBorders>
              <w:top w:val="nil"/>
              <w:left w:val="nil"/>
              <w:bottom w:val="nil"/>
              <w:right w:val="nil"/>
            </w:tcBorders>
            <w:shd w:val="clear" w:color="auto" w:fill="auto"/>
            <w:noWrap/>
            <w:vAlign w:val="bottom"/>
            <w:hideMark/>
          </w:tcPr>
          <w:p w14:paraId="46BD05B1"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5C902A78"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1BA2F43"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7EB3E5D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6866F4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7E67095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000000" w:fill="92D050"/>
            <w:noWrap/>
            <w:vAlign w:val="bottom"/>
            <w:hideMark/>
          </w:tcPr>
          <w:p w14:paraId="51DD808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3998B10E"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auto" w:fill="auto"/>
            <w:noWrap/>
            <w:vAlign w:val="bottom"/>
            <w:hideMark/>
          </w:tcPr>
          <w:p w14:paraId="31CD4326"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2A95D336"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0D48041"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3491BF4"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70993A71" w14:textId="77777777" w:rsidTr="00E42044">
        <w:trPr>
          <w:trHeight w:val="320"/>
        </w:trPr>
        <w:tc>
          <w:tcPr>
            <w:tcW w:w="1458" w:type="pct"/>
            <w:tcBorders>
              <w:top w:val="nil"/>
              <w:left w:val="nil"/>
              <w:bottom w:val="nil"/>
              <w:right w:val="nil"/>
            </w:tcBorders>
            <w:shd w:val="clear" w:color="auto" w:fill="auto"/>
            <w:noWrap/>
            <w:vAlign w:val="bottom"/>
            <w:hideMark/>
          </w:tcPr>
          <w:p w14:paraId="7C956C64"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Question 8: Network analysis and biogeochemical cycles</w:t>
            </w:r>
          </w:p>
        </w:tc>
        <w:tc>
          <w:tcPr>
            <w:tcW w:w="295" w:type="pct"/>
            <w:tcBorders>
              <w:top w:val="nil"/>
              <w:left w:val="nil"/>
              <w:bottom w:val="nil"/>
              <w:right w:val="nil"/>
            </w:tcBorders>
            <w:shd w:val="clear" w:color="auto" w:fill="auto"/>
            <w:noWrap/>
            <w:vAlign w:val="bottom"/>
            <w:hideMark/>
          </w:tcPr>
          <w:p w14:paraId="0B6C340A"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511512E9"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0836616"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BF033FB"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90703CC"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D2953E4"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584472A"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1EAB017C"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000000" w:fill="92D050"/>
            <w:noWrap/>
            <w:vAlign w:val="bottom"/>
            <w:hideMark/>
          </w:tcPr>
          <w:p w14:paraId="2164A2C1"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2CC47C23"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auto" w:fill="auto"/>
            <w:noWrap/>
            <w:vAlign w:val="bottom"/>
            <w:hideMark/>
          </w:tcPr>
          <w:p w14:paraId="08DB2322"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59DF8FB7"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4D7011AE" w14:textId="77777777" w:rsidTr="00E42044">
        <w:trPr>
          <w:trHeight w:val="320"/>
        </w:trPr>
        <w:tc>
          <w:tcPr>
            <w:tcW w:w="1458" w:type="pct"/>
            <w:tcBorders>
              <w:top w:val="nil"/>
              <w:left w:val="nil"/>
              <w:bottom w:val="nil"/>
              <w:right w:val="nil"/>
            </w:tcBorders>
            <w:shd w:val="clear" w:color="auto" w:fill="auto"/>
            <w:noWrap/>
            <w:vAlign w:val="bottom"/>
            <w:hideMark/>
          </w:tcPr>
          <w:p w14:paraId="4163EE8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Question 9: Network analysis and CC scenarios</w:t>
            </w:r>
          </w:p>
        </w:tc>
        <w:tc>
          <w:tcPr>
            <w:tcW w:w="295" w:type="pct"/>
            <w:tcBorders>
              <w:top w:val="nil"/>
              <w:left w:val="nil"/>
              <w:bottom w:val="nil"/>
              <w:right w:val="nil"/>
            </w:tcBorders>
            <w:shd w:val="clear" w:color="auto" w:fill="auto"/>
            <w:noWrap/>
            <w:vAlign w:val="bottom"/>
            <w:hideMark/>
          </w:tcPr>
          <w:p w14:paraId="31C24CB1"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0604FD1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86F2113"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A5479B8"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5CE5AF1"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88393E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ACD381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DEEA9C5"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7F3C05D"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D27627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000000" w:fill="92D050"/>
            <w:noWrap/>
            <w:vAlign w:val="bottom"/>
            <w:hideMark/>
          </w:tcPr>
          <w:p w14:paraId="5AF8346F"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7F0066AE"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r>
      <w:tr w:rsidR="00E42044" w:rsidRPr="00E42044" w14:paraId="7AC89B0C" w14:textId="77777777" w:rsidTr="00E42044">
        <w:trPr>
          <w:trHeight w:val="320"/>
        </w:trPr>
        <w:tc>
          <w:tcPr>
            <w:tcW w:w="1458" w:type="pct"/>
            <w:tcBorders>
              <w:top w:val="nil"/>
              <w:left w:val="nil"/>
              <w:bottom w:val="nil"/>
              <w:right w:val="nil"/>
            </w:tcBorders>
            <w:shd w:val="clear" w:color="auto" w:fill="auto"/>
            <w:noWrap/>
            <w:vAlign w:val="bottom"/>
            <w:hideMark/>
          </w:tcPr>
          <w:p w14:paraId="5F630C69"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75E00DE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F8351FB"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BECE106"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9819107"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AA577F5"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8F7D79B"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7173AD7"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139024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31A26A8"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D49B6F9"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FFD5449"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4974897"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094DE9ED" w14:textId="77777777" w:rsidTr="00E42044">
        <w:trPr>
          <w:trHeight w:val="320"/>
        </w:trPr>
        <w:tc>
          <w:tcPr>
            <w:tcW w:w="1458" w:type="pct"/>
            <w:tcBorders>
              <w:top w:val="nil"/>
              <w:left w:val="nil"/>
              <w:bottom w:val="nil"/>
              <w:right w:val="nil"/>
            </w:tcBorders>
            <w:shd w:val="clear" w:color="auto" w:fill="auto"/>
            <w:noWrap/>
            <w:vAlign w:val="bottom"/>
            <w:hideMark/>
          </w:tcPr>
          <w:p w14:paraId="7CF12586"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Year Three</w:t>
            </w:r>
          </w:p>
        </w:tc>
        <w:tc>
          <w:tcPr>
            <w:tcW w:w="295" w:type="pct"/>
            <w:tcBorders>
              <w:top w:val="nil"/>
              <w:left w:val="nil"/>
              <w:bottom w:val="nil"/>
              <w:right w:val="nil"/>
            </w:tcBorders>
            <w:shd w:val="clear" w:color="auto" w:fill="auto"/>
            <w:noWrap/>
            <w:vAlign w:val="bottom"/>
            <w:hideMark/>
          </w:tcPr>
          <w:p w14:paraId="4A3983C9"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September</w:t>
            </w:r>
          </w:p>
        </w:tc>
        <w:tc>
          <w:tcPr>
            <w:tcW w:w="295" w:type="pct"/>
            <w:tcBorders>
              <w:top w:val="nil"/>
              <w:left w:val="nil"/>
              <w:bottom w:val="nil"/>
              <w:right w:val="nil"/>
            </w:tcBorders>
            <w:shd w:val="clear" w:color="auto" w:fill="auto"/>
            <w:noWrap/>
            <w:vAlign w:val="bottom"/>
            <w:hideMark/>
          </w:tcPr>
          <w:p w14:paraId="1B818479"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October</w:t>
            </w:r>
          </w:p>
        </w:tc>
        <w:tc>
          <w:tcPr>
            <w:tcW w:w="295" w:type="pct"/>
            <w:tcBorders>
              <w:top w:val="nil"/>
              <w:left w:val="nil"/>
              <w:bottom w:val="nil"/>
              <w:right w:val="nil"/>
            </w:tcBorders>
            <w:shd w:val="clear" w:color="auto" w:fill="auto"/>
            <w:noWrap/>
            <w:vAlign w:val="bottom"/>
            <w:hideMark/>
          </w:tcPr>
          <w:p w14:paraId="52C3D040"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November</w:t>
            </w:r>
          </w:p>
        </w:tc>
        <w:tc>
          <w:tcPr>
            <w:tcW w:w="295" w:type="pct"/>
            <w:tcBorders>
              <w:top w:val="nil"/>
              <w:left w:val="nil"/>
              <w:bottom w:val="nil"/>
              <w:right w:val="nil"/>
            </w:tcBorders>
            <w:shd w:val="clear" w:color="auto" w:fill="auto"/>
            <w:noWrap/>
            <w:vAlign w:val="bottom"/>
            <w:hideMark/>
          </w:tcPr>
          <w:p w14:paraId="3D190D3A"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December</w:t>
            </w:r>
          </w:p>
        </w:tc>
        <w:tc>
          <w:tcPr>
            <w:tcW w:w="295" w:type="pct"/>
            <w:tcBorders>
              <w:top w:val="nil"/>
              <w:left w:val="nil"/>
              <w:bottom w:val="nil"/>
              <w:right w:val="nil"/>
            </w:tcBorders>
            <w:shd w:val="clear" w:color="auto" w:fill="auto"/>
            <w:noWrap/>
            <w:vAlign w:val="bottom"/>
            <w:hideMark/>
          </w:tcPr>
          <w:p w14:paraId="051D4C1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January</w:t>
            </w:r>
          </w:p>
        </w:tc>
        <w:tc>
          <w:tcPr>
            <w:tcW w:w="295" w:type="pct"/>
            <w:tcBorders>
              <w:top w:val="nil"/>
              <w:left w:val="nil"/>
              <w:bottom w:val="nil"/>
              <w:right w:val="nil"/>
            </w:tcBorders>
            <w:shd w:val="clear" w:color="auto" w:fill="auto"/>
            <w:noWrap/>
            <w:vAlign w:val="bottom"/>
            <w:hideMark/>
          </w:tcPr>
          <w:p w14:paraId="4FFC653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February</w:t>
            </w:r>
          </w:p>
        </w:tc>
        <w:tc>
          <w:tcPr>
            <w:tcW w:w="295" w:type="pct"/>
            <w:tcBorders>
              <w:top w:val="nil"/>
              <w:left w:val="nil"/>
              <w:bottom w:val="nil"/>
              <w:right w:val="nil"/>
            </w:tcBorders>
            <w:shd w:val="clear" w:color="auto" w:fill="auto"/>
            <w:noWrap/>
            <w:vAlign w:val="bottom"/>
            <w:hideMark/>
          </w:tcPr>
          <w:p w14:paraId="20C3F9E6"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March</w:t>
            </w:r>
          </w:p>
        </w:tc>
        <w:tc>
          <w:tcPr>
            <w:tcW w:w="295" w:type="pct"/>
            <w:tcBorders>
              <w:top w:val="nil"/>
              <w:left w:val="nil"/>
              <w:bottom w:val="nil"/>
              <w:right w:val="nil"/>
            </w:tcBorders>
            <w:shd w:val="clear" w:color="auto" w:fill="auto"/>
            <w:noWrap/>
            <w:vAlign w:val="bottom"/>
            <w:hideMark/>
          </w:tcPr>
          <w:p w14:paraId="1956BD41"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April</w:t>
            </w:r>
          </w:p>
        </w:tc>
        <w:tc>
          <w:tcPr>
            <w:tcW w:w="295" w:type="pct"/>
            <w:tcBorders>
              <w:top w:val="nil"/>
              <w:left w:val="nil"/>
              <w:bottom w:val="nil"/>
              <w:right w:val="nil"/>
            </w:tcBorders>
            <w:shd w:val="clear" w:color="auto" w:fill="auto"/>
            <w:noWrap/>
            <w:vAlign w:val="bottom"/>
            <w:hideMark/>
          </w:tcPr>
          <w:p w14:paraId="2FA73224"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May</w:t>
            </w:r>
          </w:p>
        </w:tc>
        <w:tc>
          <w:tcPr>
            <w:tcW w:w="295" w:type="pct"/>
            <w:tcBorders>
              <w:top w:val="nil"/>
              <w:left w:val="nil"/>
              <w:bottom w:val="nil"/>
              <w:right w:val="nil"/>
            </w:tcBorders>
            <w:shd w:val="clear" w:color="auto" w:fill="auto"/>
            <w:noWrap/>
            <w:vAlign w:val="bottom"/>
            <w:hideMark/>
          </w:tcPr>
          <w:p w14:paraId="3C3B6C84"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June</w:t>
            </w:r>
          </w:p>
        </w:tc>
        <w:tc>
          <w:tcPr>
            <w:tcW w:w="295" w:type="pct"/>
            <w:tcBorders>
              <w:top w:val="nil"/>
              <w:left w:val="nil"/>
              <w:bottom w:val="nil"/>
              <w:right w:val="nil"/>
            </w:tcBorders>
            <w:shd w:val="clear" w:color="auto" w:fill="auto"/>
            <w:noWrap/>
            <w:vAlign w:val="bottom"/>
            <w:hideMark/>
          </w:tcPr>
          <w:p w14:paraId="4EBECAD6"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xml:space="preserve">July </w:t>
            </w:r>
          </w:p>
        </w:tc>
        <w:tc>
          <w:tcPr>
            <w:tcW w:w="295" w:type="pct"/>
            <w:tcBorders>
              <w:top w:val="nil"/>
              <w:left w:val="nil"/>
              <w:bottom w:val="nil"/>
              <w:right w:val="nil"/>
            </w:tcBorders>
            <w:shd w:val="clear" w:color="auto" w:fill="auto"/>
            <w:noWrap/>
            <w:vAlign w:val="bottom"/>
            <w:hideMark/>
          </w:tcPr>
          <w:p w14:paraId="08784724"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August</w:t>
            </w:r>
          </w:p>
        </w:tc>
      </w:tr>
      <w:tr w:rsidR="00E42044" w:rsidRPr="00E42044" w14:paraId="2EC8739F" w14:textId="77777777" w:rsidTr="00E42044">
        <w:trPr>
          <w:trHeight w:val="320"/>
        </w:trPr>
        <w:tc>
          <w:tcPr>
            <w:tcW w:w="1458" w:type="pct"/>
            <w:tcBorders>
              <w:top w:val="nil"/>
              <w:left w:val="nil"/>
              <w:bottom w:val="nil"/>
              <w:right w:val="nil"/>
            </w:tcBorders>
            <w:shd w:val="clear" w:color="auto" w:fill="auto"/>
            <w:noWrap/>
            <w:vAlign w:val="bottom"/>
            <w:hideMark/>
          </w:tcPr>
          <w:p w14:paraId="0D13E54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Question 10: Icy Worlds</w:t>
            </w:r>
          </w:p>
        </w:tc>
        <w:tc>
          <w:tcPr>
            <w:tcW w:w="295" w:type="pct"/>
            <w:tcBorders>
              <w:top w:val="nil"/>
              <w:left w:val="nil"/>
              <w:bottom w:val="nil"/>
              <w:right w:val="nil"/>
            </w:tcBorders>
            <w:shd w:val="clear" w:color="000000" w:fill="92D050"/>
            <w:noWrap/>
            <w:vAlign w:val="bottom"/>
            <w:hideMark/>
          </w:tcPr>
          <w:p w14:paraId="4F4F361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2CDA3E9C"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4BA0B9FE"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700C1E83"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1BFB6E3F"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17C114AC"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6542BD49"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auto" w:fill="auto"/>
            <w:noWrap/>
            <w:vAlign w:val="bottom"/>
            <w:hideMark/>
          </w:tcPr>
          <w:p w14:paraId="4C647934"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458A980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70F64F94"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457CC37"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27421FBE"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61448FD0" w14:textId="77777777" w:rsidTr="00E42044">
        <w:trPr>
          <w:trHeight w:val="320"/>
        </w:trPr>
        <w:tc>
          <w:tcPr>
            <w:tcW w:w="1458" w:type="pct"/>
            <w:tcBorders>
              <w:top w:val="nil"/>
              <w:left w:val="nil"/>
              <w:bottom w:val="nil"/>
              <w:right w:val="nil"/>
            </w:tcBorders>
            <w:shd w:val="clear" w:color="auto" w:fill="auto"/>
            <w:noWrap/>
            <w:vAlign w:val="bottom"/>
            <w:hideMark/>
          </w:tcPr>
          <w:p w14:paraId="5B086C0F"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Dissertation Write Up</w:t>
            </w:r>
          </w:p>
        </w:tc>
        <w:tc>
          <w:tcPr>
            <w:tcW w:w="295" w:type="pct"/>
            <w:tcBorders>
              <w:top w:val="nil"/>
              <w:left w:val="nil"/>
              <w:bottom w:val="nil"/>
              <w:right w:val="nil"/>
            </w:tcBorders>
            <w:shd w:val="clear" w:color="auto" w:fill="auto"/>
            <w:noWrap/>
            <w:vAlign w:val="bottom"/>
            <w:hideMark/>
          </w:tcPr>
          <w:p w14:paraId="6D26585C"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7318A44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13621B9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5C86E4E"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53C7E0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CBAB3C5"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18F6A61"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000000" w:fill="92D050"/>
            <w:noWrap/>
            <w:vAlign w:val="bottom"/>
            <w:hideMark/>
          </w:tcPr>
          <w:p w14:paraId="75F0CE99"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3232A8B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5C8021EA"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3AA2043F"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7489B07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r>
      <w:tr w:rsidR="00E42044" w:rsidRPr="00E42044" w14:paraId="13EA783A" w14:textId="77777777" w:rsidTr="00E42044">
        <w:trPr>
          <w:trHeight w:val="320"/>
        </w:trPr>
        <w:tc>
          <w:tcPr>
            <w:tcW w:w="1458" w:type="pct"/>
            <w:tcBorders>
              <w:top w:val="nil"/>
              <w:left w:val="nil"/>
              <w:bottom w:val="nil"/>
              <w:right w:val="nil"/>
            </w:tcBorders>
            <w:shd w:val="clear" w:color="auto" w:fill="auto"/>
            <w:noWrap/>
            <w:vAlign w:val="bottom"/>
            <w:hideMark/>
          </w:tcPr>
          <w:p w14:paraId="1E4E07B0"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3289BEB5"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966027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097876FB"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D792B0F"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5C75E146"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15019F7"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900E2E8"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20DD7BD"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81A585C"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35BC8E13"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1DA341C7"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1B1F1EBA"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6D9B5E4C" w14:textId="77777777" w:rsidTr="00E42044">
        <w:trPr>
          <w:trHeight w:val="320"/>
        </w:trPr>
        <w:tc>
          <w:tcPr>
            <w:tcW w:w="1458" w:type="pct"/>
            <w:tcBorders>
              <w:top w:val="nil"/>
              <w:left w:val="nil"/>
              <w:bottom w:val="nil"/>
              <w:right w:val="nil"/>
            </w:tcBorders>
            <w:shd w:val="clear" w:color="auto" w:fill="auto"/>
            <w:noWrap/>
            <w:vAlign w:val="bottom"/>
            <w:hideMark/>
          </w:tcPr>
          <w:p w14:paraId="2512F47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Year Four</w:t>
            </w:r>
          </w:p>
        </w:tc>
        <w:tc>
          <w:tcPr>
            <w:tcW w:w="295" w:type="pct"/>
            <w:tcBorders>
              <w:top w:val="nil"/>
              <w:left w:val="nil"/>
              <w:bottom w:val="nil"/>
              <w:right w:val="nil"/>
            </w:tcBorders>
            <w:shd w:val="clear" w:color="auto" w:fill="auto"/>
            <w:noWrap/>
            <w:vAlign w:val="bottom"/>
            <w:hideMark/>
          </w:tcPr>
          <w:p w14:paraId="6338E67F"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September</w:t>
            </w:r>
          </w:p>
        </w:tc>
        <w:tc>
          <w:tcPr>
            <w:tcW w:w="295" w:type="pct"/>
            <w:tcBorders>
              <w:top w:val="nil"/>
              <w:left w:val="nil"/>
              <w:bottom w:val="nil"/>
              <w:right w:val="nil"/>
            </w:tcBorders>
            <w:shd w:val="clear" w:color="auto" w:fill="auto"/>
            <w:noWrap/>
            <w:vAlign w:val="bottom"/>
            <w:hideMark/>
          </w:tcPr>
          <w:p w14:paraId="18EF869B"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October</w:t>
            </w:r>
          </w:p>
        </w:tc>
        <w:tc>
          <w:tcPr>
            <w:tcW w:w="295" w:type="pct"/>
            <w:tcBorders>
              <w:top w:val="nil"/>
              <w:left w:val="nil"/>
              <w:bottom w:val="nil"/>
              <w:right w:val="nil"/>
            </w:tcBorders>
            <w:shd w:val="clear" w:color="auto" w:fill="auto"/>
            <w:noWrap/>
            <w:vAlign w:val="bottom"/>
            <w:hideMark/>
          </w:tcPr>
          <w:p w14:paraId="380BB470"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November</w:t>
            </w:r>
          </w:p>
        </w:tc>
        <w:tc>
          <w:tcPr>
            <w:tcW w:w="295" w:type="pct"/>
            <w:tcBorders>
              <w:top w:val="nil"/>
              <w:left w:val="nil"/>
              <w:bottom w:val="nil"/>
              <w:right w:val="nil"/>
            </w:tcBorders>
            <w:shd w:val="clear" w:color="auto" w:fill="auto"/>
            <w:noWrap/>
            <w:vAlign w:val="bottom"/>
            <w:hideMark/>
          </w:tcPr>
          <w:p w14:paraId="3415F525"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December</w:t>
            </w:r>
          </w:p>
        </w:tc>
        <w:tc>
          <w:tcPr>
            <w:tcW w:w="295" w:type="pct"/>
            <w:tcBorders>
              <w:top w:val="nil"/>
              <w:left w:val="nil"/>
              <w:bottom w:val="nil"/>
              <w:right w:val="nil"/>
            </w:tcBorders>
            <w:shd w:val="clear" w:color="auto" w:fill="auto"/>
            <w:noWrap/>
            <w:vAlign w:val="bottom"/>
            <w:hideMark/>
          </w:tcPr>
          <w:p w14:paraId="496A58B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January</w:t>
            </w:r>
          </w:p>
        </w:tc>
        <w:tc>
          <w:tcPr>
            <w:tcW w:w="295" w:type="pct"/>
            <w:tcBorders>
              <w:top w:val="nil"/>
              <w:left w:val="nil"/>
              <w:bottom w:val="nil"/>
              <w:right w:val="nil"/>
            </w:tcBorders>
            <w:shd w:val="clear" w:color="auto" w:fill="auto"/>
            <w:noWrap/>
            <w:vAlign w:val="bottom"/>
            <w:hideMark/>
          </w:tcPr>
          <w:p w14:paraId="0FDA613D"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February</w:t>
            </w:r>
          </w:p>
        </w:tc>
        <w:tc>
          <w:tcPr>
            <w:tcW w:w="295" w:type="pct"/>
            <w:tcBorders>
              <w:top w:val="nil"/>
              <w:left w:val="nil"/>
              <w:bottom w:val="nil"/>
              <w:right w:val="nil"/>
            </w:tcBorders>
            <w:shd w:val="clear" w:color="auto" w:fill="auto"/>
            <w:noWrap/>
            <w:vAlign w:val="bottom"/>
            <w:hideMark/>
          </w:tcPr>
          <w:p w14:paraId="47D1253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March</w:t>
            </w:r>
          </w:p>
        </w:tc>
        <w:tc>
          <w:tcPr>
            <w:tcW w:w="295" w:type="pct"/>
            <w:tcBorders>
              <w:top w:val="nil"/>
              <w:left w:val="nil"/>
              <w:bottom w:val="nil"/>
              <w:right w:val="nil"/>
            </w:tcBorders>
            <w:shd w:val="clear" w:color="auto" w:fill="auto"/>
            <w:noWrap/>
            <w:vAlign w:val="bottom"/>
            <w:hideMark/>
          </w:tcPr>
          <w:p w14:paraId="3D8CC64E"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5CA081B0"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149C3799"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80DA952"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4F25863B" w14:textId="77777777" w:rsidR="00E42044" w:rsidRPr="00E42044" w:rsidRDefault="00E42044" w:rsidP="00E42044">
            <w:pPr>
              <w:rPr>
                <w:rFonts w:ascii="Times New Roman" w:eastAsia="Times New Roman" w:hAnsi="Times New Roman" w:cs="Times New Roman"/>
                <w:sz w:val="18"/>
                <w:szCs w:val="20"/>
              </w:rPr>
            </w:pPr>
          </w:p>
        </w:tc>
      </w:tr>
      <w:tr w:rsidR="00E42044" w:rsidRPr="00E42044" w14:paraId="2B86161E" w14:textId="77777777" w:rsidTr="00E42044">
        <w:trPr>
          <w:trHeight w:val="320"/>
        </w:trPr>
        <w:tc>
          <w:tcPr>
            <w:tcW w:w="1458" w:type="pct"/>
            <w:tcBorders>
              <w:top w:val="nil"/>
              <w:left w:val="nil"/>
              <w:bottom w:val="nil"/>
              <w:right w:val="nil"/>
            </w:tcBorders>
            <w:shd w:val="clear" w:color="auto" w:fill="auto"/>
            <w:noWrap/>
            <w:vAlign w:val="bottom"/>
            <w:hideMark/>
          </w:tcPr>
          <w:p w14:paraId="7C7D73C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Dissertation Write Up</w:t>
            </w:r>
          </w:p>
        </w:tc>
        <w:tc>
          <w:tcPr>
            <w:tcW w:w="295" w:type="pct"/>
            <w:tcBorders>
              <w:top w:val="nil"/>
              <w:left w:val="nil"/>
              <w:bottom w:val="nil"/>
              <w:right w:val="nil"/>
            </w:tcBorders>
            <w:shd w:val="clear" w:color="000000" w:fill="92D050"/>
            <w:noWrap/>
            <w:vAlign w:val="bottom"/>
            <w:hideMark/>
          </w:tcPr>
          <w:p w14:paraId="73CFA854"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0079954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53609AE2"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3C22C4FE"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1CEC1101"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275506D7"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000000" w:fill="92D050"/>
            <w:noWrap/>
            <w:vAlign w:val="bottom"/>
            <w:hideMark/>
          </w:tcPr>
          <w:p w14:paraId="03F437C8" w14:textId="77777777" w:rsidR="00E42044" w:rsidRPr="00E42044" w:rsidRDefault="00E42044" w:rsidP="00E42044">
            <w:pPr>
              <w:rPr>
                <w:rFonts w:ascii="Calibri" w:eastAsia="Times New Roman" w:hAnsi="Calibri" w:cs="Calibri"/>
                <w:color w:val="000000"/>
                <w:sz w:val="18"/>
              </w:rPr>
            </w:pPr>
            <w:r w:rsidRPr="00E42044">
              <w:rPr>
                <w:rFonts w:ascii="Calibri" w:eastAsia="Times New Roman" w:hAnsi="Calibri" w:cs="Calibri"/>
                <w:color w:val="000000"/>
                <w:sz w:val="18"/>
              </w:rPr>
              <w:t> </w:t>
            </w:r>
          </w:p>
        </w:tc>
        <w:tc>
          <w:tcPr>
            <w:tcW w:w="295" w:type="pct"/>
            <w:tcBorders>
              <w:top w:val="nil"/>
              <w:left w:val="nil"/>
              <w:bottom w:val="nil"/>
              <w:right w:val="nil"/>
            </w:tcBorders>
            <w:shd w:val="clear" w:color="auto" w:fill="auto"/>
            <w:noWrap/>
            <w:vAlign w:val="bottom"/>
            <w:hideMark/>
          </w:tcPr>
          <w:p w14:paraId="4B0CA6AF" w14:textId="77777777" w:rsidR="00E42044" w:rsidRPr="00E42044" w:rsidRDefault="00E42044" w:rsidP="00E42044">
            <w:pPr>
              <w:rPr>
                <w:rFonts w:ascii="Calibri" w:eastAsia="Times New Roman" w:hAnsi="Calibri" w:cs="Calibri"/>
                <w:color w:val="000000"/>
                <w:sz w:val="18"/>
              </w:rPr>
            </w:pPr>
          </w:p>
        </w:tc>
        <w:tc>
          <w:tcPr>
            <w:tcW w:w="295" w:type="pct"/>
            <w:tcBorders>
              <w:top w:val="nil"/>
              <w:left w:val="nil"/>
              <w:bottom w:val="nil"/>
              <w:right w:val="nil"/>
            </w:tcBorders>
            <w:shd w:val="clear" w:color="auto" w:fill="auto"/>
            <w:noWrap/>
            <w:vAlign w:val="bottom"/>
            <w:hideMark/>
          </w:tcPr>
          <w:p w14:paraId="3F6355CD"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60DF6539"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753B2E0B" w14:textId="77777777" w:rsidR="00E42044" w:rsidRPr="00E42044" w:rsidRDefault="00E42044" w:rsidP="00E42044">
            <w:pPr>
              <w:rPr>
                <w:rFonts w:ascii="Times New Roman" w:eastAsia="Times New Roman" w:hAnsi="Times New Roman" w:cs="Times New Roman"/>
                <w:sz w:val="18"/>
                <w:szCs w:val="20"/>
              </w:rPr>
            </w:pPr>
          </w:p>
        </w:tc>
        <w:tc>
          <w:tcPr>
            <w:tcW w:w="295" w:type="pct"/>
            <w:tcBorders>
              <w:top w:val="nil"/>
              <w:left w:val="nil"/>
              <w:bottom w:val="nil"/>
              <w:right w:val="nil"/>
            </w:tcBorders>
            <w:shd w:val="clear" w:color="auto" w:fill="auto"/>
            <w:noWrap/>
            <w:vAlign w:val="bottom"/>
            <w:hideMark/>
          </w:tcPr>
          <w:p w14:paraId="7A62633D" w14:textId="77777777" w:rsidR="00E42044" w:rsidRPr="00E42044" w:rsidRDefault="00E42044" w:rsidP="00E42044">
            <w:pPr>
              <w:rPr>
                <w:rFonts w:ascii="Times New Roman" w:eastAsia="Times New Roman" w:hAnsi="Times New Roman" w:cs="Times New Roman"/>
                <w:sz w:val="18"/>
                <w:szCs w:val="20"/>
              </w:rPr>
            </w:pPr>
          </w:p>
        </w:tc>
      </w:tr>
    </w:tbl>
    <w:p w14:paraId="18789D6C" w14:textId="77777777" w:rsidR="00E42044" w:rsidRDefault="00E42044">
      <w:pPr>
        <w:sectPr w:rsidR="00E42044" w:rsidSect="00E42044">
          <w:pgSz w:w="16817" w:h="11901" w:orient="landscape"/>
          <w:pgMar w:top="1440" w:right="1440" w:bottom="1440" w:left="1440" w:header="720" w:footer="720" w:gutter="0"/>
          <w:cols w:space="720"/>
          <w:docGrid w:linePitch="360"/>
        </w:sectPr>
      </w:pPr>
    </w:p>
    <w:p w14:paraId="300B52D1" w14:textId="520B5995" w:rsidR="00194AE8" w:rsidRDefault="00194AE8"/>
    <w:p w14:paraId="02F20584" w14:textId="19CA4025" w:rsidR="008367A0" w:rsidRPr="008367A0" w:rsidRDefault="008367A0" w:rsidP="008367A0">
      <w:pPr>
        <w:pStyle w:val="Heading1"/>
      </w:pPr>
      <w:bookmarkStart w:id="2" w:name="_Toc58605999"/>
      <w:r>
        <w:t>Literature Review</w:t>
      </w:r>
      <w:bookmarkEnd w:id="2"/>
    </w:p>
    <w:p w14:paraId="52A828CE" w14:textId="77777777" w:rsidR="008367A0" w:rsidRDefault="008367A0"/>
    <w:p w14:paraId="02D2E3E2" w14:textId="4FB47E8E" w:rsidR="003F7686" w:rsidRPr="003F7686" w:rsidRDefault="005272E1" w:rsidP="008734BE">
      <w:pPr>
        <w:pStyle w:val="Heading2"/>
      </w:pPr>
      <w:bookmarkStart w:id="3" w:name="_Toc58606000"/>
      <w:r>
        <w:t>Section O</w:t>
      </w:r>
      <w:r w:rsidR="00D41C35">
        <w:t xml:space="preserve">ne: </w:t>
      </w:r>
      <w:r w:rsidR="00BD29D5">
        <w:t>Cryoconite Holes</w:t>
      </w:r>
      <w:bookmarkEnd w:id="3"/>
    </w:p>
    <w:p w14:paraId="7D12E1A8" w14:textId="4526A2F0" w:rsidR="00496397" w:rsidRDefault="00DF63B4" w:rsidP="00FB1A0C">
      <w:pPr>
        <w:pStyle w:val="Heading3"/>
      </w:pPr>
      <w:bookmarkStart w:id="4" w:name="_Toc58606001"/>
      <w:r>
        <w:t>What are cryoconite holes?</w:t>
      </w:r>
      <w:bookmarkEnd w:id="4"/>
    </w:p>
    <w:p w14:paraId="43F81FC3" w14:textId="1111029B" w:rsidR="00990DE6" w:rsidRDefault="00FB1A0C" w:rsidP="00496397">
      <w:r>
        <w:t>The glacier surface has long been considered a sterile and inhospitable environment. Despite this, oases of microbial life thrive in cryoconite holes</w:t>
      </w:r>
      <w:r w:rsidR="00AC5675">
        <w:t xml:space="preserve"> </w:t>
      </w:r>
      <w:r w:rsidR="00AC5675">
        <w:fldChar w:fldCharType="begin" w:fldLock="1"/>
      </w:r>
      <w:r w:rsidR="00AC567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AC5675">
        <w:fldChar w:fldCharType="separate"/>
      </w:r>
      <w:r w:rsidR="00AC5675" w:rsidRPr="00AC5675">
        <w:rPr>
          <w:noProof/>
        </w:rPr>
        <w:t>(Wharton, McKay, Simmons, &amp; Parker, 1985)</w:t>
      </w:r>
      <w:r w:rsidR="00AC5675">
        <w:fldChar w:fldCharType="end"/>
      </w:r>
      <w:r>
        <w:t>. Cryoconite holes are liquid-water filled de</w:t>
      </w:r>
      <w:r w:rsidR="00AC5675">
        <w:t>pressions that form</w:t>
      </w:r>
      <w:r>
        <w:t xml:space="preserve"> when cr</w:t>
      </w:r>
      <w:r w:rsidR="00AC5675">
        <w:t>yoconite sediment</w:t>
      </w:r>
      <w:r>
        <w:t xml:space="preserve"> </w:t>
      </w:r>
      <w:r w:rsidR="00990DE6">
        <w:t>absorbs more solar radiation than the surrounding ice, whereby the differential heating triggers glacial melting</w:t>
      </w:r>
      <w:r w:rsidR="00AC5675">
        <w:t xml:space="preserve"> </w:t>
      </w:r>
      <w:r w:rsidR="00AC5675">
        <w:fldChar w:fldCharType="begin" w:fldLock="1"/>
      </w:r>
      <w:r w:rsidR="00A91E0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AC5675">
        <w:fldChar w:fldCharType="separate"/>
      </w:r>
      <w:r w:rsidR="00AC5675" w:rsidRPr="00AC5675">
        <w:rPr>
          <w:noProof/>
        </w:rPr>
        <w:t>(Wharton et al., 1985)</w:t>
      </w:r>
      <w:r w:rsidR="00AC5675">
        <w:fldChar w:fldCharType="end"/>
      </w:r>
      <w:r w:rsidR="00AC5675">
        <w:t>. They may also be partly formed by biothermal energy relea</w:t>
      </w:r>
      <w:r w:rsidR="00990DE6">
        <w:t>sed through metabolism of microbial communities within the cryoconite</w:t>
      </w:r>
      <w:r w:rsidR="00AC5675">
        <w:t xml:space="preserve"> </w:t>
      </w:r>
      <w:r w:rsidR="00AC5675">
        <w:fldChar w:fldCharType="begin" w:fldLock="1"/>
      </w:r>
      <w:r w:rsidR="00AC5675">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AC5675">
        <w:fldChar w:fldCharType="separate"/>
      </w:r>
      <w:r w:rsidR="00AC5675" w:rsidRPr="00AC5675">
        <w:rPr>
          <w:noProof/>
        </w:rPr>
        <w:t>(Gerdel &amp; Drouet, 1960)</w:t>
      </w:r>
      <w:r w:rsidR="00AC5675">
        <w:fldChar w:fldCharType="end"/>
      </w:r>
      <w:r w:rsidR="00AC5675">
        <w:t>.</w:t>
      </w:r>
      <w:r w:rsidR="00A91E0E">
        <w:t xml:space="preserve"> After formation, the cryoconite hole may continue to grow in size through absorption of s</w:t>
      </w:r>
      <w:r w:rsidR="00A2532C">
        <w:t xml:space="preserve">olar radiation transmitted through the </w:t>
      </w:r>
      <w:r w:rsidR="00A91E0E">
        <w:t xml:space="preserve">ice, the downward convection of surface warmed water and the deposition of </w:t>
      </w:r>
      <w:r w:rsidR="00A91E0E" w:rsidRPr="00A91E0E">
        <w:t>allochthonous</w:t>
      </w:r>
      <w:r w:rsidR="00A91E0E">
        <w:t xml:space="preserve"> warm water from the upstream glacial system </w:t>
      </w:r>
      <w:r w:rsidR="00A91E0E">
        <w:fldChar w:fldCharType="begin" w:fldLock="1"/>
      </w:r>
      <w:r w:rsidR="00A2532C">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1979)","plainTextFormattedCitation":"(Gribbon, 1979)","previouslyFormattedCitation":"(Gribbon, 1979)"},"properties":{"noteIndex":0},"schema":"https://github.com/citation-style-language/schema/raw/master/csl-citation.json"}</w:instrText>
      </w:r>
      <w:r w:rsidR="00A91E0E">
        <w:fldChar w:fldCharType="separate"/>
      </w:r>
      <w:r w:rsidR="00A91E0E" w:rsidRPr="00A91E0E">
        <w:rPr>
          <w:noProof/>
        </w:rPr>
        <w:t>(Gribbon, 1979)</w:t>
      </w:r>
      <w:r w:rsidR="00A91E0E">
        <w:fldChar w:fldCharType="end"/>
      </w:r>
      <w:r w:rsidR="00A91E0E">
        <w:t>.</w:t>
      </w:r>
      <w:r w:rsidR="00A2532C">
        <w:t xml:space="preserve"> A cryoconite hole might also grow due to solar radiation being absorbed by the organic mass of the sediment </w:t>
      </w:r>
      <w:r w:rsidR="00A2532C">
        <w:fldChar w:fldCharType="begin" w:fldLock="1"/>
      </w:r>
      <w:r w:rsidR="0066775C">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A2532C">
        <w:fldChar w:fldCharType="separate"/>
      </w:r>
      <w:r w:rsidR="00A2532C" w:rsidRPr="00A2532C">
        <w:rPr>
          <w:noProof/>
        </w:rPr>
        <w:t>(Wharton et al., 1985)</w:t>
      </w:r>
      <w:r w:rsidR="00A2532C">
        <w:fldChar w:fldCharType="end"/>
      </w:r>
      <w:r w:rsidR="00A2532C">
        <w:t xml:space="preserve">. As the sediment biomass increases, so it absorbs more solar energy and may increase the hole size. </w:t>
      </w:r>
      <w:r w:rsidR="0066775C">
        <w:t xml:space="preserve">The interplay of biothermal and </w:t>
      </w:r>
      <w:r w:rsidR="008A30A8">
        <w:t xml:space="preserve">physical processes in producing the </w:t>
      </w:r>
      <w:r w:rsidR="0066775C">
        <w:t>uniformity of depth found in cryoconite holes has been a source of debate</w:t>
      </w:r>
      <w:r w:rsidR="008A30A8">
        <w:t xml:space="preserve"> </w:t>
      </w:r>
      <w:r w:rsidR="008A30A8">
        <w:fldChar w:fldCharType="begin" w:fldLock="1"/>
      </w:r>
      <w:r w:rsidR="008A30A8">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id":"ITEM-2","itemData":{"DOI":"10.1126/science.38.972.236","ISSN":"0036-8075","author":[{"dropping-particle":"","family":"Gribbon","given":"P. W. F","non-dropping-particle":"","parse-names":false,"suffix":""}],"container-title":"Journal of Glaxciology","id":"ITEM-2","issue":"86","issued":{"date-parts":[["1979"]]},"page":"177-181","title":"Cryoconite holes on serminkacsak, West Greenland","type":"article-journal","volume":"22"},"uris":["http://www.mendeley.com/documents/?uuid=b2d2939e-8a02-4bae-ac47-b01c911f690d"]}],"mendeley":{"formattedCitation":"(Gribbon, 1979; McIntyre, 1984)","plainTextFormattedCitation":"(Gribbon, 1979; McIntyre, 1984)","previouslyFormattedCitation":"(Gribbon, 1979; McIntyre, 1984)"},"properties":{"noteIndex":0},"schema":"https://github.com/citation-style-language/schema/raw/master/csl-citation.json"}</w:instrText>
      </w:r>
      <w:r w:rsidR="008A30A8">
        <w:fldChar w:fldCharType="separate"/>
      </w:r>
      <w:r w:rsidR="008A30A8" w:rsidRPr="008A30A8">
        <w:rPr>
          <w:noProof/>
        </w:rPr>
        <w:t>(Gribbon, 1979; McIntyre, 1984)</w:t>
      </w:r>
      <w:r w:rsidR="008A30A8">
        <w:fldChar w:fldCharType="end"/>
      </w:r>
      <w:r w:rsidR="008A30A8">
        <w:t>.</w:t>
      </w:r>
      <w:r w:rsidR="0066775C">
        <w:t xml:space="preserve"> </w:t>
      </w:r>
      <w:r w:rsidR="008A30A8">
        <w:t xml:space="preserve">Investigations into the role of biothermal energy in cryoconite formation found that the microbial community contributed less than 10% of the heat profiles of the holes </w:t>
      </w:r>
      <w:r w:rsidR="008A30A8">
        <w:fldChar w:fldCharType="begin" w:fldLock="1"/>
      </w:r>
      <w:r w:rsidR="00F211BB">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008A30A8">
        <w:fldChar w:fldCharType="separate"/>
      </w:r>
      <w:r w:rsidR="008A30A8" w:rsidRPr="008A30A8">
        <w:rPr>
          <w:noProof/>
        </w:rPr>
        <w:t>(McIntyre, 1984)</w:t>
      </w:r>
      <w:r w:rsidR="008A30A8">
        <w:fldChar w:fldCharType="end"/>
      </w:r>
      <w:r w:rsidR="008A30A8">
        <w:t xml:space="preserve">. A heat balance model developed for the cryoconite material has indicated that as the hole deepens it becomes more difficult to </w:t>
      </w:r>
      <w:proofErr w:type="spellStart"/>
      <w:r w:rsidR="008A30A8">
        <w:t>convect</w:t>
      </w:r>
      <w:proofErr w:type="spellEnd"/>
      <w:r w:rsidR="008A30A8">
        <w:t xml:space="preserve"> energy from the top to the bottom, reducing the energy available to contribute to melting </w:t>
      </w:r>
      <w:r w:rsidR="008A30A8">
        <w:fldChar w:fldCharType="begin" w:fldLock="1"/>
      </w:r>
      <w:r w:rsidR="008A30A8">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1979)","plainTextFormattedCitation":"(Gribbon, 1979)","previouslyFormattedCitation":"(Gribbon, 1979)"},"properties":{"noteIndex":0},"schema":"https://github.com/citation-style-language/schema/raw/master/csl-citation.json"}</w:instrText>
      </w:r>
      <w:r w:rsidR="008A30A8">
        <w:fldChar w:fldCharType="separate"/>
      </w:r>
      <w:r w:rsidR="008A30A8" w:rsidRPr="008A30A8">
        <w:rPr>
          <w:noProof/>
        </w:rPr>
        <w:t>(Gribbon, 1979)</w:t>
      </w:r>
      <w:r w:rsidR="008A30A8">
        <w:fldChar w:fldCharType="end"/>
      </w:r>
      <w:r w:rsidR="008A30A8">
        <w:t xml:space="preserve">. </w:t>
      </w:r>
      <w:r w:rsidR="00F211BB">
        <w:t xml:space="preserve">In general, holes are seen to deepen rapidly before slowing to at a depth defined by the local climatological conditions and thus can be used as an indicator of the local climate </w:t>
      </w:r>
      <w:r w:rsidR="00F211BB">
        <w:fldChar w:fldCharType="begin" w:fldLock="1"/>
      </w:r>
      <w:r w:rsidR="00F211B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F211BB">
        <w:fldChar w:fldCharType="separate"/>
      </w:r>
      <w:r w:rsidR="00F211BB" w:rsidRPr="00F211BB">
        <w:rPr>
          <w:noProof/>
        </w:rPr>
        <w:t>(Wharton et al., 1985)</w:t>
      </w:r>
      <w:r w:rsidR="00F211BB">
        <w:fldChar w:fldCharType="end"/>
      </w:r>
      <w:r w:rsidR="00F211BB">
        <w:t xml:space="preserve">. </w:t>
      </w:r>
      <w:r w:rsidR="008A30A8">
        <w:t>It appears that b</w:t>
      </w:r>
      <w:r w:rsidR="00A2532C">
        <w:t>oth physical a</w:t>
      </w:r>
      <w:r w:rsidR="008A30A8">
        <w:t>nd biological processes may</w:t>
      </w:r>
      <w:r w:rsidR="00A2532C">
        <w:t xml:space="preserve"> contribute to the formation and growth of a cryoconite hole.</w:t>
      </w:r>
      <w:r w:rsidR="000E25FC">
        <w:t xml:space="preserve"> </w:t>
      </w:r>
    </w:p>
    <w:p w14:paraId="10AE87A8" w14:textId="62CF4869" w:rsidR="00FB1A0C" w:rsidRDefault="00990DE6" w:rsidP="00496397">
      <w:r>
        <w:t xml:space="preserve">  </w:t>
      </w:r>
      <w:r w:rsidR="00AC5675">
        <w:t xml:space="preserve">Cryoconite sediment was first named by Arctic explorer A. E. Nordenskjold in 1870 after he came across the holes on his first trip to the Greenland Ice Cap </w:t>
      </w:r>
      <w:r w:rsidR="00AC5675">
        <w:fldChar w:fldCharType="begin" w:fldLock="1"/>
      </w:r>
      <w:r w:rsidR="00AC5675">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AC5675">
        <w:fldChar w:fldCharType="separate"/>
      </w:r>
      <w:r w:rsidR="00AC5675" w:rsidRPr="00FB1A0C">
        <w:rPr>
          <w:noProof/>
        </w:rPr>
        <w:t>(Gerdel &amp; Drouet, 1960)</w:t>
      </w:r>
      <w:r w:rsidR="00AC5675">
        <w:fldChar w:fldCharType="end"/>
      </w:r>
      <w:r w:rsidR="00AC5675">
        <w:t xml:space="preserve">. Cryoconite sediment granules are mineral and organic particles that are deposited through aeolian processes onto the glacier’s upper surface </w:t>
      </w:r>
      <w:r w:rsidR="00AC5675">
        <w:fldChar w:fldCharType="begin" w:fldLock="1"/>
      </w:r>
      <w:r w:rsidR="00AC5675">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00AC5675">
        <w:fldChar w:fldCharType="separate"/>
      </w:r>
      <w:r w:rsidR="00AC5675" w:rsidRPr="00442A17">
        <w:rPr>
          <w:noProof/>
        </w:rPr>
        <w:t>(Segawa et al., 2014)</w:t>
      </w:r>
      <w:r w:rsidR="00AC5675">
        <w:fldChar w:fldCharType="end"/>
      </w:r>
      <w:r w:rsidR="00AC5675">
        <w:fldChar w:fldCharType="begin" w:fldLock="1"/>
      </w:r>
      <w:r w:rsidR="00AC567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AC5675">
        <w:fldChar w:fldCharType="separate"/>
      </w:r>
      <w:r w:rsidR="00AC5675" w:rsidRPr="00AC5675">
        <w:rPr>
          <w:noProof/>
        </w:rPr>
        <w:t>(Wharton et al., 1985)</w:t>
      </w:r>
      <w:r w:rsidR="00AC5675">
        <w:fldChar w:fldCharType="end"/>
      </w:r>
      <w:r w:rsidR="00AC5675">
        <w:t>. Cryoconite holes</w:t>
      </w:r>
      <w:r w:rsidR="00FB1A0C">
        <w:t xml:space="preserve"> cover 1-20% of ablation zones </w:t>
      </w:r>
      <w:r w:rsidR="00FB1A0C">
        <w:fldChar w:fldCharType="begin" w:fldLock="1"/>
      </w:r>
      <w:r w:rsidR="00FB1A0C">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Anesio, Deming, Mikucki, &amp; Rapp, 2015)","plainTextFormattedCitation":"(Boetius, Anesio, Deming, Mikucki, &amp; Rapp, 2015)","previouslyFormattedCitation":"(Boetius, Anesio, Deming, Mikucki, &amp; Rapp, 2015)"},"properties":{"noteIndex":0},"schema":"https://github.com/citation-style-language/schema/raw/master/csl-citation.json"}</w:instrText>
      </w:r>
      <w:r w:rsidR="00FB1A0C">
        <w:fldChar w:fldCharType="separate"/>
      </w:r>
      <w:r w:rsidR="00FB1A0C" w:rsidRPr="00515BE4">
        <w:rPr>
          <w:noProof/>
        </w:rPr>
        <w:t>(Boetius, Anesio, Deming, Mikucki, &amp; Rapp, 2015)</w:t>
      </w:r>
      <w:r w:rsidR="00FB1A0C">
        <w:fldChar w:fldCharType="end"/>
      </w:r>
      <w:r w:rsidR="00FB1A0C">
        <w:t xml:space="preserve">. </w:t>
      </w:r>
      <w:r w:rsidR="00496397">
        <w:t xml:space="preserve">Cryoconite holes can be open </w:t>
      </w:r>
      <w:r w:rsidR="00163435">
        <w:t xml:space="preserve">during the summer and freeze in winter, </w:t>
      </w:r>
      <w:r w:rsidR="00496397">
        <w:t xml:space="preserve">or remain ice-lidded for multiple years. The abundance of liquid water and relative stability of these environments makes them biodiversity hotspots in an inhospitable landscape. </w:t>
      </w:r>
    </w:p>
    <w:p w14:paraId="3F2DD18E" w14:textId="7295226D" w:rsidR="00496397" w:rsidRPr="00496397" w:rsidRDefault="00FB1A0C" w:rsidP="00496397">
      <w:r>
        <w:t xml:space="preserve">  </w:t>
      </w:r>
      <w:r w:rsidR="003F7686">
        <w:t>Cryoconite holes can be found in glacial systems around the world, including Greenland, Norway, Canada, Antarctica, the Himalayas and the Alps</w:t>
      </w:r>
      <w:r w:rsidR="00AC5675">
        <w:t xml:space="preserve"> </w:t>
      </w:r>
      <w:r w:rsidR="00AC5675">
        <w:fldChar w:fldCharType="begin" w:fldLock="1"/>
      </w:r>
      <w:r w:rsidR="00AC567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AC5675">
        <w:fldChar w:fldCharType="separate"/>
      </w:r>
      <w:r w:rsidR="00AC5675" w:rsidRPr="00AC5675">
        <w:rPr>
          <w:noProof/>
        </w:rPr>
        <w:t>(Wharton et al., 1985)</w:t>
      </w:r>
      <w:r w:rsidR="00AC5675">
        <w:fldChar w:fldCharType="end"/>
      </w:r>
      <w:r w:rsidR="003F7686">
        <w:t xml:space="preserve">. </w:t>
      </w:r>
      <w:r w:rsidR="00496397">
        <w:t>They are extreme natural microcosms that present ideal opportunities for studying microbial patterns of biogeography and biogeochemical processes</w:t>
      </w:r>
      <w:r w:rsidR="003F7686">
        <w:t xml:space="preserve"> over a range of temporal and spatial scales</w:t>
      </w:r>
      <w:r w:rsidR="00496397">
        <w:t>.</w:t>
      </w:r>
      <w:r w:rsidR="00442A17">
        <w:t xml:space="preserve"> </w:t>
      </w:r>
      <w:r w:rsidR="00D74F30">
        <w:t xml:space="preserve">Cryoconite material impacts glacier mass balance as it reduces ice albedo and increasing melting of snow and ice </w:t>
      </w:r>
      <w:r w:rsidR="00D74F30">
        <w:fldChar w:fldCharType="begin" w:fldLock="1"/>
      </w:r>
      <w:r w:rsidR="00FF68C8">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rsidR="00D74F30">
        <w:fldChar w:fldCharType="separate"/>
      </w:r>
      <w:r w:rsidR="00D74F30" w:rsidRPr="00D74F30">
        <w:rPr>
          <w:noProof/>
        </w:rPr>
        <w:t>(Takeuchi, Kohshima, &amp; Seko, 2001)</w:t>
      </w:r>
      <w:r w:rsidR="00D74F30">
        <w:fldChar w:fldCharType="end"/>
      </w:r>
      <w:r w:rsidR="00D74F30">
        <w:t>.</w:t>
      </w:r>
      <w:r w:rsidR="00834B85">
        <w:t xml:space="preserve"> This may </w:t>
      </w:r>
      <w:r w:rsidR="003A2951">
        <w:t xml:space="preserve">have a positive feedback effect </w:t>
      </w:r>
      <w:r w:rsidR="00834B85">
        <w:t>on ice wastage as cryoconite holes enlarge an</w:t>
      </w:r>
      <w:r w:rsidR="003A2951">
        <w:t>d accumulate more sediment,</w:t>
      </w:r>
      <w:r w:rsidR="00834B85">
        <w:t xml:space="preserve"> increasing radiative heating</w:t>
      </w:r>
      <w:r w:rsidR="003A2951">
        <w:t xml:space="preserve"> and warming the glacier, which </w:t>
      </w:r>
      <w:r w:rsidR="003A2951">
        <w:lastRenderedPageBreak/>
        <w:t xml:space="preserve">in turn increased meltwater, eroding more glacial ice and inoculating the surface with more cryoconite sediment, seeding new cryoconite holes and further enlarging those already present </w:t>
      </w:r>
      <w:r w:rsidR="003A2951">
        <w:fldChar w:fldCharType="begin" w:fldLock="1"/>
      </w:r>
      <w:r w:rsidR="00400A4C">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3A2951">
        <w:fldChar w:fldCharType="separate"/>
      </w:r>
      <w:r w:rsidR="003A2951" w:rsidRPr="003A2951">
        <w:rPr>
          <w:noProof/>
        </w:rPr>
        <w:t>(Wharton et al., 1985)</w:t>
      </w:r>
      <w:r w:rsidR="003A2951">
        <w:fldChar w:fldCharType="end"/>
      </w:r>
      <w:r w:rsidR="003A2951">
        <w:t>.</w:t>
      </w:r>
      <w:r w:rsidR="00D74F30">
        <w:t xml:space="preserve"> </w:t>
      </w:r>
    </w:p>
    <w:p w14:paraId="326A4E40" w14:textId="2734D6A3" w:rsidR="003F7686" w:rsidRDefault="00DF63B4" w:rsidP="00174C55">
      <w:pPr>
        <w:pStyle w:val="Heading3"/>
      </w:pPr>
      <w:bookmarkStart w:id="5" w:name="_Toc58606002"/>
      <w:r>
        <w:t>What organisms live in cryoconite holes?</w:t>
      </w:r>
      <w:bookmarkEnd w:id="5"/>
    </w:p>
    <w:p w14:paraId="7479F982" w14:textId="42240FED" w:rsidR="00834B85" w:rsidRDefault="00F211BB">
      <w:r>
        <w:t xml:space="preserve">Cryoconite holes represent individual, boundary-limited ecosystems, with distinct energy and nutrient fluxes </w:t>
      </w:r>
      <w:r>
        <w:fldChar w:fldCharType="begin" w:fldLock="1"/>
      </w:r>
      <w:r w:rsidR="00834B8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F211BB">
        <w:rPr>
          <w:noProof/>
        </w:rPr>
        <w:t>(Wharton et al., 1985)</w:t>
      </w:r>
      <w:r>
        <w:fldChar w:fldCharType="end"/>
      </w:r>
      <w:r>
        <w:t>. The liquid water in cryoconite holes tends to freeze solid in the winter and melt in the summer. In the Antarctic, even during summer months, the holes can remain ice-lidded and isolated for many years. At the onset of melting, nutrients may be supplied, either from the</w:t>
      </w:r>
      <w:r w:rsidR="00834B85">
        <w:t xml:space="preserve"> cryoconite sediment itself, </w:t>
      </w:r>
      <w:r>
        <w:t xml:space="preserve">from </w:t>
      </w:r>
      <w:r w:rsidR="00834B85">
        <w:t xml:space="preserve">upstream melt water or aeolian deposition </w:t>
      </w:r>
      <w:r w:rsidR="00834B85">
        <w:fldChar w:fldCharType="begin" w:fldLock="1"/>
      </w:r>
      <w:r w:rsidR="00834B8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834B85">
        <w:fldChar w:fldCharType="separate"/>
      </w:r>
      <w:r w:rsidR="00834B85" w:rsidRPr="00834B85">
        <w:rPr>
          <w:noProof/>
        </w:rPr>
        <w:t>(Wharton et al., 1985)</w:t>
      </w:r>
      <w:r w:rsidR="00834B85">
        <w:fldChar w:fldCharType="end"/>
      </w:r>
      <w:r w:rsidR="00834B85">
        <w:t xml:space="preserve">. Towards the end of the melt season, hydrological connections may develop such that the holes become integrated with streams and become larger, pond-like structures </w:t>
      </w:r>
      <w:r w:rsidR="00834B85">
        <w:fldChar w:fldCharType="begin" w:fldLock="1"/>
      </w:r>
      <w:r w:rsidR="003A2951">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834B85">
        <w:fldChar w:fldCharType="separate"/>
      </w:r>
      <w:r w:rsidR="00834B85" w:rsidRPr="00834B85">
        <w:rPr>
          <w:noProof/>
        </w:rPr>
        <w:t>(Wharton et al., 1985)</w:t>
      </w:r>
      <w:r w:rsidR="00834B85">
        <w:fldChar w:fldCharType="end"/>
      </w:r>
      <w:r w:rsidR="00834B85">
        <w:t xml:space="preserve">. Flushing can occur, removing the sediment puck completely. </w:t>
      </w:r>
    </w:p>
    <w:p w14:paraId="069816BC" w14:textId="0F470367" w:rsidR="003F7686" w:rsidRDefault="00834B85">
      <w:r>
        <w:t xml:space="preserve">  </w:t>
      </w:r>
      <w:r w:rsidR="003F7686">
        <w:t xml:space="preserve">Cryoconite communities include </w:t>
      </w:r>
      <w:r w:rsidR="000A098B">
        <w:t>cyano</w:t>
      </w:r>
      <w:r w:rsidR="003F7686">
        <w:t xml:space="preserve">bacteria, algae, </w:t>
      </w:r>
      <w:r w:rsidR="000A098B">
        <w:t xml:space="preserve">proteobacteria, </w:t>
      </w:r>
      <w:r w:rsidR="00163435">
        <w:t xml:space="preserve">actinobacteria, </w:t>
      </w:r>
      <w:r w:rsidR="000A098B">
        <w:t xml:space="preserve">fungi, </w:t>
      </w:r>
      <w:r w:rsidR="003F7686">
        <w:t xml:space="preserve">ciliates, </w:t>
      </w:r>
      <w:r w:rsidR="00163435">
        <w:t xml:space="preserve">diatoms, </w:t>
      </w:r>
      <w:proofErr w:type="spellStart"/>
      <w:r w:rsidR="00163435">
        <w:t>nanoflagellates</w:t>
      </w:r>
      <w:proofErr w:type="spellEnd"/>
      <w:r w:rsidR="00163435">
        <w:t xml:space="preserve">, </w:t>
      </w:r>
      <w:r w:rsidR="003F7686">
        <w:t>and invertebrate animals</w:t>
      </w:r>
      <w:r w:rsidR="00163435">
        <w:t xml:space="preserve"> </w:t>
      </w:r>
      <w:r w:rsidR="00163435">
        <w:fldChar w:fldCharType="begin" w:fldLock="1"/>
      </w:r>
      <w:r w:rsidR="005E2AB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Mumford, Marshall, Hodson, &amp; Laybourn-Parry, 2002)","plainTextFormattedCitation":"(Säwström, Mumford, Marshall, Hodson, &amp; Laybourn-Parry, 2002)","previouslyFormattedCitation":"(Säwström, Mumford, Marshall, Hodson, &amp; Laybourn-Parry, 2002)"},"properties":{"noteIndex":0},"schema":"https://github.com/citation-style-language/schema/raw/master/csl-citation.json"}</w:instrText>
      </w:r>
      <w:r w:rsidR="00163435">
        <w:fldChar w:fldCharType="separate"/>
      </w:r>
      <w:r w:rsidR="00163435" w:rsidRPr="00163435">
        <w:rPr>
          <w:noProof/>
        </w:rPr>
        <w:t>(Säwström, Mumford, Marshall, Hodson, &amp; Laybourn-Parry, 2002)</w:t>
      </w:r>
      <w:r w:rsidR="00163435">
        <w:fldChar w:fldCharType="end"/>
      </w:r>
      <w:r w:rsidR="003F7686">
        <w:t>. Photoautotr</w:t>
      </w:r>
      <w:r w:rsidR="00FF68C8">
        <w:t>ophic cyanobacteria and algae represent important primary producers in nutrient-poor glacial systems</w:t>
      </w:r>
      <w:r w:rsidR="00FF68C8">
        <w:fldChar w:fldCharType="begin" w:fldLock="1"/>
      </w:r>
      <w:r w:rsidR="00FF68C8">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&amp; Kaštovská, 2006)","plainTextFormattedCitation":"(Stibal, Šabacká, &amp; Kaštovská, 2006)","previouslyFormattedCitation":"(Stibal, Šabacká, &amp; Kaštovská, 2006)"},"properties":{"noteIndex":0},"schema":"https://github.com/citation-style-language/schema/raw/master/csl-citation.json"}</w:instrText>
      </w:r>
      <w:r w:rsidR="00FF68C8">
        <w:fldChar w:fldCharType="separate"/>
      </w:r>
      <w:r w:rsidR="00FF68C8" w:rsidRPr="00FF68C8">
        <w:rPr>
          <w:noProof/>
        </w:rPr>
        <w:t>(</w:t>
      </w:r>
      <w:proofErr w:type="spellStart"/>
      <w:r w:rsidR="00FF68C8" w:rsidRPr="00FF68C8">
        <w:rPr>
          <w:noProof/>
        </w:rPr>
        <w:t>Stibal</w:t>
      </w:r>
      <w:proofErr w:type="spellEnd"/>
      <w:r w:rsidR="00FF68C8" w:rsidRPr="00FF68C8">
        <w:rPr>
          <w:noProof/>
        </w:rPr>
        <w:t>, Šabacká, &amp; Kaštovská, 2006)</w:t>
      </w:r>
      <w:r w:rsidR="00FF68C8">
        <w:fldChar w:fldCharType="end"/>
      </w:r>
      <w:r w:rsidR="00FF68C8">
        <w:t>.</w:t>
      </w:r>
      <w:r w:rsidR="003F7686">
        <w:t xml:space="preserve">. Top predators include tardigrades, rotifers, and less commonly nematodes and copepods </w:t>
      </w:r>
      <w:r w:rsidR="003F7686">
        <w:fldChar w:fldCharType="begin" w:fldLock="1"/>
      </w:r>
      <w:r w:rsidR="007072E4">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003F7686">
        <w:fldChar w:fldCharType="separate"/>
      </w:r>
      <w:r w:rsidR="004E7A51" w:rsidRPr="004E7A51">
        <w:rPr>
          <w:noProof/>
        </w:rPr>
        <w:t>(K. Zawierucha, Kolicka, Takeuchi, &amp; Kaczmarek, 2015)</w:t>
      </w:r>
      <w:r w:rsidR="003F7686">
        <w:fldChar w:fldCharType="end"/>
      </w:r>
      <w:r w:rsidR="003F7686">
        <w:t>.</w:t>
      </w:r>
      <w:r w:rsidR="00D74F30">
        <w:t xml:space="preserve"> </w:t>
      </w:r>
    </w:p>
    <w:p w14:paraId="6EEDB01A" w14:textId="613F633F" w:rsidR="00515BE4" w:rsidRDefault="00515BE4">
      <w:r>
        <w:t xml:space="preserve">  Cyanobacteria </w:t>
      </w:r>
      <w:r w:rsidR="0039176E">
        <w:t xml:space="preserve">are prokaryotic oxygenic photoautotrophs that </w:t>
      </w:r>
      <w:r>
        <w:t>dominate cryoconite holes.</w:t>
      </w:r>
      <w:r w:rsidR="0039176E">
        <w:t xml:space="preserve"> Cyanobacteria are found in both aquatic and terrestrial environments, but are mainly found in freshwater habitats </w:t>
      </w:r>
      <w:r w:rsidR="0039176E">
        <w:fldChar w:fldCharType="begin" w:fldLock="1"/>
      </w:r>
      <w:r w:rsidR="0039176E">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0039176E">
        <w:fldChar w:fldCharType="separate"/>
      </w:r>
      <w:r w:rsidR="0039176E" w:rsidRPr="0039176E">
        <w:rPr>
          <w:noProof/>
        </w:rPr>
        <w:t>(Kaplan-levy, Hadas, Summers, &amp; Sukenik, 2010)</w:t>
      </w:r>
      <w:r w:rsidR="0039176E">
        <w:fldChar w:fldCharType="end"/>
      </w:r>
      <w:r w:rsidR="0039176E">
        <w:t>.</w:t>
      </w:r>
      <w:r>
        <w:t xml:space="preserve"> They act as keystone species and ecosystem engineers, actively influencing the holes physical structure </w:t>
      </w:r>
      <w:r>
        <w:fldChar w:fldCharType="begin" w:fldLock="1"/>
      </w:r>
      <w:r w:rsidR="000A098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Lutz, Chrismas, &amp; Benning, 2017)","plainTextFormattedCitation":"(Anesio, Lutz, Chrismas, &amp; Benning, 2017)","previouslyFormattedCitation":"(Anesio, Lutz, Chrismas, &amp; Benning, 2017)"},"properties":{"noteIndex":0},"schema":"https://github.com/citation-style-language/schema/raw/master/csl-citation.json"}</w:instrText>
      </w:r>
      <w:r>
        <w:fldChar w:fldCharType="separate"/>
      </w:r>
      <w:r w:rsidRPr="00515BE4">
        <w:rPr>
          <w:noProof/>
        </w:rPr>
        <w:t>(Anesio, Lutz, Chrismas, &amp; Benning, 2017)</w:t>
      </w:r>
      <w:r>
        <w:fldChar w:fldCharType="end"/>
      </w:r>
      <w:r>
        <w:t xml:space="preserve">. Filamentous cyanobacteria produce </w:t>
      </w:r>
      <w:r w:rsidR="000A098B">
        <w:t xml:space="preserve">extracellular polymeric substances (EPS) that promote </w:t>
      </w:r>
      <w:proofErr w:type="spellStart"/>
      <w:r w:rsidR="000A098B">
        <w:t>bioflocculation</w:t>
      </w:r>
      <w:proofErr w:type="spellEnd"/>
      <w:r w:rsidR="000A098B">
        <w:t xml:space="preserve">, the binding of cryoconite sediment and organic material that help heterotrophic communities establish and develop into biofilms </w:t>
      </w:r>
      <w:r w:rsidR="000A098B">
        <w:fldChar w:fldCharType="begin" w:fldLock="1"/>
      </w:r>
      <w:r w:rsidR="000A098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et al., 2017)","plainTextFormattedCitation":"(Anesio et al., 2017)","previouslyFormattedCitation":"(Anesio et al., 2017)"},"properties":{"noteIndex":0},"schema":"https://github.com/citation-style-language/schema/raw/master/csl-citation.json"}</w:instrText>
      </w:r>
      <w:r w:rsidR="000A098B">
        <w:fldChar w:fldCharType="separate"/>
      </w:r>
      <w:r w:rsidR="000A098B" w:rsidRPr="000A098B">
        <w:rPr>
          <w:noProof/>
        </w:rPr>
        <w:t>(Anesio et al., 2017)</w:t>
      </w:r>
      <w:r w:rsidR="000A098B">
        <w:fldChar w:fldCharType="end"/>
      </w:r>
      <w:r w:rsidR="000A098B">
        <w:t xml:space="preserve">. </w:t>
      </w:r>
    </w:p>
    <w:p w14:paraId="1E26B771" w14:textId="6DB02C88" w:rsidR="0099013F" w:rsidRDefault="000A098B">
      <w:r>
        <w:t xml:space="preserve">  Cryoconite heterotrophs include proteobacteria, actinobacteria, fungi and </w:t>
      </w:r>
      <w:proofErr w:type="spellStart"/>
      <w:r w:rsidR="00163435">
        <w:t>nanoflagellates</w:t>
      </w:r>
      <w:proofErr w:type="spellEnd"/>
      <w:r w:rsidR="00163435">
        <w:t xml:space="preserve"> </w:t>
      </w:r>
      <w:r w:rsidR="00163435">
        <w:fldChar w:fldCharType="begin" w:fldLock="1"/>
      </w:r>
      <w:r w:rsidR="005E2AB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00163435">
        <w:fldChar w:fldCharType="separate"/>
      </w:r>
      <w:r w:rsidR="00163435" w:rsidRPr="00163435">
        <w:rPr>
          <w:noProof/>
        </w:rPr>
        <w:t>(Boetius et al., 2015; Säwström et al., 2002)</w:t>
      </w:r>
      <w:r w:rsidR="00163435">
        <w:fldChar w:fldCharType="end"/>
      </w:r>
      <w:r w:rsidR="00AC5675">
        <w:t>.</w:t>
      </w:r>
    </w:p>
    <w:p w14:paraId="500AF5A4" w14:textId="779F7066" w:rsidR="0099013F" w:rsidRDefault="0099013F" w:rsidP="00950FE2">
      <w:pPr>
        <w:pStyle w:val="Heading3"/>
      </w:pPr>
      <w:bookmarkStart w:id="6" w:name="_Toc58606003"/>
      <w:r>
        <w:t>What biogeochemical processes happen in cryoconite holes?</w:t>
      </w:r>
      <w:bookmarkEnd w:id="6"/>
    </w:p>
    <w:p w14:paraId="4F1765F5" w14:textId="5A89D487" w:rsidR="00BC5785" w:rsidRDefault="00235302">
      <w:r>
        <w:t>Microbial communities require carbon, nitrogen, phosphorus and other elements to support cellular function and reproduction</w:t>
      </w:r>
      <w:r w:rsidR="008571A1">
        <w:t xml:space="preserve"> </w:t>
      </w:r>
      <w:r>
        <w:fldChar w:fldCharType="begin" w:fldLock="1"/>
      </w:r>
      <w:r w:rsidR="009E1E2A">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fldChar w:fldCharType="separate"/>
      </w:r>
      <w:r w:rsidRPr="00235302">
        <w:rPr>
          <w:noProof/>
        </w:rPr>
        <w:t>(Bagshaw, 2018)</w:t>
      </w:r>
      <w:r>
        <w:fldChar w:fldCharType="end"/>
      </w:r>
      <w:r>
        <w:t xml:space="preserve">. </w:t>
      </w:r>
      <w:r w:rsidR="008571A1">
        <w:t xml:space="preserve">Whilst forms of these elements are present in the glacial environment, they are not always readily available to all microorganisms. </w:t>
      </w:r>
      <w:r w:rsidR="0099013F">
        <w:t xml:space="preserve">As biologically diverse and active systems, the biomass in cryoconite sediment engages in biogeochemical cycling </w:t>
      </w:r>
      <w:r w:rsidR="0099013F">
        <w:fldChar w:fldCharType="begin" w:fldLock="1"/>
      </w:r>
      <w:r w:rsidR="0099013F">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et al., 2017)","plainTextFormattedCitation":"(Anesio et al., 2017)","previouslyFormattedCitation":"(Anesio et al., 2017)"},"properties":{"noteIndex":0},"schema":"https://github.com/citation-style-language/schema/raw/master/csl-citation.json"}</w:instrText>
      </w:r>
      <w:r w:rsidR="0099013F">
        <w:fldChar w:fldCharType="separate"/>
      </w:r>
      <w:r w:rsidR="0099013F" w:rsidRPr="00515BE4">
        <w:rPr>
          <w:noProof/>
        </w:rPr>
        <w:t>(Anesio et al., 2017)</w:t>
      </w:r>
      <w:r w:rsidR="0099013F">
        <w:fldChar w:fldCharType="end"/>
      </w:r>
      <w:r w:rsidR="0099013F">
        <w:t xml:space="preserve">. The dominant biogeochemical </w:t>
      </w:r>
      <w:r w:rsidR="00581894">
        <w:t>process</w:t>
      </w:r>
      <w:r w:rsidR="0099013F">
        <w:t xml:space="preserve"> withi</w:t>
      </w:r>
      <w:r w:rsidR="00C610DD">
        <w:t>n cryoconite holes is</w:t>
      </w:r>
      <w:r w:rsidR="0099013F">
        <w:t xml:space="preserve"> carbon cycling</w:t>
      </w:r>
      <w:r w:rsidR="00581894">
        <w:t xml:space="preserve">, although they also contribute to nutrient cycling, primarily nitrogen and phosphorus </w:t>
      </w:r>
      <w:r w:rsidR="00581894">
        <w:fldChar w:fldCharType="begin" w:fldLock="1"/>
      </w:r>
      <w:r w:rsidR="004C0544">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rsidR="00581894">
        <w:fldChar w:fldCharType="separate"/>
      </w:r>
      <w:r w:rsidR="00581894" w:rsidRPr="00581894">
        <w:rPr>
          <w:noProof/>
        </w:rPr>
        <w:t>(Bagshaw, 2018)</w:t>
      </w:r>
      <w:r w:rsidR="00581894">
        <w:fldChar w:fldCharType="end"/>
      </w:r>
      <w:r w:rsidR="00581894">
        <w:t>.</w:t>
      </w:r>
    </w:p>
    <w:p w14:paraId="6EF62F9A" w14:textId="2CFB5C06" w:rsidR="004C0544" w:rsidRDefault="00BC5785">
      <w:r>
        <w:t xml:space="preserve">  Inorganic atmospheric carbon dioxide, dissolved in the cryoconite melt water, is fixed by primary producers, photoautotrophic cyanobacteria and algae, into </w:t>
      </w:r>
      <w:r w:rsidR="004C0544">
        <w:t xml:space="preserve">bioavailable </w:t>
      </w:r>
      <w:r>
        <w:t>organic carbon.</w:t>
      </w:r>
      <w:r w:rsidR="004C0544">
        <w:t xml:space="preserve"> 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w:t>
      </w:r>
      <w:r w:rsidR="00C610DD">
        <w:t xml:space="preserve"> Through respiration and decomposition, inorganic carbon re-enters the environment. </w:t>
      </w:r>
    </w:p>
    <w:p w14:paraId="1325460F" w14:textId="0B622023" w:rsidR="00515BE4" w:rsidRDefault="004C0544">
      <w:r>
        <w:lastRenderedPageBreak/>
        <w:t xml:space="preserve">  </w:t>
      </w:r>
      <w:r w:rsidR="00FF68C8">
        <w:t xml:space="preserve">The presence of functional marker genes for nitrogen fixation, nitrification and denitrification from cryoconite DNA samples taken from Svalbard, Greenland and </w:t>
      </w:r>
      <w:r w:rsidR="0099013F">
        <w:t>Antarctic</w:t>
      </w:r>
      <w:r w:rsidR="00FF68C8">
        <w:t xml:space="preserve"> has highlighted the importance of nitrogen cycling in their habitats </w:t>
      </w:r>
      <w:r w:rsidR="00950FE2">
        <w:fldChar w:fldCharType="begin" w:fldLock="1"/>
      </w:r>
      <w:r w:rsidR="00FB1A0C">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 J. Telling et al., 2012; Jon Telling et al., 2011)","plainTextFormattedCitation":"(Cameron, Hodson, &amp; Osborn, 2012; J. Telling et al., 2012; Jon Telling et al., 2011)","previouslyFormattedCitation":"(Cameron, Hodson, &amp; Osborn, 2012; J. Telling et al., 2012; Jon Telling et al., 2011)"},"properties":{"noteIndex":0},"schema":"https://github.com/citation-style-language/schema/raw/master/csl-citation.json"}</w:instrText>
      </w:r>
      <w:r w:rsidR="00950FE2">
        <w:fldChar w:fldCharType="separate"/>
      </w:r>
      <w:r w:rsidR="00950FE2" w:rsidRPr="00950FE2">
        <w:rPr>
          <w:noProof/>
        </w:rPr>
        <w:t>(Cameron, Hodson, &amp; Osborn, 2012; J. Telling et al., 2012; Jon Telling et al., 2011)</w:t>
      </w:r>
      <w:r w:rsidR="00950FE2">
        <w:fldChar w:fldCharType="end"/>
      </w:r>
      <w:r w:rsidR="00FF68C8">
        <w:t>.</w:t>
      </w:r>
    </w:p>
    <w:p w14:paraId="00E6224B" w14:textId="2C6FC1E2" w:rsidR="007925D0" w:rsidRDefault="00DF63B4" w:rsidP="00B47365">
      <w:pPr>
        <w:pStyle w:val="Heading3"/>
      </w:pPr>
      <w:bookmarkStart w:id="7" w:name="_Toc58606004"/>
      <w:r>
        <w:t>How do cryoconite holes effect the glacial system?</w:t>
      </w:r>
      <w:bookmarkEnd w:id="7"/>
    </w:p>
    <w:p w14:paraId="7B5C4055" w14:textId="253014EA" w:rsidR="007925D0" w:rsidRDefault="008A3A49">
      <w:r>
        <w:t xml:space="preserve">Biogeochemical processes within cryoconite holes enrich them with bioavailable carbon, nitrogen and phosphorus </w:t>
      </w:r>
      <w:r>
        <w:fldChar w:fldCharType="begin" w:fldLock="1"/>
      </w:r>
      <w:r w:rsidR="00674612">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2013)","plainTextFormattedCitation":"(Bagshaw et al., 2013)","previouslyFormattedCitation":"(Bagshaw et al., 2013)"},"properties":{"noteIndex":0},"schema":"https://github.com/citation-style-language/schema/raw/master/csl-citation.json"}</w:instrText>
      </w:r>
      <w:r>
        <w:fldChar w:fldCharType="separate"/>
      </w:r>
      <w:r w:rsidRPr="008A3A49">
        <w:rPr>
          <w:noProof/>
        </w:rPr>
        <w:t>(Bagshaw et al., 2013)</w:t>
      </w:r>
      <w:r>
        <w:fldChar w:fldCharType="end"/>
      </w:r>
      <w:r>
        <w:t>.</w:t>
      </w:r>
      <w:r w:rsidR="00674612">
        <w:t xml:space="preserve"> The hydrological connection of the holes to the supraglacial drainage system means that during flushing events, these nutrients are made available to downstream ecosystems </w:t>
      </w:r>
      <w:r w:rsidR="00674612">
        <w:fldChar w:fldCharType="begin" w:fldLock="1"/>
      </w:r>
      <w:r w:rsidR="000D6CED">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2013)","plainTextFormattedCitation":"(Bagshaw et al., 2013)","previouslyFormattedCitation":"(Bagshaw et al., 2013)"},"properties":{"noteIndex":0},"schema":"https://github.com/citation-style-language/schema/raw/master/csl-citation.json"}</w:instrText>
      </w:r>
      <w:r w:rsidR="00674612">
        <w:fldChar w:fldCharType="separate"/>
      </w:r>
      <w:r w:rsidR="00674612" w:rsidRPr="00674612">
        <w:rPr>
          <w:noProof/>
        </w:rPr>
        <w:t>(Bagshaw et al., 2013)</w:t>
      </w:r>
      <w:r w:rsidR="00674612">
        <w:fldChar w:fldCharType="end"/>
      </w:r>
      <w:r w:rsidR="00674612">
        <w:t>.</w:t>
      </w:r>
      <w:r w:rsidR="00AC5675">
        <w:t xml:space="preserve"> Cryoconite holes also act to seed newly exposed </w:t>
      </w:r>
      <w:r w:rsidR="00400A4C">
        <w:t xml:space="preserve">aquatic and terrestrial </w:t>
      </w:r>
      <w:r w:rsidR="00AC5675">
        <w:t xml:space="preserve">habitats following glacial retreat </w:t>
      </w:r>
      <w:r w:rsidR="003A2951">
        <w:t xml:space="preserve">as well as conditioning newly exposed soil through the deposition of nutrients such as fixed nitrogen </w:t>
      </w:r>
      <w:r w:rsidR="00AC5675">
        <w:fldChar w:fldCharType="begin" w:fldLock="1"/>
      </w:r>
      <w:r w:rsidR="00AC5675">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AC5675">
        <w:fldChar w:fldCharType="separate"/>
      </w:r>
      <w:r w:rsidR="00AC5675" w:rsidRPr="00AC5675">
        <w:rPr>
          <w:noProof/>
        </w:rPr>
        <w:t>(Wharton et al., 1985)</w:t>
      </w:r>
      <w:r w:rsidR="00AC5675">
        <w:fldChar w:fldCharType="end"/>
      </w:r>
      <w:r w:rsidR="00AC5675">
        <w:t>.</w:t>
      </w:r>
      <w:r w:rsidR="00400A4C">
        <w:t xml:space="preserve"> </w:t>
      </w:r>
    </w:p>
    <w:p w14:paraId="01524A51" w14:textId="2EB33D05" w:rsidR="00C610DD" w:rsidRDefault="00C610DD">
      <w:r>
        <w:t xml:space="preserve">  Cryoconite communities can directly impact glacial ice mass balance, carbon flux and downstream nutrient availability. It is important then to understand the mechanisms of community assembly that shape them, as well as the impact of these mechanisms on </w:t>
      </w:r>
      <w:r w:rsidR="00D41C35">
        <w:t xml:space="preserve">community structure, function and wider ecosystem processes. By gaining a deeper understanding of the biogeographic and biogeochemical cycles of cryoconite holes we can make better predictions about the future impact of climate change on these environments. </w:t>
      </w:r>
      <w:r>
        <w:t xml:space="preserve"> </w:t>
      </w:r>
    </w:p>
    <w:p w14:paraId="7D88C35A" w14:textId="3FD77ABC" w:rsidR="00400A4C" w:rsidRDefault="00400A4C">
      <w:r>
        <w:t xml:space="preserve">  It has been suggested that cryoconite communities played an important role in supporting biodiversity during ice ages, providing refuge to microorganisms during the Pleistocene </w:t>
      </w:r>
      <w:r>
        <w:fldChar w:fldCharType="begin" w:fldLock="1"/>
      </w:r>
      <w:r w:rsidR="0023530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400A4C">
        <w:rPr>
          <w:noProof/>
        </w:rPr>
        <w:t>(Wharton et al., 1985)</w:t>
      </w:r>
      <w:r>
        <w:fldChar w:fldCharType="end"/>
      </w:r>
      <w:r>
        <w:t>.</w:t>
      </w:r>
    </w:p>
    <w:p w14:paraId="488C6639" w14:textId="1737900C" w:rsidR="006316BF" w:rsidRDefault="006316BF">
      <w:r>
        <w:t xml:space="preserve">NITROGEN CYCLING &lt;&lt;&lt; </w:t>
      </w:r>
      <w:r w:rsidRPr="006316BF">
        <w:t>Redox stratification within cryoconite granules influences the nitrogen cycle on glaciers</w:t>
      </w:r>
      <w:r>
        <w:t xml:space="preserve"> </w:t>
      </w:r>
      <w:r>
        <w:fldChar w:fldCharType="begin" w:fldLock="1"/>
      </w:r>
      <w:r w:rsidR="00077E9D">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6316BF">
        <w:rPr>
          <w:noProof/>
        </w:rPr>
        <w:t>(Segawa et al., 2020)</w:t>
      </w:r>
      <w:r>
        <w:fldChar w:fldCharType="end"/>
      </w:r>
    </w:p>
    <w:p w14:paraId="17AE6BC8" w14:textId="77777777" w:rsidR="00D41C35" w:rsidRDefault="00D41C35"/>
    <w:p w14:paraId="2B84A930" w14:textId="5A67FE34" w:rsidR="00D41C35" w:rsidRPr="003F7686" w:rsidRDefault="00174C55" w:rsidP="008734BE">
      <w:pPr>
        <w:pStyle w:val="Heading2"/>
      </w:pPr>
      <w:bookmarkStart w:id="8" w:name="_Toc58606005"/>
      <w:r>
        <w:t>S</w:t>
      </w:r>
      <w:r w:rsidR="005272E1">
        <w:t>ection T</w:t>
      </w:r>
      <w:r w:rsidR="00D41C35">
        <w:t>wo: Microbial Dormancy</w:t>
      </w:r>
      <w:bookmarkEnd w:id="8"/>
    </w:p>
    <w:p w14:paraId="199F6E22" w14:textId="628FEAF4" w:rsidR="00D41C35" w:rsidRDefault="00D41C35" w:rsidP="008734BE">
      <w:pPr>
        <w:pStyle w:val="Heading3"/>
      </w:pPr>
      <w:bookmarkStart w:id="9" w:name="_Toc58606006"/>
      <w:r>
        <w:t>What is microbial dormancy?</w:t>
      </w:r>
      <w:bookmarkEnd w:id="9"/>
    </w:p>
    <w:p w14:paraId="1450C1E8" w14:textId="77777777" w:rsidR="00D41C35" w:rsidRDefault="00D41C35" w:rsidP="00D41C35">
      <w:r>
        <w:t xml:space="preserve">Dormancy is a reversible, metabolically inactive state that occurs in response to unfavourable conditions </w:t>
      </w:r>
      <w:r>
        <w:fldChar w:fldCharType="begin" w:fldLock="1"/>
      </w:r>
      <w: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2020)","previouslyFormattedCitation":"(Locey et al., 2020)"},"properties":{"noteIndex":0},"schema":"https://github.com/citation-style-language/schema/raw/master/csl-citation.json"}</w:instrText>
      </w:r>
      <w:r>
        <w:fldChar w:fldCharType="separate"/>
      </w:r>
      <w:r w:rsidRPr="003F7686">
        <w:rPr>
          <w:noProof/>
        </w:rPr>
        <w:t>(Locey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2020)","previouslyFormattedCitation":"(Locey et al., 2020)"},"properties":{"noteIndex":0},"schema":"https://github.com/citation-style-language/schema/raw/master/csl-citation.json"}</w:instrText>
      </w:r>
      <w:r>
        <w:fldChar w:fldCharType="separate"/>
      </w:r>
      <w:r w:rsidRPr="006D37E6">
        <w:rPr>
          <w:noProof/>
        </w:rPr>
        <w:t>(Locey et al., 2020)</w:t>
      </w:r>
      <w:r>
        <w:fldChar w:fldCharType="end"/>
      </w:r>
      <w:r>
        <w:t>.</w:t>
      </w:r>
    </w:p>
    <w:p w14:paraId="792B938E" w14:textId="77777777" w:rsidR="00D41C35" w:rsidRDefault="00D41C35" w:rsidP="00D41C35">
      <w:r>
        <w:t xml:space="preserve">  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Pr="00A810DA">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17C8AA38" w14:textId="77777777" w:rsidR="00D41C35" w:rsidRDefault="00D41C35" w:rsidP="00D41C35">
      <w:r>
        <w:lastRenderedPageBreak/>
        <w:t xml:space="preserve">  Cellular quiescence is a reversible, nondividing state that can last for years </w:t>
      </w:r>
      <w:r>
        <w:fldChar w:fldCharType="begin" w:fldLock="1"/>
      </w:r>
      <w: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Pr="009C0799">
        <w:rPr>
          <w:noProof/>
        </w:rPr>
        <w:t>(Coller, Sang, &amp; Roberts, 2006)</w:t>
      </w:r>
      <w:r>
        <w:fldChar w:fldCharType="end"/>
      </w:r>
      <w:r>
        <w:t xml:space="preserve">. Quiescence differs from true dormancy in that cells retain metabolically capacity, membrane potential and are morphologically unchanged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3342FA">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D765CB">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D765CB">
        <w:rPr>
          <w:noProof/>
        </w:rPr>
        <w:t>(Rittershaus et al., 2013)</w:t>
      </w:r>
      <w:r>
        <w:fldChar w:fldCharType="end"/>
      </w:r>
      <w:r>
        <w:t xml:space="preserve">. Macromolecular synthesis, such as the formation of RNA and proteins, varies over the cycle of bacterial cellular quiescence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815747">
        <w:rPr>
          <w:noProof/>
        </w:rPr>
        <w:t>(Rittershaus et al., 2013)</w:t>
      </w:r>
      <w:r>
        <w:fldChar w:fldCharType="end"/>
      </w:r>
      <w:r>
        <w:t xml:space="preserve">. 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815747">
        <w:rPr>
          <w:noProof/>
        </w:rPr>
        <w:t>(Shaikh et al., 2010)</w:t>
      </w:r>
      <w:r>
        <w:fldChar w:fldCharType="end"/>
      </w:r>
      <w:r>
        <w:t xml:space="preserve">. Increased protein turnover may also be necessary for returning to the growth phase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9C439A">
        <w:rPr>
          <w:noProof/>
        </w:rPr>
        <w:t>(Rittershaus et al., 2013)</w:t>
      </w:r>
      <w:r>
        <w:fldChar w:fldCharType="end"/>
      </w:r>
      <w:r>
        <w:t xml:space="preserve">. Once quiescence is entered transcription rate and protein synthesis decrease significantly, but do not stop entirely </w:t>
      </w:r>
      <w:r>
        <w:fldChar w:fldCharType="begin" w:fldLock="1"/>
      </w:r>
      <w:r>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Pr="009C439A">
        <w:rPr>
          <w:noProof/>
        </w:rPr>
        <w:t>(Choder, 1991; Fuge, Braun, &amp; Werner-Washburne, 1994)</w:t>
      </w:r>
      <w:r>
        <w:fldChar w:fldCharType="end"/>
      </w:r>
      <w:r>
        <w:t xml:space="preserve">. Maintaining membrane potential and ATP homeostasis is integral for the survival of the quiescent bacterial cell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66739">
        <w:rPr>
          <w:noProof/>
        </w:rPr>
        <w:t>(Rittershaus et al., 2013)</w:t>
      </w:r>
      <w:r>
        <w:fldChar w:fldCharType="end"/>
      </w:r>
      <w:r>
        <w:t xml:space="preserve">. Carbon flux decreases for quiescent cells, but alternative metabolic pathways increase activity to maintain the cell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695FD1">
        <w:rPr>
          <w:noProof/>
        </w:rPr>
        <w:t>(Rittershaus et al., 2013)</w:t>
      </w:r>
      <w:r>
        <w:fldChar w:fldCharType="end"/>
      </w:r>
      <w:r>
        <w:t xml:space="preserve">.  </w:t>
      </w:r>
    </w:p>
    <w:p w14:paraId="0836F519" w14:textId="77777777" w:rsidR="00D41C35" w:rsidRDefault="00D41C35" w:rsidP="00D41C35">
      <w:r>
        <w:t xml:space="preserve">  True dormancy includes sporulation, where a cell divides asymmetrically to produce a metabolically inactive spore cell </w:t>
      </w:r>
      <w:r>
        <w:fldChar w:fldCharType="begin" w:fldLock="1"/>
      </w:r>
      <w: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Pr="009C0799">
        <w:rPr>
          <w:noProof/>
        </w:rPr>
        <w:t>(Stragier &amp; Losick, 1996)</w:t>
      </w:r>
      <w:r>
        <w:fldChar w:fldCharType="end"/>
      </w:r>
      <w:r>
        <w:t xml:space="preserve">. 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6A29D3">
        <w:rPr>
          <w:noProof/>
        </w:rPr>
        <w:t>(Rittershaus et al., 2013)</w:t>
      </w:r>
      <w:r>
        <w:fldChar w:fldCharType="end"/>
      </w:r>
      <w:r>
        <w:t xml:space="preserve">. Spore viability is independent of ATP synthesis and maintenance of membrane potential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66739">
        <w:rPr>
          <w:noProof/>
        </w:rPr>
        <w:t>(Rittershaus et al., 2013)</w:t>
      </w:r>
      <w:r>
        <w:fldChar w:fldCharType="end"/>
      </w:r>
      <w:r>
        <w:t>.</w:t>
      </w:r>
    </w:p>
    <w:p w14:paraId="3F656FE3" w14:textId="77777777" w:rsidR="00D41C35" w:rsidRDefault="00D41C35" w:rsidP="00D41C35">
      <w:r>
        <w:t xml:space="preserve">  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Pr="002D4857">
        <w:rPr>
          <w:noProof/>
        </w:rPr>
        <w:t>(Shah, Laaberki, Popham, &amp; Dworkin, 2008)</w:t>
      </w:r>
      <w:r>
        <w:fldChar w:fldCharType="end"/>
      </w:r>
      <w:r>
        <w:t xml:space="preserve">. </w:t>
      </w:r>
    </w:p>
    <w:p w14:paraId="6A039682" w14:textId="0C782660" w:rsidR="00D41C35" w:rsidRDefault="00D41C35" w:rsidP="00D41C35">
      <w:r>
        <w:t xml:space="preserve">  Both quiescent cells and spores face the challenge of preserving genome integrity without the metabolic activity that sustains canonical DNA repair mechanisms during growth stages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695FD1">
        <w:rPr>
          <w:noProof/>
        </w:rPr>
        <w:t>(Rittershaus et al., 2013)</w:t>
      </w:r>
      <w:r>
        <w:fldChar w:fldCharType="end"/>
      </w:r>
      <w:r>
        <w:t xml:space="preserve">. This can be achieved by converting chromosome structure to a more stable form, such as </w:t>
      </w:r>
      <w:proofErr w:type="spellStart"/>
      <w:r>
        <w:t>Dps</w:t>
      </w:r>
      <w:proofErr w:type="spellEnd"/>
      <w:r>
        <w:t xml:space="preserve">, an inducible nonspecific DNA-binding protein that protects DNA from oxidative stress </w:t>
      </w:r>
      <w:r>
        <w:fldChar w:fldCharType="begin" w:fldLock="1"/>
      </w:r>
      <w:r>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Pr="00C162D8">
        <w:rPr>
          <w:noProof/>
        </w:rPr>
        <w:t>(Martinez &amp; Kolter, 1997)</w:t>
      </w:r>
      <w:r>
        <w:fldChar w:fldCharType="end"/>
      </w:r>
      <w:r>
        <w:t xml:space="preserve">. Photosynthetic cyanobacteria have been shown to use a circadian clock-controlled chromosome compaction mechanism </w:t>
      </w:r>
      <w:r>
        <w:fldChar w:fldCharType="begin" w:fldLock="1"/>
      </w:r>
      <w:r>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elongatus","type":"article-journal","volume":"103"},"uris":["http://www.mendeley.com/documents/?uuid=82bd1224-8f3c-48fc-81dc-496e31975569"]}],"mendeley":{"formattedCitation":"(Smith &amp; Williams, 2006)","plainTextFormattedCitation":"(Smith &amp; Williams, 2006)","previouslyFormattedCitation":"(Smith &amp; Williams, 2006)"},"properties":{"noteIndex":0},"schema":"https://github.com/citation-style-language/schema/raw/master/csl-citation.json"}</w:instrText>
      </w:r>
      <w:r>
        <w:fldChar w:fldCharType="separate"/>
      </w:r>
      <w:r w:rsidRPr="00E0278D">
        <w:rPr>
          <w:noProof/>
        </w:rPr>
        <w:t>(Smith &amp; Williams, 2006)</w:t>
      </w:r>
      <w:r>
        <w:fldChar w:fldCharType="end"/>
      </w:r>
      <w:r>
        <w:t xml:space="preserve">. 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76091C">
        <w:rPr>
          <w:noProof/>
        </w:rPr>
        <w:t>(Rittershaus et al., 2013)</w:t>
      </w:r>
      <w:r>
        <w:fldChar w:fldCharType="end"/>
      </w:r>
      <w:r>
        <w:t xml:space="preserve">. 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103CF65E" w14:textId="46357938" w:rsidR="00D41C35" w:rsidRDefault="00D41C35" w:rsidP="008734BE">
      <w:pPr>
        <w:pStyle w:val="Heading3"/>
      </w:pPr>
      <w:bookmarkStart w:id="10" w:name="_Toc58606007"/>
      <w:r>
        <w:t>Why is dormancy important?</w:t>
      </w:r>
      <w:bookmarkEnd w:id="10"/>
    </w:p>
    <w:p w14:paraId="0DC425FB" w14:textId="77777777" w:rsidR="00D41C35" w:rsidRDefault="00D41C35" w:rsidP="00D41C35">
      <w:r>
        <w:t xml:space="preserve">Microbial dormancy is important for survival, generating seed banks and genetic recombination when generated through sexual reproduction </w:t>
      </w:r>
      <w:r>
        <w:fldChar w:fldCharType="begin" w:fldLock="1"/>
      </w:r>
      <w: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Pr="004C4B3A">
        <w:rPr>
          <w:noProof/>
        </w:rPr>
        <w:t>(Rengefors, Karlsson, &amp; Hansson, 1998)</w:t>
      </w:r>
      <w:r>
        <w:fldChar w:fldCharType="end"/>
      </w:r>
      <w:r>
        <w:t xml:space="preserve">. </w:t>
      </w:r>
    </w:p>
    <w:p w14:paraId="38F1B9A5" w14:textId="77777777" w:rsidR="00D41C35" w:rsidRDefault="00D41C35" w:rsidP="00D41C35">
      <w:r>
        <w:t xml:space="preserve"> </w:t>
      </w:r>
    </w:p>
    <w:p w14:paraId="3A481D44" w14:textId="7864D9DC" w:rsidR="00D41C35" w:rsidRPr="000C1359" w:rsidRDefault="00D41C35" w:rsidP="008734BE">
      <w:pPr>
        <w:pStyle w:val="Heading3"/>
      </w:pPr>
      <w:bookmarkStart w:id="11" w:name="_Toc58606008"/>
      <w:r>
        <w:lastRenderedPageBreak/>
        <w:t>Are there dormant individuals in cryoconite holes? How does this differ between eukaryotic/prokaryotic organisms? How might this differ temporally?</w:t>
      </w:r>
      <w:bookmarkEnd w:id="11"/>
    </w:p>
    <w:p w14:paraId="7B978634" w14:textId="77777777" w:rsidR="00D41C35" w:rsidRDefault="00D41C35" w:rsidP="00D41C35">
      <w:r>
        <w:t>The dominant groups within the cryoconite community include: the primary producers, cyanobacteria and algae (</w:t>
      </w:r>
      <w:proofErr w:type="spellStart"/>
      <w:r w:rsidRPr="003772A3">
        <w:rPr>
          <w:rFonts w:ascii="Calibri" w:eastAsia="Times New Roman" w:hAnsi="Calibri" w:cs="Calibri"/>
          <w:color w:val="000000"/>
        </w:rPr>
        <w:t>Ochrophyta</w:t>
      </w:r>
      <w:proofErr w:type="spellEnd"/>
      <w:r>
        <w:rPr>
          <w:rFonts w:ascii="Calibri" w:eastAsia="Times New Roman" w:hAnsi="Calibri" w:cs="Calibri"/>
          <w:color w:val="000000"/>
        </w:rPr>
        <w:t xml:space="preserve"> and </w:t>
      </w:r>
      <w:r w:rsidRPr="003772A3">
        <w:rPr>
          <w:rFonts w:ascii="Calibri" w:eastAsia="Times New Roman" w:hAnsi="Calibri" w:cs="Calibri"/>
          <w:color w:val="000000"/>
        </w:rPr>
        <w:t>Chlorophyta</w:t>
      </w:r>
      <w:r>
        <w:rPr>
          <w:rFonts w:ascii="Calibri" w:eastAsia="Times New Roman" w:hAnsi="Calibri" w:cs="Calibri"/>
          <w:color w:val="000000"/>
        </w:rPr>
        <w:t>)</w:t>
      </w:r>
      <w:r>
        <w:t>, the heterotrophic bacteria (proteobacteria and actinobacteria), archaea (</w:t>
      </w:r>
      <w:proofErr w:type="spellStart"/>
      <w:r w:rsidRPr="004D5D58">
        <w:t>Thaumarchaeota</w:t>
      </w:r>
      <w:proofErr w:type="spellEnd"/>
      <w:r>
        <w:t xml:space="preserve"> and </w:t>
      </w:r>
      <w:proofErr w:type="spellStart"/>
      <w:r w:rsidRPr="004D5D58">
        <w:t>Euryarchaeota</w:t>
      </w:r>
      <w:proofErr w:type="spellEnd"/>
      <w:r>
        <w:t>), the heterotrophic eukaryotes (</w:t>
      </w:r>
      <w:proofErr w:type="spellStart"/>
      <w:r w:rsidRPr="003772A3">
        <w:rPr>
          <w:rFonts w:ascii="Calibri" w:eastAsia="Times New Roman" w:hAnsi="Calibri" w:cs="Calibri"/>
          <w:color w:val="000000"/>
        </w:rPr>
        <w:t>Ciliophora</w:t>
      </w:r>
      <w:proofErr w:type="spellEnd"/>
      <w:r>
        <w:rPr>
          <w:rFonts w:ascii="Calibri" w:eastAsia="Times New Roman" w:hAnsi="Calibri" w:cs="Calibri"/>
          <w:color w:val="000000"/>
        </w:rPr>
        <w:t xml:space="preserve"> and </w:t>
      </w:r>
      <w:proofErr w:type="spellStart"/>
      <w:r w:rsidRPr="003772A3">
        <w:rPr>
          <w:rFonts w:ascii="Calibri" w:eastAsia="Times New Roman" w:hAnsi="Calibri" w:cs="Calibri"/>
          <w:color w:val="000000"/>
        </w:rPr>
        <w:t>Cercozoa</w:t>
      </w:r>
      <w:proofErr w:type="spellEnd"/>
      <w:r>
        <w:rPr>
          <w:rFonts w:ascii="Calibri" w:eastAsia="Times New Roman" w:hAnsi="Calibri" w:cs="Calibri"/>
          <w:color w:val="000000"/>
        </w:rPr>
        <w:t>)</w:t>
      </w:r>
      <w:r>
        <w:t xml:space="preserve"> and fungi (</w:t>
      </w:r>
      <w:r w:rsidRPr="003772A3">
        <w:rPr>
          <w:rFonts w:ascii="Calibri" w:eastAsia="Times New Roman" w:hAnsi="Calibri" w:cs="Calibri"/>
          <w:color w:val="000000"/>
        </w:rPr>
        <w:t>Ascomycota</w:t>
      </w:r>
      <w:r>
        <w:rPr>
          <w:rFonts w:ascii="Calibri" w:eastAsia="Times New Roman" w:hAnsi="Calibri" w:cs="Calibri"/>
          <w:color w:val="000000"/>
        </w:rPr>
        <w:t xml:space="preserve"> and </w:t>
      </w:r>
      <w:r w:rsidRPr="003772A3">
        <w:rPr>
          <w:rFonts w:ascii="Calibri" w:eastAsia="Times New Roman" w:hAnsi="Calibri" w:cs="Calibri"/>
          <w:color w:val="000000"/>
        </w:rPr>
        <w:t>Basidiomycota</w:t>
      </w:r>
      <w:r>
        <w:rPr>
          <w:rFonts w:ascii="Calibri" w:eastAsia="Times New Roman" w:hAnsi="Calibri" w:cs="Calibri"/>
          <w:color w:val="000000"/>
        </w:rPr>
        <w:t>)</w:t>
      </w:r>
      <w:r>
        <w:t xml:space="preserve">, as well as </w:t>
      </w:r>
      <w:proofErr w:type="spellStart"/>
      <w:r>
        <w:t>micrometazoans</w:t>
      </w:r>
      <w:proofErr w:type="spellEnd"/>
      <w:r>
        <w:t xml:space="preserve"> tardigrades and rotifers. </w:t>
      </w:r>
    </w:p>
    <w:p w14:paraId="7F04642F" w14:textId="77777777" w:rsidR="00D41C35" w:rsidRDefault="00D41C35" w:rsidP="00D41C35">
      <w:r>
        <w:t xml:space="preserve">  The primary producers, cyanobacteria and algae, have been found on glacier surfaces in Svalbard and fall into seven distinct groups: unicellular </w:t>
      </w:r>
      <w:proofErr w:type="spellStart"/>
      <w:r>
        <w:t>Chroococcales</w:t>
      </w:r>
      <w:proofErr w:type="spellEnd"/>
      <w:r>
        <w:t xml:space="preserve"> (cyanobacteria), filamentous </w:t>
      </w:r>
      <w:proofErr w:type="spellStart"/>
      <w:r>
        <w:t>Oscillatoriales</w:t>
      </w:r>
      <w:proofErr w:type="spellEnd"/>
      <w:r>
        <w:t xml:space="preserve"> (cyanobacteria) and </w:t>
      </w:r>
      <w:proofErr w:type="spellStart"/>
      <w:r>
        <w:t>Nostocales</w:t>
      </w:r>
      <w:proofErr w:type="spellEnd"/>
      <w:r>
        <w:t xml:space="preserve"> with </w:t>
      </w:r>
      <w:proofErr w:type="spellStart"/>
      <w:r>
        <w:t>heterocytes</w:t>
      </w:r>
      <w:proofErr w:type="spellEnd"/>
      <w:r>
        <w:t xml:space="preserve"> and </w:t>
      </w:r>
      <w:proofErr w:type="spellStart"/>
      <w:r>
        <w:t>akinetes</w:t>
      </w:r>
      <w:proofErr w:type="spellEnd"/>
      <w:r>
        <w:t xml:space="preserve"> (cyanobacteria), green coccoid and filamentous algae (algae), diatoms (algae) and desmids (algae) </w:t>
      </w:r>
      <w:r>
        <w:fldChar w:fldCharType="begin" w:fldLock="1"/>
      </w:r>
      <w: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fldChar w:fldCharType="separate"/>
      </w:r>
      <w:r w:rsidRPr="00FF68C8">
        <w:rPr>
          <w:noProof/>
        </w:rPr>
        <w:t>(Stibal et al., 2006)</w:t>
      </w:r>
      <w:r>
        <w:fldChar w:fldCharType="end"/>
      </w:r>
      <w:r>
        <w:t xml:space="preserve">. </w:t>
      </w:r>
    </w:p>
    <w:p w14:paraId="66846378" w14:textId="77777777" w:rsidR="00D41C35" w:rsidRDefault="00D41C35" w:rsidP="00D41C35">
      <w:r>
        <w:t xml:space="preserve">  Cyanobacteria form </w:t>
      </w:r>
      <w:proofErr w:type="spellStart"/>
      <w:r>
        <w:t>akinetes</w:t>
      </w:r>
      <w:proofErr w:type="spellEnd"/>
      <w:r>
        <w:t xml:space="preserve">, spore-like non-motile cells that differentiate from the vegetative cell as a result of environmental stress </w:t>
      </w:r>
      <w:r>
        <w:fldChar w:fldCharType="begin" w:fldLock="1"/>
      </w:r>
      <w:r>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A121DE">
        <w:rPr>
          <w:noProof/>
        </w:rPr>
        <w:t>(Sukenik et al., 2015)</w:t>
      </w:r>
      <w:r>
        <w:fldChar w:fldCharType="end"/>
      </w:r>
      <w:r>
        <w:t xml:space="preserve">. </w:t>
      </w:r>
      <w:proofErr w:type="spellStart"/>
      <w:r>
        <w:t>Akinetes</w:t>
      </w:r>
      <w:proofErr w:type="spellEnd"/>
      <w:r>
        <w:t xml:space="preserve"> are structurally, compositionally and morphologically different from their vegetative parents, often being up to 10-fold larger with thicker cell walls, however shape and filament position varies between species </w:t>
      </w:r>
      <w:r>
        <w:fldChar w:fldCharType="begin" w:fldLock="1"/>
      </w:r>
      <w:r>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9970B8">
        <w:rPr>
          <w:noProof/>
        </w:rPr>
        <w:t>(Kaplan-levy et al., 2010; Sukenik et al., 2015)</w:t>
      </w:r>
      <w:r>
        <w:fldChar w:fldCharType="end"/>
      </w:r>
      <w:r>
        <w:t xml:space="preserve">. </w:t>
      </w:r>
      <w:proofErr w:type="spellStart"/>
      <w:r>
        <w:t>Akinetes</w:t>
      </w:r>
      <w:proofErr w:type="spellEnd"/>
      <w:r>
        <w:t xml:space="preserve"> store large amounts of DNA and nutrients </w:t>
      </w:r>
      <w:r>
        <w:fldChar w:fldCharType="begin" w:fldLock="1"/>
      </w:r>
      <w: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9970B8">
        <w:rPr>
          <w:noProof/>
        </w:rPr>
        <w:t>(Kaplan-levy et al., 2010)</w:t>
      </w:r>
      <w:r>
        <w:fldChar w:fldCharType="end"/>
      </w:r>
      <w:r>
        <w:t xml:space="preserve">. Among cyanobacterial groups, </w:t>
      </w:r>
      <w:proofErr w:type="spellStart"/>
      <w:r>
        <w:t>Chroococcales</w:t>
      </w:r>
      <w:proofErr w:type="spellEnd"/>
      <w:r>
        <w:t xml:space="preserve"> and </w:t>
      </w:r>
      <w:proofErr w:type="spellStart"/>
      <w:r>
        <w:t>Oscillatoriales</w:t>
      </w:r>
      <w:proofErr w:type="spellEnd"/>
      <w:r>
        <w:t xml:space="preserve"> lack specialized resting cells, while </w:t>
      </w:r>
      <w:proofErr w:type="spellStart"/>
      <w:r>
        <w:t>Nostocales</w:t>
      </w:r>
      <w:proofErr w:type="spellEnd"/>
      <w:r>
        <w:t xml:space="preserve"> and </w:t>
      </w:r>
      <w:proofErr w:type="spellStart"/>
      <w:r>
        <w:t>Stigonematales</w:t>
      </w:r>
      <w:proofErr w:type="spellEnd"/>
      <w:r>
        <w:t xml:space="preserve"> develop specialized dormancy cells </w:t>
      </w:r>
      <w:r>
        <w:fldChar w:fldCharType="begin" w:fldLock="1"/>
      </w:r>
      <w: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39176E">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w:t>
      </w:r>
      <w:proofErr w:type="spellStart"/>
      <w:r>
        <w:t>vesticles</w:t>
      </w:r>
      <w:proofErr w:type="spellEnd"/>
      <w:r>
        <w:t xml:space="preserve"> </w:t>
      </w:r>
      <w:r>
        <w:fldChar w:fldCharType="begin" w:fldLock="1"/>
      </w:r>
      <w: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A97A24">
        <w:rPr>
          <w:noProof/>
        </w:rPr>
        <w:t>(Kaplan-levy et al., 2010)</w:t>
      </w:r>
      <w:r>
        <w:fldChar w:fldCharType="end"/>
      </w:r>
      <w:r>
        <w:t xml:space="preserve">. The combination of employing dormancy as a survival strategy and gas-filled </w:t>
      </w:r>
      <w:proofErr w:type="spellStart"/>
      <w:r>
        <w:t>vesticles</w:t>
      </w:r>
      <w:proofErr w:type="spellEnd"/>
      <w:r>
        <w:t xml:space="preserve"> for floatation contribute to cyanobacterial dominance in aquatic systems </w:t>
      </w:r>
      <w:r>
        <w:fldChar w:fldCharType="begin" w:fldLock="1"/>
      </w:r>
      <w: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723501">
        <w:rPr>
          <w:noProof/>
        </w:rPr>
        <w:t>(Kaplan-levy et al., 2010)</w:t>
      </w:r>
      <w:r>
        <w:fldChar w:fldCharType="end"/>
      </w:r>
      <w:r>
        <w:t>.</w:t>
      </w:r>
    </w:p>
    <w:p w14:paraId="7FE8F14B" w14:textId="77777777" w:rsidR="00D41C35" w:rsidRDefault="00D41C35" w:rsidP="00D41C35">
      <w:r>
        <w:t xml:space="preserve">  Cyanobacteria also develop another type of specialized cell called </w:t>
      </w:r>
      <w:proofErr w:type="spellStart"/>
      <w:r>
        <w:t>heterocysts</w:t>
      </w:r>
      <w:proofErr w:type="spellEnd"/>
      <w:r>
        <w:t xml:space="preserve">. </w:t>
      </w:r>
      <w:proofErr w:type="spellStart"/>
      <w:r>
        <w:t>Heterocysts</w:t>
      </w:r>
      <w:proofErr w:type="spellEnd"/>
      <w:r>
        <w:t xml:space="preserve"> exist within the cyanobacterial filament, separated by vegetative cells, and fix nitrogen </w:t>
      </w:r>
      <w:r>
        <w:fldChar w:fldCharType="begin" w:fldLock="1"/>
      </w:r>
      <w:r>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Pr="00290BCE">
        <w:rPr>
          <w:noProof/>
        </w:rPr>
        <w:t>(Kumar, Mella-Herrera, &amp; Golden, 2010)</w:t>
      </w:r>
      <w:r>
        <w:fldChar w:fldCharType="end"/>
      </w:r>
      <w:r>
        <w:t xml:space="preserve">. </w:t>
      </w:r>
    </w:p>
    <w:p w14:paraId="267DD05F" w14:textId="77777777" w:rsidR="00D41C35" w:rsidRPr="003772A3" w:rsidRDefault="00D41C35" w:rsidP="00D41C35">
      <w:pPr>
        <w:rPr>
          <w:rFonts w:ascii="Calibri" w:eastAsia="Times New Roman" w:hAnsi="Calibri" w:cs="Calibri"/>
          <w:color w:val="000000"/>
        </w:rPr>
      </w:pPr>
      <w:r>
        <w:t xml:space="preserve">  Algae also employ a resting stage for surviving periods of adverse environmental conditions. </w:t>
      </w:r>
    </w:p>
    <w:p w14:paraId="43AF8562" w14:textId="77777777" w:rsidR="00D41C35" w:rsidRDefault="00D41C35" w:rsidP="00D41C35">
      <w:r>
        <w:t xml:space="preserve">  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However, some studies have suggested that certain grazers are selective, taking the largest and fastest growing bacteria </w:t>
      </w:r>
      <w:r>
        <w:fldChar w:fldCharType="begin" w:fldLock="1"/>
      </w:r>
      <w:r>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Pr="00A14E1C">
        <w:rPr>
          <w:noProof/>
        </w:rPr>
        <w:t>(Chrzanowski &amp; Šimek, 1990; Simek &amp; Chrzanowski, 1992)</w:t>
      </w:r>
      <w:r>
        <w:fldChar w:fldCharType="end"/>
      </w:r>
      <w:r>
        <w:t xml:space="preserve">. Dormancy then can alter the predator-prey interactions within aquatic microbial communities. </w:t>
      </w:r>
    </w:p>
    <w:p w14:paraId="3B7208F2" w14:textId="1AFBEC12" w:rsidR="00174C55" w:rsidRDefault="00174C55" w:rsidP="00174C55">
      <w:pPr>
        <w:pStyle w:val="Heading3"/>
      </w:pPr>
      <w:bookmarkStart w:id="12" w:name="_Toc58606009"/>
      <w:r>
        <w:t>Will incidence of microbial dormancy change as a result of climate change and what are the implications?</w:t>
      </w:r>
      <w:bookmarkEnd w:id="12"/>
    </w:p>
    <w:p w14:paraId="2C141BA3" w14:textId="6E83F144" w:rsidR="00BD29D5" w:rsidRDefault="00174C55">
      <w:r>
        <w:t xml:space="preserve">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w:t>
      </w:r>
      <w:r>
        <w:lastRenderedPageBreak/>
        <w:t>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0105089A" w14:textId="5006B479" w:rsidR="005E2ABB" w:rsidRDefault="00174C55" w:rsidP="008734BE">
      <w:pPr>
        <w:pStyle w:val="Heading2"/>
      </w:pPr>
      <w:bookmarkStart w:id="13" w:name="_Toc58606010"/>
      <w:r>
        <w:t xml:space="preserve">Section Three: </w:t>
      </w:r>
      <w:r w:rsidR="005E2ABB">
        <w:t>Microbial Biogeography</w:t>
      </w:r>
      <w:r w:rsidR="009C19F8">
        <w:t xml:space="preserve"> and Community Assembly</w:t>
      </w:r>
      <w:bookmarkEnd w:id="13"/>
    </w:p>
    <w:p w14:paraId="2D125E74" w14:textId="6DF8300B" w:rsidR="007E20EB" w:rsidRDefault="005E2ABB">
      <w:r>
        <w:t xml:space="preserve">Biodiversity is heterogeneously structured through space and time. </w:t>
      </w:r>
      <w:r w:rsidR="00D2487B">
        <w:t>The biogeography</w:t>
      </w:r>
      <w:r w:rsidR="009E1E2A">
        <w:t>, or geographic distribution,</w:t>
      </w:r>
      <w:r w:rsidR="00D2487B">
        <w:t xml:space="preserve"> of </w:t>
      </w:r>
      <w:r w:rsidR="009E1E2A">
        <w:t>plants and animals has been studied since the 18</w:t>
      </w:r>
      <w:r w:rsidR="009E1E2A" w:rsidRPr="009E1E2A">
        <w:rPr>
          <w:vertAlign w:val="superscript"/>
        </w:rPr>
        <w:t>th</w:t>
      </w:r>
      <w:r w:rsidR="009E1E2A">
        <w:t xml:space="preserve"> century</w:t>
      </w:r>
      <w:r w:rsidR="00340B1F">
        <w:t xml:space="preserve"> </w:t>
      </w:r>
      <w:r w:rsidR="009E1E2A">
        <w:fldChar w:fldCharType="begin" w:fldLock="1"/>
      </w:r>
      <w:r w:rsidR="00340B1F">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9E1E2A">
        <w:fldChar w:fldCharType="separate"/>
      </w:r>
      <w:r w:rsidR="009E1E2A" w:rsidRPr="009E1E2A">
        <w:rPr>
          <w:noProof/>
        </w:rPr>
        <w:t>(Martiny et al., 2006)</w:t>
      </w:r>
      <w:r w:rsidR="009E1E2A">
        <w:fldChar w:fldCharType="end"/>
      </w:r>
      <w:r w:rsidR="005F2A18">
        <w:t xml:space="preserve">. These biogeographic patterns include latitudinal structuring, species-abundance distributions, species-area relationships, distance-decay relationships and species-time relationships </w:t>
      </w:r>
      <w:r w:rsidR="005F2A18">
        <w:fldChar w:fldCharType="begin" w:fldLock="1"/>
      </w:r>
      <w:r w:rsidR="005F2A1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rsidR="005F2A18">
        <w:fldChar w:fldCharType="separate"/>
      </w:r>
      <w:r w:rsidR="005F2A18" w:rsidRPr="005E2ABB">
        <w:rPr>
          <w:noProof/>
        </w:rPr>
        <w:t>(Zhou, 2017)</w:t>
      </w:r>
      <w:r w:rsidR="005F2A18">
        <w:fldChar w:fldCharType="end"/>
      </w:r>
      <w:r w:rsidR="0095426E">
        <w:t xml:space="preserve">. By understanding the biogeography of species we can gain insight into the mechanisms that maintain diversity in a given system, such as colonisation, extinction, speciation, biotic and abiotic interactions </w:t>
      </w:r>
      <w:r w:rsidR="0095426E">
        <w:fldChar w:fldCharType="begin" w:fldLock="1"/>
      </w:r>
      <w:r w:rsidR="00E7107C">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95426E">
        <w:fldChar w:fldCharType="separate"/>
      </w:r>
      <w:r w:rsidR="0095426E" w:rsidRPr="0095426E">
        <w:rPr>
          <w:noProof/>
        </w:rPr>
        <w:t>(Martiny et al., 2006)</w:t>
      </w:r>
      <w:r w:rsidR="0095426E">
        <w:fldChar w:fldCharType="end"/>
      </w:r>
      <w:r w:rsidR="0095426E">
        <w:t xml:space="preserve">. </w:t>
      </w:r>
      <w:r w:rsidR="009E1E2A">
        <w:t xml:space="preserve">Microbial biogeography </w:t>
      </w:r>
      <w:r w:rsidR="00340B1F">
        <w:t xml:space="preserve">has been fairly </w:t>
      </w:r>
      <w:r w:rsidR="0095426E">
        <w:t xml:space="preserve">neglected within </w:t>
      </w:r>
      <w:r w:rsidR="009E1E2A">
        <w:t xml:space="preserve">the literature, with </w:t>
      </w:r>
      <w:r w:rsidR="0095426E">
        <w:t>study of microbial biogeography</w:t>
      </w:r>
      <w:r w:rsidR="009E1E2A">
        <w:t xml:space="preserve"> </w:t>
      </w:r>
      <w:r w:rsidR="00340B1F">
        <w:t xml:space="preserve">conforming to the assumption that “Everything is everywhere, but, the environment selects </w:t>
      </w:r>
      <w:r w:rsidR="00340B1F">
        <w:fldChar w:fldCharType="begin" w:fldLock="1"/>
      </w:r>
      <w:r w:rsidR="00340B1F">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00340B1F">
        <w:fldChar w:fldCharType="separate"/>
      </w:r>
      <w:r w:rsidR="00340B1F" w:rsidRPr="00340B1F">
        <w:rPr>
          <w:noProof/>
        </w:rPr>
        <w:t>(Baas-Becking, 1934)</w:t>
      </w:r>
      <w:r w:rsidR="00340B1F">
        <w:fldChar w:fldCharType="end"/>
      </w:r>
      <w:r w:rsidR="00340B1F">
        <w:t xml:space="preserve">. That is, patterns in microbial geographic distribution are the result of niche filtering or environmental selection, reducing the topic of microbial biogeography to one concerned with understanding the species niche. However, </w:t>
      </w:r>
      <w:r w:rsidR="0095426E">
        <w:t xml:space="preserve">with the </w:t>
      </w:r>
      <w:r w:rsidR="00E7107C">
        <w:t>assent of powerful genetic techniques</w:t>
      </w:r>
      <w:r w:rsidR="0095426E">
        <w:t xml:space="preserve"> over classic culturing methods, microbial ecologists now have the tools to make m</w:t>
      </w:r>
      <w:r w:rsidR="00E7107C">
        <w:t xml:space="preserve">ore accurate assessments of microbial biodiversity in a given habitat </w:t>
      </w:r>
      <w:r w:rsidR="00E7107C">
        <w:fldChar w:fldCharType="begin" w:fldLock="1"/>
      </w:r>
      <w:r w:rsidR="00E7107C">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00E7107C">
        <w:fldChar w:fldCharType="separate"/>
      </w:r>
      <w:r w:rsidR="00E7107C" w:rsidRPr="00E7107C">
        <w:rPr>
          <w:noProof/>
        </w:rPr>
        <w:t>(Ward, Weller, &amp; Bateson, 1990)</w:t>
      </w:r>
      <w:r w:rsidR="00E7107C">
        <w:fldChar w:fldCharType="end"/>
      </w:r>
      <w:r w:rsidR="00E7107C">
        <w:t xml:space="preserve">. This has led to </w:t>
      </w:r>
      <w:r w:rsidR="00340B1F">
        <w:t xml:space="preserve">several studies </w:t>
      </w:r>
      <w:r w:rsidR="00E7107C">
        <w:t xml:space="preserve">producing evidence of </w:t>
      </w:r>
      <w:r w:rsidR="00340B1F">
        <w:t>microorganisms follow</w:t>
      </w:r>
      <w:r w:rsidR="00E7107C">
        <w:t>ing</w:t>
      </w:r>
      <w:r w:rsidR="00340B1F">
        <w:t xml:space="preserve"> similar biogeographic patterns to those observed in </w:t>
      </w:r>
      <w:proofErr w:type="spellStart"/>
      <w:r w:rsidR="00340B1F">
        <w:t>macroorganisms</w:t>
      </w:r>
      <w:proofErr w:type="spellEnd"/>
      <w:r w:rsidR="00340B1F">
        <w:t xml:space="preserve"> </w:t>
      </w:r>
      <w:r w:rsidR="00340B1F">
        <w:fldChar w:fldCharType="begin" w:fldLock="1"/>
      </w:r>
      <w:r w:rsidR="0095426E">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00340B1F">
        <w:fldChar w:fldCharType="separate"/>
      </w:r>
      <w:r w:rsidR="00340B1F" w:rsidRPr="00340B1F">
        <w:rPr>
          <w:noProof/>
        </w:rPr>
        <w:t>(Bell et al., 2005; Van Der Gast et al., 2006; Van Der Gast, Lilley, Ager, &amp; Thompson, 2005)</w:t>
      </w:r>
      <w:r w:rsidR="00340B1F">
        <w:fldChar w:fldCharType="end"/>
      </w:r>
      <w:r w:rsidR="00340B1F">
        <w:t>.</w:t>
      </w:r>
      <w:r w:rsidR="00E7107C">
        <w:t xml:space="preserve"> If microorganisms are found to follow the same biogeographic patterns as </w:t>
      </w:r>
      <w:proofErr w:type="spellStart"/>
      <w:r w:rsidR="00E7107C">
        <w:t>macroorganisms</w:t>
      </w:r>
      <w:proofErr w:type="spellEnd"/>
      <w:r w:rsidR="00E7107C">
        <w:t xml:space="preserve">, this points the way for universal mechanisms that impact the distribution and diversity of all life, if they do not follow the same patterns then this highlights special characteristics of microbial life that requires further attention </w:t>
      </w:r>
      <w:r w:rsidR="00E7107C">
        <w:fldChar w:fldCharType="begin" w:fldLock="1"/>
      </w:r>
      <w:r w:rsidR="00E35088">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E7107C">
        <w:fldChar w:fldCharType="separate"/>
      </w:r>
      <w:r w:rsidR="00E7107C" w:rsidRPr="00E7107C">
        <w:rPr>
          <w:noProof/>
        </w:rPr>
        <w:t>(Martiny et al., 2006)</w:t>
      </w:r>
      <w:r w:rsidR="00E7107C">
        <w:fldChar w:fldCharType="end"/>
      </w:r>
      <w:r w:rsidR="00E7107C">
        <w:t xml:space="preserve">. </w:t>
      </w:r>
    </w:p>
    <w:p w14:paraId="1099E0FF" w14:textId="7A595BA4" w:rsidR="00E077E7" w:rsidRDefault="007E20EB" w:rsidP="00E077E7">
      <w:pPr>
        <w:pStyle w:val="Heading3"/>
      </w:pPr>
      <w:bookmarkStart w:id="14" w:name="_Toc58606011"/>
      <w:r>
        <w:t>Why are community assembly processes important to understand?</w:t>
      </w:r>
      <w:bookmarkEnd w:id="14"/>
      <w:r w:rsidR="00E35088">
        <w:t xml:space="preserve">  </w:t>
      </w:r>
    </w:p>
    <w:p w14:paraId="1D225ED8" w14:textId="2FAA07C8" w:rsidR="00E077E7" w:rsidRDefault="00E077E7" w:rsidP="00E35088">
      <w:r>
        <w:t xml:space="preserve">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w:t>
      </w:r>
      <w:r w:rsidR="00E14940">
        <w:t>concern biotic and abiotic selection, and can be acting contemporarily or historically. Stochastic mechanisms inclu</w:t>
      </w:r>
      <w:r w:rsidR="00DE5D83">
        <w:t>de dispersal, drift and speciation which are considered historical.</w:t>
      </w:r>
    </w:p>
    <w:p w14:paraId="7E5CE77C" w14:textId="4D29769F" w:rsidR="00DE5D83" w:rsidRDefault="00DE5D83" w:rsidP="00E35088">
      <w:r>
        <w:t xml:space="preserve">  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5E7155DF" w14:textId="650075B7" w:rsidR="00E077E7" w:rsidRDefault="00DE5D83" w:rsidP="00E35088">
      <w:r>
        <w:t xml:space="preserve">  </w:t>
      </w:r>
      <w:r w:rsidR="00E35088">
        <w:t>A</w:t>
      </w:r>
      <w:r w:rsidR="00E077E7">
        <w:t xml:space="preserve"> prominent theme in biogeography is the relative influence of historical events, such as dispersal or past environmental conditions, and contemporary conditions, that is the current environmental conditions</w:t>
      </w:r>
      <w:r w:rsidR="00E35088">
        <w:t xml:space="preserve"> </w:t>
      </w:r>
      <w:r w:rsidR="00E35088">
        <w:fldChar w:fldCharType="begin" w:fldLock="1"/>
      </w:r>
      <w:r w:rsidR="001B545D">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E35088">
        <w:fldChar w:fldCharType="separate"/>
      </w:r>
      <w:r w:rsidR="00E35088" w:rsidRPr="00E35088">
        <w:rPr>
          <w:noProof/>
        </w:rPr>
        <w:t>(Martiny et al., 2006)</w:t>
      </w:r>
      <w:r w:rsidR="00E35088">
        <w:fldChar w:fldCharType="end"/>
      </w:r>
      <w:r w:rsidR="00E35088">
        <w:t xml:space="preserve">. </w:t>
      </w:r>
      <w:r w:rsidR="00E077E7">
        <w:t xml:space="preserve">In order to investigate the relation influence of these factors on microbial distribution patterns </w:t>
      </w:r>
      <w:r w:rsidR="00E35088">
        <w:t xml:space="preserve">we can investigate four alternative hypotheses: </w:t>
      </w:r>
      <w:r w:rsidR="001B545D">
        <w:t xml:space="preserve">firstly, </w:t>
      </w:r>
      <w:r w:rsidR="00E35088">
        <w:t>microorganisms are distributed randomly</w:t>
      </w:r>
      <w:r w:rsidR="00E077E7">
        <w:t xml:space="preserve"> (there is no biogeographic pattern)</w:t>
      </w:r>
      <w:r w:rsidR="00E35088">
        <w:t xml:space="preserve">, </w:t>
      </w:r>
      <w:r w:rsidR="001B545D">
        <w:t xml:space="preserve">secondly </w:t>
      </w:r>
      <w:r w:rsidR="00E35088">
        <w:t xml:space="preserve">their distribution is non-random and a result of </w:t>
      </w:r>
      <w:r w:rsidR="001B545D">
        <w:t xml:space="preserve">contemporary environmental selection, thirdly distribution is non-random and </w:t>
      </w:r>
      <w:r w:rsidR="001B545D">
        <w:lastRenderedPageBreak/>
        <w:t xml:space="preserve">a result of historical events, fourthly that distribution is non-random and a combined result of contemporary environmental selection and historical events </w:t>
      </w:r>
      <w:r w:rsidR="001B545D">
        <w:fldChar w:fldCharType="begin" w:fldLock="1"/>
      </w:r>
      <w:r w:rsidR="00E706FA">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1B545D">
        <w:fldChar w:fldCharType="separate"/>
      </w:r>
      <w:r w:rsidR="001B545D" w:rsidRPr="001B545D">
        <w:rPr>
          <w:noProof/>
        </w:rPr>
        <w:t>(Martiny et al., 2006)</w:t>
      </w:r>
      <w:r w:rsidR="001B545D">
        <w:fldChar w:fldCharType="end"/>
      </w:r>
      <w:r w:rsidR="001B545D">
        <w:t xml:space="preserve">. </w:t>
      </w:r>
    </w:p>
    <w:p w14:paraId="4AB889A7" w14:textId="15DD840D" w:rsidR="00DE5D83" w:rsidRDefault="00DE5D83" w:rsidP="00E35088">
      <w:r>
        <w:t xml:space="preserve">  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243F2885" w14:textId="2B98E976" w:rsidR="005A3E2A" w:rsidRDefault="004A560C" w:rsidP="00E35088">
      <w:r>
        <w:t xml:space="preserve">  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w:t>
      </w:r>
      <w:r w:rsidR="00E706FA">
        <w:t xml:space="preserve"> </w:t>
      </w:r>
      <w:r w:rsidR="00E706FA">
        <w:fldChar w:fldCharType="begin" w:fldLock="1"/>
      </w:r>
      <w:r w:rsidR="007A6D13">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diversity","type":"article-journal","volume":"432"},"uris":["http://www.mendeley.com/documents/?uuid=6904a23d-d93b-4993-b772-7bf9ba54d831"]}],"mendeley":{"formattedCitation":"(Green et al., 2004)","plainTextFormattedCitation":"(Green et al., 2004)","previouslyFormattedCitation":"(Green et al., 2004)"},"properties":{"noteIndex":0},"schema":"https://github.com/citation-style-language/schema/raw/master/csl-citation.json"}</w:instrText>
      </w:r>
      <w:r w:rsidR="00E706FA">
        <w:fldChar w:fldCharType="separate"/>
      </w:r>
      <w:r w:rsidR="00E706FA" w:rsidRPr="00E706FA">
        <w:rPr>
          <w:noProof/>
        </w:rPr>
        <w:t>(Green et al., 2004)</w:t>
      </w:r>
      <w:r w:rsidR="00E706FA">
        <w:fldChar w:fldCharType="end"/>
      </w:r>
      <w:r>
        <w:t xml:space="preserve"> or insular</w:t>
      </w:r>
      <w:r w:rsidR="007A6D13">
        <w:t>,</w:t>
      </w:r>
      <w:r>
        <w:t xml:space="preserve"> island-like habitats</w:t>
      </w:r>
      <w:r w:rsidR="007A6D13">
        <w:t xml:space="preserve"> </w:t>
      </w:r>
      <w:r w:rsidR="007A6D13">
        <w:fldChar w:fldCharType="begin" w:fldLock="1"/>
      </w:r>
      <w:r w:rsidR="00CA6816">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taxa","type":"article-journal","volume":"308"},"uris":["http://www.mendeley.com/documents/?uuid=40744884-8560-4dfa-8c65-6192860262ec"]}],"mendeley":{"formattedCitation":"(Bell et al., 2005)","plainTextFormattedCitation":"(Bell et al., 2005)","previouslyFormattedCitation":"(Bell et al., 2005)"},"properties":{"noteIndex":0},"schema":"https://github.com/citation-style-language/schema/raw/master/csl-citation.json"}</w:instrText>
      </w:r>
      <w:r w:rsidR="007A6D13">
        <w:fldChar w:fldCharType="separate"/>
      </w:r>
      <w:r w:rsidR="007A6D13" w:rsidRPr="007A6D13">
        <w:rPr>
          <w:noProof/>
        </w:rPr>
        <w:t>(Bell et al., 2005)</w:t>
      </w:r>
      <w:r w:rsidR="007A6D13">
        <w:fldChar w:fldCharType="end"/>
      </w:r>
      <w:r w:rsidR="007A6D13">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2602363B" w14:textId="09BF46A9" w:rsidR="005A3E2A" w:rsidRDefault="005A3E2A" w:rsidP="00E35088">
      <w:r>
        <w:t xml:space="preserve">Province = an area in which the </w:t>
      </w:r>
      <w:r w:rsidR="004D7054">
        <w:t>assemblage</w:t>
      </w:r>
      <w:r>
        <w:t xml:space="preserve"> is a result of historical contingencies (like Australia is a province in which the biota </w:t>
      </w:r>
      <w:proofErr w:type="gramStart"/>
      <w:r>
        <w:t>are</w:t>
      </w:r>
      <w:proofErr w:type="gramEnd"/>
      <w:r>
        <w:t xml:space="preserve"> a result of the historical connections with other landmasses, and subsequent isolation) </w:t>
      </w:r>
    </w:p>
    <w:p w14:paraId="6D7FE61C" w14:textId="2C7470B4" w:rsidR="005A3E2A" w:rsidRDefault="005A3E2A" w:rsidP="00E35088">
      <w:r>
        <w:t xml:space="preserve">Habitat type = area within a province in which biotic and abiotic factors dictate which </w:t>
      </w:r>
      <w:r w:rsidR="004D7054">
        <w:t>assemblages can live there (various habitat types within Australia will support various assemblages)</w:t>
      </w:r>
    </w:p>
    <w:p w14:paraId="53088BB7" w14:textId="34F38C5F" w:rsidR="00E35088" w:rsidRDefault="00E35088" w:rsidP="00E35088"/>
    <w:tbl>
      <w:tblPr>
        <w:tblStyle w:val="TableGrid"/>
        <w:tblW w:w="0" w:type="auto"/>
        <w:tblLook w:val="04A0" w:firstRow="1" w:lastRow="0" w:firstColumn="1" w:lastColumn="0" w:noHBand="0" w:noVBand="1"/>
      </w:tblPr>
      <w:tblGrid>
        <w:gridCol w:w="2226"/>
        <w:gridCol w:w="1936"/>
        <w:gridCol w:w="2638"/>
        <w:gridCol w:w="2211"/>
      </w:tblGrid>
      <w:tr w:rsidR="00E14940" w14:paraId="18097B37" w14:textId="7D175D1E" w:rsidTr="00D626D7">
        <w:tc>
          <w:tcPr>
            <w:tcW w:w="4162" w:type="dxa"/>
            <w:gridSpan w:val="2"/>
          </w:tcPr>
          <w:p w14:paraId="1FB9CDBB" w14:textId="24F9410F" w:rsidR="00E14940" w:rsidRDefault="00E14940" w:rsidP="007E20EB">
            <w:r>
              <w:t>Historical Events (can be ancient or relatively recent – anything not acting in the immediate present)</w:t>
            </w:r>
          </w:p>
        </w:tc>
        <w:tc>
          <w:tcPr>
            <w:tcW w:w="4849" w:type="dxa"/>
            <w:gridSpan w:val="2"/>
          </w:tcPr>
          <w:p w14:paraId="045C4854" w14:textId="1F1FEBF2" w:rsidR="00E14940" w:rsidRDefault="00E14940" w:rsidP="007E20EB">
            <w:r>
              <w:t>Contemporary Factors</w:t>
            </w:r>
          </w:p>
        </w:tc>
      </w:tr>
      <w:tr w:rsidR="00E14940" w14:paraId="51F49CF4" w14:textId="634F7EE1" w:rsidTr="00E14940">
        <w:tc>
          <w:tcPr>
            <w:tcW w:w="2226" w:type="dxa"/>
          </w:tcPr>
          <w:p w14:paraId="3EC89B83" w14:textId="2DC5A3C5" w:rsidR="00E14940" w:rsidRDefault="00E14940" w:rsidP="007E20EB">
            <w:r>
              <w:t>Stochastic</w:t>
            </w:r>
          </w:p>
        </w:tc>
        <w:tc>
          <w:tcPr>
            <w:tcW w:w="1936" w:type="dxa"/>
          </w:tcPr>
          <w:p w14:paraId="1139028A" w14:textId="12289968" w:rsidR="00E14940" w:rsidRDefault="00E14940" w:rsidP="007E20EB">
            <w:r>
              <w:t>Deterministic</w:t>
            </w:r>
          </w:p>
        </w:tc>
        <w:tc>
          <w:tcPr>
            <w:tcW w:w="2638" w:type="dxa"/>
          </w:tcPr>
          <w:p w14:paraId="3102C2B6" w14:textId="3A91E048" w:rsidR="00E14940" w:rsidRDefault="00E14940" w:rsidP="007E20EB">
            <w:r>
              <w:t>Stochastic</w:t>
            </w:r>
          </w:p>
        </w:tc>
        <w:tc>
          <w:tcPr>
            <w:tcW w:w="2211" w:type="dxa"/>
          </w:tcPr>
          <w:p w14:paraId="7BC358B3" w14:textId="0955F829" w:rsidR="00E14940" w:rsidRDefault="00E14940" w:rsidP="007E20EB">
            <w:r>
              <w:t>Deterministic</w:t>
            </w:r>
          </w:p>
        </w:tc>
      </w:tr>
      <w:tr w:rsidR="00E14940" w14:paraId="6D172D7E" w14:textId="102EB880" w:rsidTr="00E14940">
        <w:tc>
          <w:tcPr>
            <w:tcW w:w="2226" w:type="dxa"/>
          </w:tcPr>
          <w:p w14:paraId="30361881" w14:textId="26AB5472" w:rsidR="00E14940" w:rsidRDefault="00E14940" w:rsidP="00E14940">
            <w:r>
              <w:t>Dispersal</w:t>
            </w:r>
          </w:p>
        </w:tc>
        <w:tc>
          <w:tcPr>
            <w:tcW w:w="1936" w:type="dxa"/>
          </w:tcPr>
          <w:p w14:paraId="035A5332" w14:textId="6CED512E" w:rsidR="00E14940" w:rsidRDefault="00E14940" w:rsidP="00E14940">
            <w:r>
              <w:t>Abiotic environmental selection (stress tolerance)</w:t>
            </w:r>
          </w:p>
        </w:tc>
        <w:tc>
          <w:tcPr>
            <w:tcW w:w="2638" w:type="dxa"/>
          </w:tcPr>
          <w:p w14:paraId="2656DADE" w14:textId="7008B4F6" w:rsidR="00E14940" w:rsidRDefault="00E14940" w:rsidP="00E14940"/>
        </w:tc>
        <w:tc>
          <w:tcPr>
            <w:tcW w:w="2211" w:type="dxa"/>
          </w:tcPr>
          <w:p w14:paraId="6B68C882" w14:textId="67503C8E" w:rsidR="00E14940" w:rsidRDefault="00E14940" w:rsidP="00E14940">
            <w:r>
              <w:t>Abiotic environmental selection (stress tolerance)</w:t>
            </w:r>
          </w:p>
        </w:tc>
      </w:tr>
      <w:tr w:rsidR="00E14940" w14:paraId="5D570738" w14:textId="2DE12468" w:rsidTr="00E14940">
        <w:tc>
          <w:tcPr>
            <w:tcW w:w="2226" w:type="dxa"/>
          </w:tcPr>
          <w:p w14:paraId="2D39397B" w14:textId="7E9E9CEA" w:rsidR="00E14940" w:rsidRDefault="00DE5D83" w:rsidP="00E14940">
            <w:r>
              <w:t>Speciation</w:t>
            </w:r>
          </w:p>
        </w:tc>
        <w:tc>
          <w:tcPr>
            <w:tcW w:w="1936" w:type="dxa"/>
          </w:tcPr>
          <w:p w14:paraId="2DDF69AB" w14:textId="0C3014B1" w:rsidR="00E14940" w:rsidRDefault="00E14940" w:rsidP="00E14940">
            <w:r>
              <w:t>Biotic selection (competitive interactions, niche partitioning, limiting similarity)</w:t>
            </w:r>
          </w:p>
        </w:tc>
        <w:tc>
          <w:tcPr>
            <w:tcW w:w="2638" w:type="dxa"/>
          </w:tcPr>
          <w:p w14:paraId="075EDD28" w14:textId="0941A98E" w:rsidR="00E14940" w:rsidRDefault="00E14940" w:rsidP="00E14940"/>
        </w:tc>
        <w:tc>
          <w:tcPr>
            <w:tcW w:w="2211" w:type="dxa"/>
          </w:tcPr>
          <w:p w14:paraId="313E62F4" w14:textId="167DC1E5" w:rsidR="00E14940" w:rsidRDefault="00E14940" w:rsidP="00E14940">
            <w:r>
              <w:t>Biotic selection (competitive interactions niche partitioning, limiting similarity)</w:t>
            </w:r>
          </w:p>
        </w:tc>
      </w:tr>
      <w:tr w:rsidR="00E14940" w14:paraId="3136C3B1" w14:textId="4166F4D2" w:rsidTr="00E14940">
        <w:tc>
          <w:tcPr>
            <w:tcW w:w="2226" w:type="dxa"/>
          </w:tcPr>
          <w:p w14:paraId="6EBCD851" w14:textId="5EA82176" w:rsidR="00E14940" w:rsidRDefault="00DE5D83" w:rsidP="00E14940">
            <w:r>
              <w:t>Drift</w:t>
            </w:r>
          </w:p>
        </w:tc>
        <w:tc>
          <w:tcPr>
            <w:tcW w:w="1936" w:type="dxa"/>
          </w:tcPr>
          <w:p w14:paraId="760B0356" w14:textId="718418D3" w:rsidR="00E14940" w:rsidRDefault="00E14940" w:rsidP="00E14940">
            <w:r>
              <w:t>Equalizing fitness processes</w:t>
            </w:r>
          </w:p>
        </w:tc>
        <w:tc>
          <w:tcPr>
            <w:tcW w:w="2638" w:type="dxa"/>
          </w:tcPr>
          <w:p w14:paraId="5DC3879F" w14:textId="22763225" w:rsidR="00E14940" w:rsidRDefault="00E14940" w:rsidP="00E14940"/>
        </w:tc>
        <w:tc>
          <w:tcPr>
            <w:tcW w:w="2211" w:type="dxa"/>
          </w:tcPr>
          <w:p w14:paraId="25CAEF63" w14:textId="06D38418" w:rsidR="00E14940" w:rsidRDefault="00E14940" w:rsidP="00E14940">
            <w:r>
              <w:t>Equalizing fitness processes</w:t>
            </w:r>
          </w:p>
        </w:tc>
      </w:tr>
      <w:tr w:rsidR="00E14940" w14:paraId="18049A9F" w14:textId="77777777" w:rsidTr="00E14940">
        <w:tc>
          <w:tcPr>
            <w:tcW w:w="2226" w:type="dxa"/>
          </w:tcPr>
          <w:p w14:paraId="33D9F99F" w14:textId="0BD2B92C" w:rsidR="00E14940" w:rsidRDefault="00DE5D83" w:rsidP="00E14940">
            <w:r>
              <w:t>Dormancy?</w:t>
            </w:r>
          </w:p>
        </w:tc>
        <w:tc>
          <w:tcPr>
            <w:tcW w:w="1936" w:type="dxa"/>
          </w:tcPr>
          <w:p w14:paraId="4C4A1D6E" w14:textId="03AC77F8" w:rsidR="00E14940" w:rsidRDefault="00E14940" w:rsidP="00E14940">
            <w:r>
              <w:t>Facilitation</w:t>
            </w:r>
          </w:p>
        </w:tc>
        <w:tc>
          <w:tcPr>
            <w:tcW w:w="2638" w:type="dxa"/>
          </w:tcPr>
          <w:p w14:paraId="5257E88A" w14:textId="1B840B64" w:rsidR="00E14940" w:rsidRDefault="00E14940" w:rsidP="00E14940"/>
        </w:tc>
        <w:tc>
          <w:tcPr>
            <w:tcW w:w="2211" w:type="dxa"/>
          </w:tcPr>
          <w:p w14:paraId="1180DF56" w14:textId="0A830D09" w:rsidR="00E14940" w:rsidRDefault="00E14940" w:rsidP="00E14940">
            <w:r>
              <w:t>Facilitation</w:t>
            </w:r>
          </w:p>
        </w:tc>
      </w:tr>
    </w:tbl>
    <w:p w14:paraId="6248818E" w14:textId="4425CEC9" w:rsidR="007E20EB" w:rsidRDefault="007E20EB" w:rsidP="007E20EB"/>
    <w:p w14:paraId="2EC4C633" w14:textId="7401D6C4" w:rsidR="00CA6816" w:rsidRDefault="007E20EB">
      <w:r>
        <w:t>It is now generally held that both stochastic and deterministic community assembly processes generate biogeographic patterns, but their relative contribution appears to vary between taxonomic groups, habitats and across spatial and temporal scales.</w:t>
      </w:r>
    </w:p>
    <w:p w14:paraId="24CE0A03" w14:textId="77777777" w:rsidR="009C19F8" w:rsidRDefault="009C19F8"/>
    <w:p w14:paraId="072BA062" w14:textId="0424975B" w:rsidR="00346F05" w:rsidRDefault="009C19F8" w:rsidP="00E35088">
      <w:pPr>
        <w:pStyle w:val="Heading3"/>
      </w:pPr>
      <w:bookmarkStart w:id="15" w:name="_Toc58606012"/>
      <w:r>
        <w:lastRenderedPageBreak/>
        <w:t>Deterministic Mechanisms</w:t>
      </w:r>
      <w:r w:rsidR="00E35088">
        <w:t xml:space="preserve">: </w:t>
      </w:r>
      <w:r w:rsidR="00346F05">
        <w:t>What are deterministic processes of community assembly</w:t>
      </w:r>
      <w:r w:rsidR="00E35088">
        <w:t xml:space="preserve"> and </w:t>
      </w:r>
      <w:r w:rsidR="00346F05">
        <w:t>Why are they important?</w:t>
      </w:r>
      <w:bookmarkEnd w:id="15"/>
    </w:p>
    <w:p w14:paraId="13DBEEF7" w14:textId="77777777" w:rsidR="002C2DB9" w:rsidRPr="002C2DB9" w:rsidRDefault="002C2DB9" w:rsidP="002C2DB9"/>
    <w:p w14:paraId="2FB49609" w14:textId="776B3020" w:rsidR="00346F05" w:rsidRDefault="00346F05" w:rsidP="002C2DB9">
      <w:pPr>
        <w:pStyle w:val="Heading3"/>
      </w:pPr>
      <w:bookmarkStart w:id="16" w:name="_Toc58606013"/>
      <w:r>
        <w:t>Do deterministic processes influence cryoconite holes?</w:t>
      </w:r>
      <w:bookmarkEnd w:id="16"/>
    </w:p>
    <w:p w14:paraId="662236E1" w14:textId="77777777" w:rsidR="002C2DB9" w:rsidRPr="002C2DB9" w:rsidRDefault="002C2DB9" w:rsidP="002C2DB9"/>
    <w:p w14:paraId="3DECB2B8" w14:textId="77777777" w:rsidR="00346F05" w:rsidRDefault="00346F05" w:rsidP="002C2DB9">
      <w:pPr>
        <w:pStyle w:val="Heading3"/>
      </w:pPr>
      <w:bookmarkStart w:id="17" w:name="_Toc58606014"/>
      <w:r>
        <w:t>How might dormancy affect deterministic processes of community assembly?</w:t>
      </w:r>
      <w:bookmarkEnd w:id="17"/>
    </w:p>
    <w:p w14:paraId="38E69869" w14:textId="77777777" w:rsidR="00346F05" w:rsidRDefault="00346F05"/>
    <w:p w14:paraId="0A332629" w14:textId="0B95F225" w:rsidR="007E20EB" w:rsidRDefault="009C19F8">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6988BB8B" w14:textId="3D0050ED" w:rsidR="009C19F8" w:rsidRDefault="009C19F8" w:rsidP="00174C55">
      <w:pPr>
        <w:pStyle w:val="Heading3"/>
      </w:pPr>
      <w:bookmarkStart w:id="18" w:name="_Toc58606015"/>
      <w:r>
        <w:t>Stochastic Mechanisms</w:t>
      </w:r>
      <w:bookmarkEnd w:id="18"/>
    </w:p>
    <w:p w14:paraId="6F7997A0" w14:textId="3F550D33" w:rsidR="00E35088" w:rsidRPr="00E35088" w:rsidRDefault="00CA6816" w:rsidP="00E35088">
      <w:r>
        <w:t xml:space="preserve">Stochastic mechanisms of community assembly include dispersal, speciation (diversification) and ecological drift (extinction) </w:t>
      </w:r>
      <w:r>
        <w:fldChar w:fldCharType="begin" w:fldLock="1"/>
      </w:r>
      <w:r w:rsidR="00DE0549">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CA6816">
        <w:rPr>
          <w:noProof/>
        </w:rPr>
        <w:t>(Martiny et al., 2006)</w:t>
      </w:r>
      <w:r>
        <w:fldChar w:fldCharType="end"/>
      </w:r>
      <w:r>
        <w:t xml:space="preserve">. </w:t>
      </w:r>
    </w:p>
    <w:p w14:paraId="7EAE9BA5" w14:textId="34B57C09" w:rsidR="00D41C35" w:rsidRDefault="00CA6816" w:rsidP="00D41C35">
      <w:pPr>
        <w:pStyle w:val="Heading3"/>
      </w:pPr>
      <w:bookmarkStart w:id="19" w:name="_Toc58606016"/>
      <w:r>
        <w:t xml:space="preserve">Island Biogeography and </w:t>
      </w:r>
      <w:r w:rsidR="00D41C35">
        <w:t>Ecological Neutral Theory</w:t>
      </w:r>
      <w:bookmarkEnd w:id="19"/>
    </w:p>
    <w:p w14:paraId="3BC90CAB" w14:textId="35DCBFEB" w:rsidR="004C176B" w:rsidRDefault="00CA6816" w:rsidP="002C2DB9">
      <w:r>
        <w:t xml:space="preserve">The </w:t>
      </w:r>
      <w:r w:rsidR="00DE0549">
        <w:t xml:space="preserve">Theory of Island Biogeography </w:t>
      </w:r>
      <w:r w:rsidR="00DE0549">
        <w:fldChar w:fldCharType="begin" w:fldLock="1"/>
      </w:r>
      <w:r w:rsidR="004C176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DE0549">
        <w:fldChar w:fldCharType="separate"/>
      </w:r>
      <w:r w:rsidR="00DE0549" w:rsidRPr="00DE0549">
        <w:rPr>
          <w:noProof/>
        </w:rPr>
        <w:t>(MacArthur &amp; Wilson, 1967)</w:t>
      </w:r>
      <w:r w:rsidR="00DE0549">
        <w:fldChar w:fldCharType="end"/>
      </w:r>
      <w:r w:rsidR="00DE0549">
        <w:t xml:space="preserve"> is a seminal publication in island biogeography theory. The main theory proposed by MacArthur &amp; Wilson states that a population in an island habitat is maintained by a dynamic equilibrium betw</w:t>
      </w:r>
      <w:r w:rsidR="00D626D7">
        <w:t>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w:t>
      </w:r>
      <w:r w:rsidR="004C176B">
        <w:t xml:space="preserve">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9D4FF9B" w14:textId="213AAC00" w:rsidR="00346F05" w:rsidRDefault="004C176B" w:rsidP="002C2DB9">
      <w:r>
        <w:t xml:space="preserve">  This simplified conceptual model of species richness on islands paved the way for the development of e</w:t>
      </w:r>
      <w:r w:rsidR="00CA6816">
        <w:t>cological neutral theory</w:t>
      </w:r>
      <w:r>
        <w:t xml:space="preserve">. Neutral theory was founded on the assumption that all species within a trophic level are ecologically neutral, with the same probabilities of birth, death and reproduction </w:t>
      </w:r>
      <w:r>
        <w:fldChar w:fldCharType="begin" w:fldLock="1"/>
      </w:r>
      <w:r w:rsidR="00522439">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Pr="004C176B">
        <w:rPr>
          <w:noProof/>
        </w:rPr>
        <w:t>(Rosindell, Hubbell, &amp; Etienne, 2011)</w:t>
      </w:r>
      <w:r>
        <w:fldChar w:fldCharType="end"/>
      </w:r>
      <w:r w:rsidR="00522439">
        <w:t xml:space="preserve">. The origins of neutral theory lie in molecular evolutionary theory, that suggests evolutionary changes at the molecular level occur as a result of random genetic drift of mutated, selectively neutral alleles </w:t>
      </w:r>
      <w:r w:rsidR="00522439">
        <w:fldChar w:fldCharType="begin" w:fldLock="1"/>
      </w:r>
      <w:r w:rsidR="008E4323">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00522439">
        <w:fldChar w:fldCharType="separate"/>
      </w:r>
      <w:r w:rsidR="00522439" w:rsidRPr="00522439">
        <w:rPr>
          <w:noProof/>
        </w:rPr>
        <w:t>(Kimura, 1979)</w:t>
      </w:r>
      <w:r w:rsidR="00522439">
        <w:fldChar w:fldCharType="end"/>
      </w:r>
      <w:r w:rsidR="00522439">
        <w:t xml:space="preserve">. </w:t>
      </w:r>
    </w:p>
    <w:p w14:paraId="5C40AD16" w14:textId="4725DD92" w:rsidR="00674612" w:rsidRDefault="00674612" w:rsidP="002C2DB9">
      <w:pPr>
        <w:pStyle w:val="Heading3"/>
      </w:pPr>
      <w:bookmarkStart w:id="20" w:name="_Toc58606017"/>
      <w:r>
        <w:lastRenderedPageBreak/>
        <w:t>Do stochastic processes influence cryoconite holes?</w:t>
      </w:r>
      <w:bookmarkEnd w:id="20"/>
    </w:p>
    <w:p w14:paraId="2A0B0374" w14:textId="77777777" w:rsidR="00346F05" w:rsidRDefault="00346F05" w:rsidP="002C2DB9"/>
    <w:p w14:paraId="58C24AA4" w14:textId="3B6DC66B" w:rsidR="00C01BD0" w:rsidRDefault="00674612" w:rsidP="00C01BD0">
      <w:pPr>
        <w:pStyle w:val="Heading3"/>
      </w:pPr>
      <w:bookmarkStart w:id="21" w:name="_Toc58606018"/>
      <w:r>
        <w:t>How might dormancy affect stochastic processes of community assembly</w:t>
      </w:r>
      <w:bookmarkStart w:id="22" w:name="_Toc58606021"/>
      <w:bookmarkEnd w:id="21"/>
      <w:r w:rsidR="00C01BD0">
        <w:t xml:space="preserve"> and What are the implications of dormancy </w:t>
      </w:r>
      <w:bookmarkEnd w:id="22"/>
      <w:r w:rsidR="00C01BD0">
        <w:t>on BIOGEOGRAPHY?</w:t>
      </w:r>
    </w:p>
    <w:p w14:paraId="30B64D3F" w14:textId="77777777" w:rsidR="00C01BD0" w:rsidRDefault="00C01BD0" w:rsidP="00C01BD0">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66681DAC" w14:textId="7D61D9B3" w:rsidR="00C01BD0" w:rsidRPr="00C01BD0" w:rsidRDefault="00C01BD0" w:rsidP="00C01BD0">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2020)","previouslyFormattedCitation":"(Locey et al., 2020)"},"properties":{"noteIndex":0},"schema":"https://github.com/citation-style-language/schema/raw/master/csl-citation.json"}</w:instrText>
      </w:r>
      <w:r>
        <w:fldChar w:fldCharType="separate"/>
      </w:r>
      <w:r w:rsidRPr="00515BE4">
        <w:rPr>
          <w:noProof/>
        </w:rPr>
        <w:t>(Locey et al., 2020)</w:t>
      </w:r>
      <w:r>
        <w:fldChar w:fldCharType="end"/>
      </w:r>
      <w:r>
        <w:t xml:space="preserve">. Other studies have found the distance-decay relationship was stronger for active and inactive communities, at odds with previous predictions. It was suggested this was due to </w:t>
      </w:r>
    </w:p>
    <w:p w14:paraId="27921CAB" w14:textId="5734D047" w:rsidR="00674612" w:rsidRDefault="00674612" w:rsidP="002C2DB9">
      <w:pPr>
        <w:pStyle w:val="Heading3"/>
      </w:pPr>
      <w:bookmarkStart w:id="23" w:name="_Toc58606019"/>
      <w:r>
        <w:t>Why are islands good for studying community assembly processes</w:t>
      </w:r>
      <w:r w:rsidR="00F36744">
        <w:t>?</w:t>
      </w:r>
      <w:bookmarkEnd w:id="23"/>
    </w:p>
    <w:p w14:paraId="6C9AC976" w14:textId="2194D97C" w:rsidR="00F36744" w:rsidRDefault="00C01BD0" w:rsidP="00F36744">
      <w:r>
        <w:t xml:space="preserve">Darwin and Wallace used their island observations to refine the evolutionary theory that underpins the biological sciences today.  </w:t>
      </w:r>
    </w:p>
    <w:p w14:paraId="01563F54" w14:textId="188A1446" w:rsidR="00F36744" w:rsidRDefault="00F36744" w:rsidP="00F36744">
      <w:r>
        <w:t>It is important to identify how ‘island-like’ cryoconite holes are because island</w:t>
      </w:r>
      <w:r w:rsidR="00DA2F02">
        <w:t>s</w:t>
      </w:r>
      <w:r>
        <w:t xml:space="preserve"> are ideal model systems for exploring community assembly processes</w:t>
      </w:r>
      <w:r w:rsidR="00802B6A">
        <w:t>, ecosystem functioning and diversification</w:t>
      </w:r>
      <w:r>
        <w:t xml:space="preserve">.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F847C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F36744">
        <w:rPr>
          <w:noProof/>
        </w:rPr>
        <w:t>(Warren et al., 2015)</w:t>
      </w:r>
      <w:r>
        <w:fldChar w:fldCharType="end"/>
      </w:r>
      <w:r w:rsidR="00DA2F02">
        <w:t>. Whilst not all of these attributes may apply to cryoconite holes, by looking for evidence of classic island biogeographic patterns we can assess their suitability.</w:t>
      </w:r>
      <w:r w:rsidR="002B365D">
        <w:t xml:space="preserve"> If cryoconite holes exhibit SARs and DDRs</w:t>
      </w:r>
    </w:p>
    <w:p w14:paraId="34488B58" w14:textId="2DE99845" w:rsidR="00517149" w:rsidRDefault="00802B6A" w:rsidP="00517149">
      <w:r>
        <w:t xml:space="preserve">  In studying community assembly, we are confronted by a combination of biotic and abiotic interactions that happen over various spatial and temporal scales. Discrete island boundaries and their replicate nature allow us to explore how area or isolation,</w:t>
      </w:r>
      <w:r w:rsidR="00840BA6">
        <w:t xml:space="preserve"> through the stochastic processes of dispersal and ecological drift</w:t>
      </w:r>
      <w:r>
        <w:t xml:space="preserve">, might </w:t>
      </w:r>
      <w:proofErr w:type="gramStart"/>
      <w:r>
        <w:t>effect</w:t>
      </w:r>
      <w:proofErr w:type="gramEnd"/>
      <w:r>
        <w:t xml:space="preserve"> otherwise environmentally similar habitats. </w:t>
      </w:r>
      <w:r w:rsidR="00840BA6">
        <w:t>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8C8B3D6" w14:textId="68105CB2" w:rsidR="00DF63B4" w:rsidRDefault="00DA2F02" w:rsidP="000A098B">
      <w:pPr>
        <w:pStyle w:val="Heading3"/>
      </w:pPr>
      <w:bookmarkStart w:id="24" w:name="_Toc58606020"/>
      <w:r>
        <w:lastRenderedPageBreak/>
        <w:t>Are cryoconite holes island-like?</w:t>
      </w:r>
      <w:bookmarkEnd w:id="24"/>
    </w:p>
    <w:p w14:paraId="0C0D6EAC" w14:textId="7A5B6FCF" w:rsidR="000A098B" w:rsidRDefault="000A098B"/>
    <w:p w14:paraId="5FFF3631" w14:textId="44C180F8" w:rsidR="00BD29D5" w:rsidRDefault="000A098B">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163435">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0A098B">
        <w:rPr>
          <w:noProof/>
        </w:rPr>
        <w:t>(Darcy, Gendron, Sommers, Porazinska, &amp; Schmidt, 2018)</w:t>
      </w:r>
      <w:r>
        <w:fldChar w:fldCharType="end"/>
      </w:r>
      <w:r>
        <w:t xml:space="preserve">.  </w:t>
      </w:r>
    </w:p>
    <w:p w14:paraId="09534677" w14:textId="4D9C3E1D" w:rsidR="00BD29D5" w:rsidRDefault="00174C55" w:rsidP="002C2DB9">
      <w:pPr>
        <w:pStyle w:val="Heading2"/>
      </w:pPr>
      <w:bookmarkStart w:id="25" w:name="_Toc58606023"/>
      <w:r>
        <w:t xml:space="preserve">Section Four: </w:t>
      </w:r>
      <w:r w:rsidR="00BD29D5">
        <w:t>Community Assembly and Community Structure</w:t>
      </w:r>
      <w:bookmarkEnd w:id="25"/>
    </w:p>
    <w:p w14:paraId="0AB13813" w14:textId="77777777" w:rsidR="00406715" w:rsidRDefault="00406715" w:rsidP="00406715"/>
    <w:p w14:paraId="4BC0F610" w14:textId="2B610F7D" w:rsidR="00406715" w:rsidRPr="00406715" w:rsidRDefault="00406715" w:rsidP="00406715">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rsidR="00A14E1C">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620D6B10" w14:textId="77777777" w:rsidR="002C2DB9" w:rsidRDefault="002C2DB9"/>
    <w:p w14:paraId="4C98E842" w14:textId="4E7D8B20" w:rsidR="00BD29D5" w:rsidRDefault="00DF63B4" w:rsidP="00517149">
      <w:pPr>
        <w:pStyle w:val="Heading3"/>
      </w:pPr>
      <w:bookmarkStart w:id="26" w:name="_Toc58606024"/>
      <w:r>
        <w:t xml:space="preserve">Does community assembly </w:t>
      </w:r>
      <w:r w:rsidR="0035763B">
        <w:t>affect community structure?</w:t>
      </w:r>
      <w:bookmarkEnd w:id="26"/>
    </w:p>
    <w:p w14:paraId="52DC84C2" w14:textId="1B50BF49" w:rsidR="00406715" w:rsidRPr="00406715" w:rsidRDefault="00174C55" w:rsidP="00406715">
      <w:pPr>
        <w:pStyle w:val="Heading2"/>
      </w:pPr>
      <w:bookmarkStart w:id="27" w:name="_Toc58606025"/>
      <w:r>
        <w:t xml:space="preserve">Section Five: </w:t>
      </w:r>
      <w:r w:rsidR="00BD29D5">
        <w:t>Community Structure and Function</w:t>
      </w:r>
      <w:bookmarkEnd w:id="27"/>
    </w:p>
    <w:p w14:paraId="52528DF0" w14:textId="77777777" w:rsidR="002C2DB9" w:rsidRPr="002C2DB9" w:rsidRDefault="002C2DB9" w:rsidP="002C2DB9"/>
    <w:p w14:paraId="3C044D70" w14:textId="1A529496" w:rsidR="0035763B" w:rsidRDefault="0035763B" w:rsidP="002C2DB9">
      <w:pPr>
        <w:pStyle w:val="Heading3"/>
      </w:pPr>
      <w:bookmarkStart w:id="28" w:name="_Toc58606026"/>
      <w:r>
        <w:t xml:space="preserve">Does </w:t>
      </w:r>
      <w:r w:rsidR="008403F1">
        <w:t xml:space="preserve">cryoconite </w:t>
      </w:r>
      <w:r>
        <w:t>community structure affect function</w:t>
      </w:r>
      <w:r w:rsidR="008403F1">
        <w:t xml:space="preserve"> or are they functionally redundant</w:t>
      </w:r>
      <w:r>
        <w:t>?</w:t>
      </w:r>
      <w:bookmarkEnd w:id="28"/>
    </w:p>
    <w:p w14:paraId="2F019E22" w14:textId="6D1AF82F" w:rsidR="00BD29D5" w:rsidRDefault="00BD29D5"/>
    <w:p w14:paraId="25E69625" w14:textId="1FE7A2ED" w:rsidR="008403F1" w:rsidRDefault="009076EB">
      <w:r>
        <w:t xml:space="preserve">If we find that community assembly processes effect community structure, can we then infer that </w:t>
      </w:r>
      <w:r w:rsidR="00B1062D">
        <w:t xml:space="preserve">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rsidR="00B1062D">
        <w:fldChar w:fldCharType="begin" w:fldLock="1"/>
      </w:r>
      <w:r w:rsidR="006D37E6">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00B1062D">
        <w:fldChar w:fldCharType="separate"/>
      </w:r>
      <w:r w:rsidR="00B1062D" w:rsidRPr="00B1062D">
        <w:rPr>
          <w:noProof/>
        </w:rPr>
        <w:t>(Edwards et al., 2014)</w:t>
      </w:r>
      <w:r w:rsidR="00B1062D">
        <w:fldChar w:fldCharType="end"/>
      </w:r>
      <w:r w:rsidR="00B1062D">
        <w:t xml:space="preserve">. </w:t>
      </w:r>
    </w:p>
    <w:p w14:paraId="1259D08D" w14:textId="4201EED9" w:rsidR="00BD29D5" w:rsidRDefault="00174C55" w:rsidP="002C2DB9">
      <w:pPr>
        <w:pStyle w:val="Heading2"/>
      </w:pPr>
      <w:bookmarkStart w:id="29" w:name="_Toc58606027"/>
      <w:r>
        <w:t xml:space="preserve">Section Six: </w:t>
      </w:r>
      <w:r w:rsidR="00BD29D5">
        <w:t>Community Function and Ecosystem Functioning</w:t>
      </w:r>
      <w:bookmarkEnd w:id="29"/>
    </w:p>
    <w:p w14:paraId="436FE60F" w14:textId="77777777" w:rsidR="002C2DB9" w:rsidRDefault="002C2DB9"/>
    <w:p w14:paraId="532CB334" w14:textId="4B166E69" w:rsidR="0035763B" w:rsidRDefault="0035763B" w:rsidP="002C2DB9">
      <w:pPr>
        <w:pStyle w:val="Heading3"/>
      </w:pPr>
      <w:bookmarkStart w:id="30" w:name="_Toc58606028"/>
      <w:r>
        <w:t>How can community function in cryoconite holes affect ecosystem functioning?</w:t>
      </w:r>
      <w:bookmarkEnd w:id="30"/>
    </w:p>
    <w:p w14:paraId="245653A2" w14:textId="1ED3388F" w:rsidR="00BD29D5" w:rsidRDefault="00BD29D5"/>
    <w:p w14:paraId="282D7D19" w14:textId="28CD199A" w:rsidR="00BD29D5" w:rsidRDefault="00174C55" w:rsidP="005E2ABB">
      <w:pPr>
        <w:pStyle w:val="Heading2"/>
      </w:pPr>
      <w:bookmarkStart w:id="31" w:name="_Toc58606029"/>
      <w:r>
        <w:lastRenderedPageBreak/>
        <w:t xml:space="preserve">Section Seven: </w:t>
      </w:r>
      <w:r w:rsidR="00BD29D5">
        <w:t>Climate Change</w:t>
      </w:r>
      <w:r>
        <w:t xml:space="preserve"> Implications</w:t>
      </w:r>
      <w:bookmarkEnd w:id="31"/>
    </w:p>
    <w:p w14:paraId="2E51488A" w14:textId="7F589239" w:rsidR="005E2ABB" w:rsidRDefault="005E2ABB"/>
    <w:p w14:paraId="70F655DB" w14:textId="77777777" w:rsidR="005E2ABB" w:rsidRDefault="005E2ABB" w:rsidP="005E2ABB">
      <w:r>
        <w:t xml:space="preserve">Quantifying patterns of biodiversity is essential in an era of dramatic biodiversity loss and habitat change. The Anthropocene has ushered in an age of global warming. Rising temperatures are leading to glacier retreat and this may alter the size, abundance and distribution of cryoconite holes, thereby changing the patterns of community assembly, structure, function and wider ecosystem processes. </w:t>
      </w:r>
    </w:p>
    <w:p w14:paraId="03EE887A" w14:textId="77777777" w:rsidR="005E2ABB" w:rsidRDefault="005E2ABB"/>
    <w:p w14:paraId="1841B0F9" w14:textId="684D435A" w:rsidR="0035763B" w:rsidRDefault="0035763B" w:rsidP="002C2DB9">
      <w:pPr>
        <w:pStyle w:val="Heading3"/>
      </w:pPr>
      <w:bookmarkStart w:id="32" w:name="_Toc58606030"/>
      <w:r>
        <w:t>How will warming temperatures affect dormancy in cryoconite holes?</w:t>
      </w:r>
      <w:bookmarkEnd w:id="32"/>
    </w:p>
    <w:p w14:paraId="771DB194" w14:textId="77777777" w:rsidR="005E2ABB" w:rsidRDefault="005E2ABB"/>
    <w:p w14:paraId="763436B5" w14:textId="3548B2D6" w:rsidR="0035763B" w:rsidRDefault="0035763B" w:rsidP="002C2DB9">
      <w:pPr>
        <w:pStyle w:val="Heading3"/>
      </w:pPr>
      <w:bookmarkStart w:id="33" w:name="_Toc58606031"/>
      <w:r>
        <w:t>Will decreasing dormancy influence biogeochemical processes within cryoconite holes?</w:t>
      </w:r>
      <w:bookmarkEnd w:id="33"/>
    </w:p>
    <w:p w14:paraId="41019462" w14:textId="77777777" w:rsidR="005E2ABB" w:rsidRDefault="005E2ABB"/>
    <w:p w14:paraId="1AB2B9E7" w14:textId="74A648DE" w:rsidR="0035763B" w:rsidRDefault="0035763B" w:rsidP="002C2DB9">
      <w:pPr>
        <w:pStyle w:val="Heading3"/>
      </w:pPr>
      <w:bookmarkStart w:id="34" w:name="_Toc58606032"/>
      <w:r>
        <w:t>How will warming temperatures affect the size, abundance and distribution of cryoconite holes?</w:t>
      </w:r>
      <w:bookmarkEnd w:id="34"/>
    </w:p>
    <w:p w14:paraId="2A46619D" w14:textId="77777777" w:rsidR="005E2ABB" w:rsidRDefault="005E2ABB"/>
    <w:p w14:paraId="79BD3495" w14:textId="7589F44B" w:rsidR="0035763B" w:rsidRDefault="0035763B" w:rsidP="002C2DB9">
      <w:pPr>
        <w:pStyle w:val="Heading3"/>
      </w:pPr>
      <w:bookmarkStart w:id="35" w:name="_Toc58606033"/>
      <w:r>
        <w:t>What could this mean for carbon cycling across glaciers?</w:t>
      </w:r>
      <w:bookmarkEnd w:id="35"/>
    </w:p>
    <w:p w14:paraId="486DE98A" w14:textId="3BA53C8F" w:rsidR="00163435" w:rsidRDefault="00163435"/>
    <w:p w14:paraId="4D11033B" w14:textId="1C7C9170" w:rsidR="00163435" w:rsidRDefault="00174C55" w:rsidP="002C2DB9">
      <w:pPr>
        <w:pStyle w:val="Heading2"/>
      </w:pPr>
      <w:bookmarkStart w:id="36" w:name="_Toc58606034"/>
      <w:r>
        <w:t>Section Eight: Implications</w:t>
      </w:r>
      <w:r w:rsidR="00163435">
        <w:t xml:space="preserve"> Beyond Climate Change</w:t>
      </w:r>
      <w:bookmarkEnd w:id="36"/>
    </w:p>
    <w:p w14:paraId="63EB1D6D" w14:textId="4DD4CC4B" w:rsidR="00E54291" w:rsidRDefault="00E54291" w:rsidP="00E54291"/>
    <w:p w14:paraId="06ED7865" w14:textId="2FCA6BBB" w:rsidR="00174C55" w:rsidRDefault="00E54291" w:rsidP="00174C55">
      <w:r>
        <w:t>It is exciting to extend the applicability of this research to our understanding of the most exotic: alien worlds. Traditionally astrobiology has studied single organisms to elucidate potential survival strategies on icy worlds. However, our only example of life in the Universe has shown time and again that species do not operate in isolate. Life as we know it operates in consortium</w:t>
      </w:r>
      <w:r w:rsidR="00D309A9">
        <w:t xml:space="preserve">. </w:t>
      </w:r>
      <w:r w:rsidR="004E7A51">
        <w:t xml:space="preserve">Environmental conditions in glaciers may present analogues to moons such as Europa and Enceladus. </w:t>
      </w:r>
      <w:r w:rsidR="00D309A9">
        <w:t>Through study of cryoconite communit</w:t>
      </w:r>
      <w:r w:rsidR="004E7A51">
        <w:t xml:space="preserve">y structure and their network of species interactions we can understand the types of species interactions necessary to support life in extreme cold conditions </w:t>
      </w:r>
      <w:r w:rsidR="004E7A51">
        <w:fldChar w:fldCharType="begin" w:fldLock="1"/>
      </w:r>
      <w:r w:rsidR="007072E4">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4E7A51">
        <w:fldChar w:fldCharType="separate"/>
      </w:r>
      <w:r w:rsidR="004E7A51" w:rsidRPr="004E7A51">
        <w:rPr>
          <w:noProof/>
        </w:rPr>
        <w:t>(Krzysztof Zawierucha, Ostrowska, &amp; Kolicka, 2017)</w:t>
      </w:r>
      <w:r w:rsidR="004E7A51">
        <w:fldChar w:fldCharType="end"/>
      </w:r>
      <w:r w:rsidR="004E7A51">
        <w:t>.</w:t>
      </w:r>
      <w:r w:rsidR="00174C55">
        <w:t xml:space="preserve"> </w:t>
      </w:r>
    </w:p>
    <w:p w14:paraId="17F4F1ED" w14:textId="39E6B3CF" w:rsidR="006024CB" w:rsidRDefault="006024CB" w:rsidP="00E54291"/>
    <w:p w14:paraId="628CE42A" w14:textId="166FB4BB" w:rsidR="004C1C63" w:rsidRDefault="004C1C63" w:rsidP="00E54291"/>
    <w:p w14:paraId="56751AA3" w14:textId="34F43F26" w:rsidR="004C1C63" w:rsidRDefault="004C1C63" w:rsidP="00E54291"/>
    <w:p w14:paraId="19276FC5" w14:textId="77777777" w:rsidR="004C1C63" w:rsidRDefault="004C1C63" w:rsidP="00E54291"/>
    <w:p w14:paraId="18682911" w14:textId="314F9DCF" w:rsidR="006024CB" w:rsidRDefault="006024CB" w:rsidP="006024CB">
      <w:pPr>
        <w:pStyle w:val="Heading1"/>
      </w:pPr>
      <w:bookmarkStart w:id="37" w:name="_Toc58606035"/>
      <w:r>
        <w:lastRenderedPageBreak/>
        <w:t>Methods</w:t>
      </w:r>
      <w:bookmarkEnd w:id="37"/>
    </w:p>
    <w:p w14:paraId="5665DA66" w14:textId="1C7870D8" w:rsidR="00343238" w:rsidRDefault="00343238" w:rsidP="00343238"/>
    <w:p w14:paraId="538DD6A0" w14:textId="563E698E" w:rsidR="00343238" w:rsidRDefault="00343238" w:rsidP="00343238">
      <w:r>
        <w:t xml:space="preserve">Data to be collected from cryoconite holes on </w:t>
      </w:r>
      <w:proofErr w:type="spellStart"/>
      <w:r>
        <w:t>Foxfonna</w:t>
      </w:r>
      <w:proofErr w:type="spellEnd"/>
      <w:r>
        <w:t xml:space="preserve"> glacier:</w:t>
      </w:r>
    </w:p>
    <w:p w14:paraId="66EABDA7" w14:textId="6E075248" w:rsidR="00343238" w:rsidRDefault="00343238" w:rsidP="00343238">
      <w:pPr>
        <w:pStyle w:val="ListParagraph"/>
        <w:numPr>
          <w:ilvl w:val="0"/>
          <w:numId w:val="3"/>
        </w:numPr>
      </w:pPr>
      <w:r>
        <w:t>Taxonomic diversity of bacteria, eukaryotes and archaea</w:t>
      </w:r>
    </w:p>
    <w:p w14:paraId="37F9BAE1" w14:textId="35816FF4" w:rsidR="00343238" w:rsidRDefault="00343238" w:rsidP="00343238">
      <w:pPr>
        <w:pStyle w:val="ListParagraph"/>
        <w:numPr>
          <w:ilvl w:val="0"/>
          <w:numId w:val="3"/>
        </w:numPr>
      </w:pPr>
      <w:r>
        <w:t xml:space="preserve">Proportion of </w:t>
      </w:r>
      <w:r w:rsidR="004446C9">
        <w:t xml:space="preserve">whole community that is active/dormant BONCAT </w:t>
      </w:r>
    </w:p>
    <w:p w14:paraId="41B0A700" w14:textId="147983A2" w:rsidR="004446C9" w:rsidRDefault="004446C9" w:rsidP="00343238">
      <w:pPr>
        <w:pStyle w:val="ListParagraph"/>
        <w:numPr>
          <w:ilvl w:val="0"/>
          <w:numId w:val="3"/>
        </w:numPr>
      </w:pPr>
      <w:r>
        <w:t>Transcriptomics</w:t>
      </w:r>
    </w:p>
    <w:p w14:paraId="14BB8C50" w14:textId="0A8D68B9" w:rsidR="004446C9" w:rsidRDefault="004446C9" w:rsidP="00343238">
      <w:pPr>
        <w:pStyle w:val="ListParagraph"/>
        <w:numPr>
          <w:ilvl w:val="0"/>
          <w:numId w:val="3"/>
        </w:numPr>
      </w:pPr>
      <w:r>
        <w:t xml:space="preserve">RNA extracting and sequencing to get functional </w:t>
      </w:r>
    </w:p>
    <w:p w14:paraId="031627E7" w14:textId="2F0E3902" w:rsidR="00996DE5" w:rsidRDefault="00996DE5" w:rsidP="00343238">
      <w:pPr>
        <w:pStyle w:val="ListParagraph"/>
        <w:numPr>
          <w:ilvl w:val="0"/>
          <w:numId w:val="3"/>
        </w:numPr>
      </w:pPr>
      <w:r>
        <w:t>Biomass of each taxonomic group</w:t>
      </w:r>
    </w:p>
    <w:p w14:paraId="02831E7C" w14:textId="77777777" w:rsidR="00343238" w:rsidRDefault="00343238" w:rsidP="00343238">
      <w:pPr>
        <w:pStyle w:val="ListParagraph"/>
        <w:numPr>
          <w:ilvl w:val="0"/>
          <w:numId w:val="3"/>
        </w:numPr>
      </w:pPr>
      <w:r>
        <w:t>Length (dimeter 1), width (diameter 2) and depth of hole</w:t>
      </w:r>
    </w:p>
    <w:p w14:paraId="7B353F3A" w14:textId="77777777" w:rsidR="00343238" w:rsidRDefault="00343238" w:rsidP="00343238">
      <w:pPr>
        <w:pStyle w:val="ListParagraph"/>
        <w:numPr>
          <w:ilvl w:val="0"/>
          <w:numId w:val="3"/>
        </w:numPr>
      </w:pPr>
      <w:r>
        <w:t>GPS</w:t>
      </w:r>
    </w:p>
    <w:p w14:paraId="44C79F84" w14:textId="77777777" w:rsidR="00343238" w:rsidRDefault="00343238" w:rsidP="00343238">
      <w:pPr>
        <w:pStyle w:val="ListParagraph"/>
        <w:numPr>
          <w:ilvl w:val="0"/>
          <w:numId w:val="3"/>
        </w:numPr>
      </w:pPr>
      <w:r>
        <w:t>pH</w:t>
      </w:r>
    </w:p>
    <w:p w14:paraId="393F56B5" w14:textId="77777777" w:rsidR="00343238" w:rsidRDefault="00343238" w:rsidP="00343238">
      <w:pPr>
        <w:pStyle w:val="ListParagraph"/>
        <w:numPr>
          <w:ilvl w:val="0"/>
          <w:numId w:val="3"/>
        </w:numPr>
      </w:pPr>
      <w:r>
        <w:t>Temperature</w:t>
      </w:r>
    </w:p>
    <w:p w14:paraId="4DEE29BB" w14:textId="77777777" w:rsidR="00343238" w:rsidRDefault="00343238" w:rsidP="00343238">
      <w:pPr>
        <w:pStyle w:val="ListParagraph"/>
        <w:numPr>
          <w:ilvl w:val="0"/>
          <w:numId w:val="3"/>
        </w:numPr>
      </w:pPr>
      <w:r>
        <w:t>Conductivity</w:t>
      </w:r>
    </w:p>
    <w:p w14:paraId="44C3CBD1" w14:textId="77777777" w:rsidR="00343238" w:rsidRDefault="00343238" w:rsidP="00343238">
      <w:pPr>
        <w:pStyle w:val="ListParagraph"/>
        <w:numPr>
          <w:ilvl w:val="0"/>
          <w:numId w:val="3"/>
        </w:numPr>
      </w:pPr>
      <w:r>
        <w:t>Dissolved Organic/Inorganic Carbon (DOC/DIC)</w:t>
      </w:r>
    </w:p>
    <w:p w14:paraId="266EE572" w14:textId="77777777" w:rsidR="00343238" w:rsidRDefault="00343238" w:rsidP="00343238">
      <w:pPr>
        <w:pStyle w:val="ListParagraph"/>
        <w:numPr>
          <w:ilvl w:val="0"/>
          <w:numId w:val="3"/>
        </w:numPr>
      </w:pPr>
      <w:r>
        <w:t>Nitrogen</w:t>
      </w:r>
    </w:p>
    <w:p w14:paraId="07651C10" w14:textId="77777777" w:rsidR="00343238" w:rsidRDefault="00343238" w:rsidP="00343238">
      <w:pPr>
        <w:pStyle w:val="ListParagraph"/>
        <w:numPr>
          <w:ilvl w:val="0"/>
          <w:numId w:val="3"/>
        </w:numPr>
      </w:pPr>
      <w:r>
        <w:t>Phosphorus (total mineralized phosphorus, bioavailable orthophosphate) – would this be included in inorganic nutrients?</w:t>
      </w:r>
    </w:p>
    <w:p w14:paraId="4CF23687" w14:textId="77777777" w:rsidR="00343238" w:rsidRDefault="00343238" w:rsidP="00343238">
      <w:pPr>
        <w:pStyle w:val="ListParagraph"/>
        <w:numPr>
          <w:ilvl w:val="0"/>
          <w:numId w:val="3"/>
        </w:numPr>
      </w:pPr>
      <w:r>
        <w:t>Inorganic nutrients (PO</w:t>
      </w:r>
      <w:r>
        <w:rPr>
          <w:vertAlign w:val="subscript"/>
        </w:rPr>
        <w:t>4</w:t>
      </w:r>
      <w:r>
        <w:t>, NH</w:t>
      </w:r>
      <w:r>
        <w:rPr>
          <w:vertAlign w:val="subscript"/>
        </w:rPr>
        <w:t>4</w:t>
      </w:r>
      <w:r>
        <w:t>, NO</w:t>
      </w:r>
      <w:r>
        <w:rPr>
          <w:vertAlign w:val="subscript"/>
        </w:rPr>
        <w:t>3</w:t>
      </w:r>
      <w:r>
        <w:t>, NO</w:t>
      </w:r>
      <w:r>
        <w:rPr>
          <w:vertAlign w:val="subscript"/>
        </w:rPr>
        <w:t>2</w:t>
      </w:r>
      <w:r>
        <w:t>, SiO</w:t>
      </w:r>
      <w:r>
        <w:rPr>
          <w:vertAlign w:val="subscript"/>
        </w:rPr>
        <w:t>2</w:t>
      </w:r>
      <w:r>
        <w:t>)</w:t>
      </w:r>
    </w:p>
    <w:p w14:paraId="0322B309" w14:textId="77777777" w:rsidR="00343238" w:rsidRDefault="00343238" w:rsidP="00343238">
      <w:pPr>
        <w:pStyle w:val="ListParagraph"/>
        <w:numPr>
          <w:ilvl w:val="0"/>
          <w:numId w:val="3"/>
        </w:numPr>
      </w:pPr>
      <w:r>
        <w:t>Major ions (Na</w:t>
      </w:r>
      <w:r>
        <w:rPr>
          <w:vertAlign w:val="superscript"/>
        </w:rPr>
        <w:t>+</w:t>
      </w:r>
      <w:r>
        <w:t>, Mg</w:t>
      </w:r>
      <w:r>
        <w:rPr>
          <w:vertAlign w:val="superscript"/>
        </w:rPr>
        <w:t>2+</w:t>
      </w:r>
      <w:r>
        <w:t>, SO</w:t>
      </w:r>
      <w:r>
        <w:rPr>
          <w:vertAlign w:val="subscript"/>
        </w:rPr>
        <w:t>4</w:t>
      </w:r>
      <w:r>
        <w:rPr>
          <w:vertAlign w:val="superscript"/>
        </w:rPr>
        <w:t>2-</w:t>
      </w:r>
      <w:r>
        <w:t>, K</w:t>
      </w:r>
      <w:r>
        <w:rPr>
          <w:vertAlign w:val="superscript"/>
        </w:rPr>
        <w:t>+</w:t>
      </w:r>
      <w:r>
        <w:t>, Ca</w:t>
      </w:r>
      <w:r>
        <w:rPr>
          <w:vertAlign w:val="superscript"/>
        </w:rPr>
        <w:t>2+</w:t>
      </w:r>
      <w:r>
        <w:t>, Cl</w:t>
      </w:r>
      <w:r>
        <w:rPr>
          <w:vertAlign w:val="superscript"/>
        </w:rPr>
        <w:t>-</w:t>
      </w:r>
      <w:r>
        <w:t>, NO</w:t>
      </w:r>
      <w:r>
        <w:rPr>
          <w:vertAlign w:val="subscript"/>
        </w:rPr>
        <w:t>3</w:t>
      </w:r>
      <w:r>
        <w:rPr>
          <w:vertAlign w:val="superscript"/>
        </w:rPr>
        <w:t>2-</w:t>
      </w:r>
      <w:r>
        <w:t>)</w:t>
      </w:r>
    </w:p>
    <w:p w14:paraId="653B1983" w14:textId="77777777" w:rsidR="00343238" w:rsidRDefault="00343238" w:rsidP="00343238">
      <w:pPr>
        <w:pStyle w:val="ListParagraph"/>
        <w:numPr>
          <w:ilvl w:val="0"/>
          <w:numId w:val="3"/>
        </w:numPr>
      </w:pPr>
      <w:r>
        <w:t>Dissolved oxygen</w:t>
      </w:r>
    </w:p>
    <w:p w14:paraId="274EAE1B" w14:textId="726DEE69" w:rsidR="00343238" w:rsidRDefault="00343238" w:rsidP="00343238">
      <w:pPr>
        <w:pStyle w:val="ListParagraph"/>
        <w:numPr>
          <w:ilvl w:val="0"/>
          <w:numId w:val="3"/>
        </w:numPr>
      </w:pPr>
      <w:r>
        <w:t>Photosynthesis rate</w:t>
      </w:r>
    </w:p>
    <w:p w14:paraId="3EDAB1FB" w14:textId="08E6E242" w:rsidR="00343238" w:rsidRDefault="00343238" w:rsidP="00343238">
      <w:pPr>
        <w:pStyle w:val="ListParagraph"/>
        <w:numPr>
          <w:ilvl w:val="0"/>
          <w:numId w:val="3"/>
        </w:numPr>
      </w:pPr>
      <w:r>
        <w:t>Respiration rate</w:t>
      </w:r>
    </w:p>
    <w:p w14:paraId="5B061234" w14:textId="36230E13" w:rsidR="00174C55" w:rsidRDefault="00174C55" w:rsidP="00174C55">
      <w:pPr>
        <w:pStyle w:val="Heading2"/>
      </w:pPr>
      <w:bookmarkStart w:id="38" w:name="_Toc58606036"/>
      <w:r>
        <w:t>A note on Ecological Network Analysis</w:t>
      </w:r>
      <w:bookmarkEnd w:id="38"/>
    </w:p>
    <w:p w14:paraId="12F54E21" w14:textId="77777777" w:rsidR="00174C55" w:rsidRDefault="00174C55" w:rsidP="00174C55"/>
    <w:p w14:paraId="67C2F76A" w14:textId="77777777" w:rsidR="00174C55" w:rsidRDefault="00174C55" w:rsidP="00174C55">
      <w:r>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fldChar w:fldCharType="begin" w:fldLock="1"/>
      </w:r>
      <w:r>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fldChar w:fldCharType="separate"/>
      </w:r>
      <w:r w:rsidRPr="000D6CED">
        <w:rPr>
          <w:noProof/>
        </w:rPr>
        <w:t>(Holt, 1997)</w:t>
      </w:r>
      <w:r>
        <w:fldChar w:fldCharType="end"/>
      </w:r>
      <w:r>
        <w:t xml:space="preserve">. We can use these modules to construct discrete species interaction networks. Firstly, we must identify who is doing what. This can be done through stable isotope analysis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6F7B0F">
        <w:rPr>
          <w:noProof/>
        </w:rPr>
        <w:t>(Jaroměřská et al., 2020)</w:t>
      </w:r>
      <w:r>
        <w:fldChar w:fldCharType="end"/>
      </w:r>
      <w:r>
        <w:t xml:space="preserve">, using recently developed molecular techniques such as meta-barcoding and environmental DNA, as well as modelling approaches </w:t>
      </w:r>
      <w:r>
        <w:fldChar w:fldCharType="begin" w:fldLock="1"/>
      </w:r>
      <w:r>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fldChar w:fldCharType="separate"/>
      </w:r>
      <w:r w:rsidRPr="002C2DB9">
        <w:rPr>
          <w:noProof/>
        </w:rPr>
        <w:t>(Delmas et al., 2019)</w:t>
      </w:r>
      <w:r>
        <w:fldChar w:fldCharType="end"/>
      </w:r>
      <w:r>
        <w:t>.</w:t>
      </w:r>
    </w:p>
    <w:p w14:paraId="3D9A9CE3" w14:textId="77777777" w:rsidR="00174C55" w:rsidRDefault="00174C55" w:rsidP="00174C55">
      <w:r>
        <w:t xml:space="preserve">  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6F818236" w14:textId="77777777" w:rsidR="00174C55" w:rsidRDefault="00174C55" w:rsidP="00174C55"/>
    <w:p w14:paraId="566D31F9" w14:textId="77777777" w:rsidR="00174C55" w:rsidRDefault="00174C55" w:rsidP="00174C55">
      <w:r>
        <w:t xml:space="preserve">Important paper -&gt; A Network Perspective for Community Assembly </w:t>
      </w:r>
      <w:r>
        <w:fldChar w:fldCharType="begin" w:fldLock="1"/>
      </w:r>
      <w: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fldChar w:fldCharType="separate"/>
      </w:r>
      <w:r w:rsidRPr="007072E4">
        <w:rPr>
          <w:noProof/>
        </w:rPr>
        <w:t>(Ponisio et al., 2019)</w:t>
      </w:r>
      <w:r>
        <w:fldChar w:fldCharType="end"/>
      </w:r>
    </w:p>
    <w:p w14:paraId="0393A3E1" w14:textId="77777777" w:rsidR="00174C55" w:rsidRPr="00343238" w:rsidRDefault="00174C55" w:rsidP="00174C55"/>
    <w:p w14:paraId="36894136" w14:textId="59F9ED0A" w:rsidR="006024CB" w:rsidRDefault="006024CB" w:rsidP="006024CB"/>
    <w:p w14:paraId="64077DEF" w14:textId="573545D4" w:rsidR="00DC25BE" w:rsidRDefault="00DC25BE" w:rsidP="006024CB"/>
    <w:p w14:paraId="31C4B2C7" w14:textId="620B512F" w:rsidR="001C3C84" w:rsidRDefault="001C3C84" w:rsidP="006024CB"/>
    <w:p w14:paraId="6736708F" w14:textId="0B05C81B" w:rsidR="001C3C84" w:rsidRDefault="001C3C84" w:rsidP="006024CB"/>
    <w:p w14:paraId="77DA6AA7" w14:textId="6FBA4105" w:rsidR="001C3C84" w:rsidRDefault="001C3C84" w:rsidP="006024CB"/>
    <w:p w14:paraId="575D45CA" w14:textId="77777777" w:rsidR="001C3C84" w:rsidRDefault="001C3C84" w:rsidP="006024CB"/>
    <w:p w14:paraId="56EAFFEA" w14:textId="77777777" w:rsidR="00D66A0F" w:rsidRDefault="00AC69FF" w:rsidP="00AC69FF">
      <w:bookmarkStart w:id="39" w:name="_Toc58606037"/>
      <w:r w:rsidRPr="00D66A0F">
        <w:rPr>
          <w:rStyle w:val="Heading2Char"/>
        </w:rPr>
        <w:t>Question</w:t>
      </w:r>
      <w:r w:rsidR="003D16E4" w:rsidRPr="00D66A0F">
        <w:rPr>
          <w:rStyle w:val="Heading2Char"/>
        </w:rPr>
        <w:t xml:space="preserve"> 1</w:t>
      </w:r>
      <w:r w:rsidRPr="00D66A0F">
        <w:rPr>
          <w:rStyle w:val="Heading2Char"/>
        </w:rPr>
        <w:t>: Do cryoconite holes exhibit classic patterns of island biogeography?</w:t>
      </w:r>
      <w:bookmarkEnd w:id="39"/>
      <w:r>
        <w:t xml:space="preserve"> </w:t>
      </w:r>
    </w:p>
    <w:p w14:paraId="5BC80106" w14:textId="0BEE7AD5" w:rsidR="00AC69FF" w:rsidRDefault="00AC69FF" w:rsidP="00AC69FF">
      <w:r>
        <w:t>How does this change between domains, functional groups, active vs total communities, across seasons?</w:t>
      </w:r>
    </w:p>
    <w:p w14:paraId="4BA90E09" w14:textId="586A64B0" w:rsidR="009C536D" w:rsidRDefault="00AC69FF" w:rsidP="00AC69FF">
      <w:r w:rsidRPr="00AC69FF">
        <w:rPr>
          <w:b/>
        </w:rPr>
        <w:t>Method:</w:t>
      </w:r>
      <w:r w:rsidR="00015019">
        <w:rPr>
          <w:b/>
        </w:rPr>
        <w:t xml:space="preserve"> </w:t>
      </w:r>
      <w:r w:rsidR="00CC3B48" w:rsidRPr="00CC3B48">
        <w:t>In order to address Question 1</w:t>
      </w:r>
      <w:r w:rsidR="00C9580E">
        <w:t>,</w:t>
      </w:r>
      <w:r w:rsidR="00CC3B48" w:rsidRPr="00CC3B48">
        <w:t xml:space="preserve"> </w:t>
      </w:r>
      <w:r w:rsidR="00A71F4F">
        <w:t xml:space="preserve">I will test whether cryoconite holes on </w:t>
      </w:r>
      <w:proofErr w:type="spellStart"/>
      <w:r w:rsidR="00A71F4F">
        <w:t>Foxfonna</w:t>
      </w:r>
      <w:proofErr w:type="spellEnd"/>
      <w:r w:rsidR="00A71F4F">
        <w:t xml:space="preserve"> glacier, and other glaciers around the world, exhibit two classic biogeographic patterns: the species-area relationship </w:t>
      </w:r>
      <w:r w:rsidR="009C536D">
        <w:t xml:space="preserve">(SAR) </w:t>
      </w:r>
      <w:r w:rsidR="00A71F4F">
        <w:t>and distance-decay relationship</w:t>
      </w:r>
      <w:r w:rsidR="009C536D">
        <w:t xml:space="preserve"> (DDR)</w:t>
      </w:r>
      <w:r w:rsidR="00A71F4F">
        <w:t xml:space="preserve">. </w:t>
      </w:r>
      <w:r w:rsidR="009C536D">
        <w:t xml:space="preserve">By looking for evidence of a SAR I am seeing whether there is a scaling of number of species with cryoconite area or volume. </w:t>
      </w:r>
    </w:p>
    <w:p w14:paraId="509AEFA8" w14:textId="5586E8E5" w:rsidR="009C536D" w:rsidRDefault="009C536D" w:rsidP="009C536D">
      <w:pPr>
        <w:pStyle w:val="ListParagraph"/>
        <w:numPr>
          <w:ilvl w:val="0"/>
          <w:numId w:val="2"/>
        </w:numPr>
      </w:pPr>
      <w:r>
        <w:t>If there is a positive SAR this will be useful in looking at how biogeochemical processes scale with cryoconite size.</w:t>
      </w:r>
      <w:r w:rsidR="001C0ACE">
        <w:t xml:space="preserve"> Do the rates of carbon cycling increase with cryoconite hole size? Is this a result of larger populations or higher diversity?</w:t>
      </w:r>
    </w:p>
    <w:p w14:paraId="1934BA9C" w14:textId="77777777" w:rsidR="009C536D" w:rsidRDefault="009C536D" w:rsidP="009C536D">
      <w:pPr>
        <w:pStyle w:val="ListParagraph"/>
        <w:numPr>
          <w:ilvl w:val="0"/>
          <w:numId w:val="2"/>
        </w:numPr>
      </w:pPr>
      <w:r>
        <w:t xml:space="preserve">If there is a positive SAR this will be useful for developing spatially explicit models/network analyses. </w:t>
      </w:r>
    </w:p>
    <w:p w14:paraId="522B16F7" w14:textId="77777777" w:rsidR="009C536D" w:rsidRDefault="009C536D" w:rsidP="009C536D">
      <w:pPr>
        <w:pStyle w:val="ListParagraph"/>
        <w:numPr>
          <w:ilvl w:val="0"/>
          <w:numId w:val="2"/>
        </w:numPr>
      </w:pPr>
      <w:r>
        <w:t xml:space="preserve">If there is a positive SAR we can look at how the relative influence of community assembly mechanisms (deterministic/stochastic) changes with habitat size. </w:t>
      </w:r>
    </w:p>
    <w:p w14:paraId="0DC1A6E3" w14:textId="77777777" w:rsidR="009C536D" w:rsidRDefault="009C536D" w:rsidP="00AC69FF">
      <w:pPr>
        <w:pStyle w:val="ListParagraph"/>
        <w:numPr>
          <w:ilvl w:val="0"/>
          <w:numId w:val="2"/>
        </w:numPr>
      </w:pPr>
      <w:r>
        <w:t xml:space="preserve">If there is a DDR then we have evidence of either environmental gradients leading to deterministic community assembly or stochastic dispersal limitation, or a combination of both. </w:t>
      </w:r>
    </w:p>
    <w:p w14:paraId="5D9257ED" w14:textId="2B4CA9E4" w:rsidR="00AC69FF" w:rsidRDefault="009C536D" w:rsidP="00AC69FF">
      <w:pPr>
        <w:pStyle w:val="ListParagraph"/>
        <w:numPr>
          <w:ilvl w:val="0"/>
          <w:numId w:val="2"/>
        </w:numPr>
      </w:pPr>
      <w:r>
        <w:t xml:space="preserve">If we find evidence of SAR and DDR in the cryoconite holes of </w:t>
      </w:r>
      <w:proofErr w:type="spellStart"/>
      <w:r>
        <w:t>Foxfonna</w:t>
      </w:r>
      <w:proofErr w:type="spellEnd"/>
      <w:r>
        <w:t xml:space="preserve"> glacier and other glaciers around the world, we have evidence to suggest that cryoconite holes are, indeed, island-like.</w:t>
      </w:r>
    </w:p>
    <w:p w14:paraId="371E5E81" w14:textId="3E938FBB" w:rsidR="00ED378C" w:rsidRDefault="00ED378C" w:rsidP="00ED378C">
      <w:r>
        <w:t xml:space="preserve">I will use a spatially nested sample scheme to collect cryoconite samples from </w:t>
      </w:r>
      <w:proofErr w:type="spellStart"/>
      <w:r>
        <w:t>Foxfonna</w:t>
      </w:r>
      <w:proofErr w:type="spellEnd"/>
      <w:r>
        <w:t xml:space="preserve"> glacier in spring 2020 and summer 2020 to compare </w:t>
      </w:r>
      <w:r w:rsidRPr="006840D6">
        <w:rPr>
          <w:b/>
        </w:rPr>
        <w:t>domains, functional groups, active and total communities, across seasons</w:t>
      </w:r>
      <w:r>
        <w:t>. I will also measure the area, volume and GPS coordinates of each cryoconite hole. I will collect sequence, size and location data from other cryoconite holes around the world to look for SAR and DDR patterns</w:t>
      </w:r>
      <w:r w:rsidR="00BE2CE4">
        <w:t xml:space="preserve"> on a range of spatial scales</w:t>
      </w:r>
      <w:r>
        <w:t xml:space="preserve">. </w:t>
      </w:r>
      <w:r w:rsidR="004503AF">
        <w:t xml:space="preserve">If the communities exhibit SAR that has implications for how we model biogeochemical processes, in </w:t>
      </w:r>
      <w:proofErr w:type="spellStart"/>
      <w:r w:rsidR="004503AF">
        <w:t>they</w:t>
      </w:r>
      <w:proofErr w:type="spellEnd"/>
      <w:r w:rsidR="004503AF">
        <w:t xml:space="preserve"> exhibit DDR that has implications for the way communities are affected by spatially autocorrelated environmental conditions and/or their location/proximity to other communities. </w:t>
      </w:r>
    </w:p>
    <w:p w14:paraId="4CB9F10B" w14:textId="77777777" w:rsidR="00934D05" w:rsidRDefault="00934D05" w:rsidP="00934D05">
      <w:r>
        <w:t xml:space="preserve">Which other datasets are available? What have these previous studies looked at? How can I develop on this? </w:t>
      </w:r>
    </w:p>
    <w:p w14:paraId="14610652" w14:textId="77777777" w:rsidR="00934D05" w:rsidRDefault="00934D05" w:rsidP="00934D05">
      <w:r>
        <w:t>Microbial SARs generally looks at bacteria (and maybe eukaryotes).</w:t>
      </w:r>
    </w:p>
    <w:p w14:paraId="693C2AAA" w14:textId="77777777" w:rsidR="00934D05" w:rsidRDefault="00934D05" w:rsidP="00934D05">
      <w:r>
        <w:t xml:space="preserve">Could this be divided into functional groups (primary producers, decomposers, grazers), or in to more </w:t>
      </w:r>
      <w:proofErr w:type="gramStart"/>
      <w:r>
        <w:t>fine grained</w:t>
      </w:r>
      <w:proofErr w:type="gramEnd"/>
      <w:r>
        <w:t xml:space="preserve"> groups: cyanobacteria, algae, fungi, heterotrophic bacteria, heterotrophic eukaryotes, archaea?</w:t>
      </w:r>
    </w:p>
    <w:p w14:paraId="443DA269" w14:textId="77777777" w:rsidR="00934D05" w:rsidRDefault="00934D05" w:rsidP="00934D05">
      <w:r>
        <w:lastRenderedPageBreak/>
        <w:t xml:space="preserve">Previous studies on cryoconite holes and species-area relationships/DDRs. Let’s ask, what data did they use? What questions did they ask? What methods did they use? What further work do they suggest should be </w:t>
      </w:r>
      <w:proofErr w:type="gramStart"/>
      <w:r>
        <w:t>done?:</w:t>
      </w:r>
      <w:proofErr w:type="gramEnd"/>
    </w:p>
    <w:p w14:paraId="0B8C6A25" w14:textId="77777777" w:rsidR="00934D05" w:rsidRDefault="00934D05" w:rsidP="00934D05">
      <w:pPr>
        <w:pStyle w:val="ListParagraph"/>
        <w:numPr>
          <w:ilvl w:val="0"/>
          <w:numId w:val="4"/>
        </w:numPr>
      </w:pPr>
      <w:r w:rsidRPr="007C4E65">
        <w:t>Microbial Species–Area Relationships in Antarctic Cryoconite Holes Depend on Productivity</w:t>
      </w:r>
      <w:r>
        <w:t xml:space="preserve"> </w:t>
      </w:r>
      <w:r>
        <w:fldChar w:fldCharType="begin" w:fldLock="1"/>
      </w:r>
      <w: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7C4E65">
        <w:rPr>
          <w:noProof/>
        </w:rPr>
        <w:t>(Sommers et al., 2020)</w:t>
      </w:r>
      <w:r>
        <w:fldChar w:fldCharType="end"/>
      </w:r>
    </w:p>
    <w:p w14:paraId="24D0B24F" w14:textId="77777777" w:rsidR="00934D05" w:rsidRDefault="00934D05" w:rsidP="00934D05">
      <w:pPr>
        <w:pStyle w:val="ListParagraph"/>
      </w:pPr>
      <w:r>
        <w:t xml:space="preserve">Look at bacterial and eukaryotic community cryoconite ISAR across two Antarctic glaciers (Canada and Taylor) that differ in productivity. </w:t>
      </w:r>
    </w:p>
    <w:p w14:paraId="75554242" w14:textId="0B3F8F39" w:rsidR="00934D05" w:rsidRDefault="00934D05" w:rsidP="00934D05">
      <w:pPr>
        <w:pStyle w:val="ListParagraph"/>
        <w:numPr>
          <w:ilvl w:val="0"/>
          <w:numId w:val="4"/>
        </w:numPr>
      </w:pPr>
      <w:r w:rsidRPr="007C4E65">
        <w:t>Island biogeography of cryoconite hole bacteria in Antarctica's Taylor Valley and around the world</w:t>
      </w:r>
      <w:r>
        <w:t xml:space="preserve"> </w:t>
      </w:r>
      <w:r>
        <w:fldChar w:fldCharType="begin" w:fldLock="1"/>
      </w:r>
      <w:r w:rsidR="008E4323">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Pr="00233D20">
        <w:rPr>
          <w:noProof/>
        </w:rPr>
        <w:t>(Darcy et al., 2018)</w:t>
      </w:r>
      <w:r>
        <w:fldChar w:fldCharType="end"/>
      </w:r>
      <w:r w:rsidR="006840D6">
        <w:t xml:space="preserve"> &lt;- previous global data analysis looked at bacteria only </w:t>
      </w:r>
    </w:p>
    <w:p w14:paraId="62DBDBB4" w14:textId="77777777" w:rsidR="00934D05" w:rsidRDefault="00934D05" w:rsidP="00934D05">
      <w:pPr>
        <w:pStyle w:val="ListParagraph"/>
        <w:numPr>
          <w:ilvl w:val="0"/>
          <w:numId w:val="4"/>
        </w:numPr>
      </w:pPr>
      <w:r w:rsidRPr="00FB57FF">
        <w:t>Biogeography of cryoconite bacterial communities on glaciers of the Tibetan Plateau</w:t>
      </w:r>
      <w:r>
        <w:t xml:space="preserve"> </w:t>
      </w:r>
      <w:r>
        <w:fldChar w:fldCharType="begin" w:fldLock="1"/>
      </w:r>
      <w: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fldChar w:fldCharType="separate"/>
      </w:r>
      <w:r w:rsidRPr="00FB57FF">
        <w:rPr>
          <w:noProof/>
        </w:rPr>
        <w:t>(Liu et al., 2017)</w:t>
      </w:r>
      <w:r>
        <w:fldChar w:fldCharType="end"/>
      </w:r>
    </w:p>
    <w:p w14:paraId="278880CD" w14:textId="6F337ECB" w:rsidR="00934D05" w:rsidRPr="00F86254" w:rsidRDefault="00934D05" w:rsidP="00934D05">
      <w:pPr>
        <w:pStyle w:val="ListParagraph"/>
        <w:numPr>
          <w:ilvl w:val="0"/>
          <w:numId w:val="4"/>
        </w:numPr>
        <w:rPr>
          <w:rFonts w:cstheme="majorHAnsi"/>
        </w:rPr>
      </w:pPr>
      <w:r w:rsidRPr="007C4E65">
        <w:t xml:space="preserve">Area, depth and elevation of cryoconite holes in the Arctic do not influence </w:t>
      </w:r>
      <w:proofErr w:type="spellStart"/>
      <w:r w:rsidRPr="007C4E65">
        <w:t>Tardigrada</w:t>
      </w:r>
      <w:proofErr w:type="spellEnd"/>
      <w:r w:rsidRPr="007C4E65">
        <w:t xml:space="preserve"> </w:t>
      </w:r>
      <w:r w:rsidRPr="00F86254">
        <w:rPr>
          <w:rFonts w:cstheme="majorHAnsi"/>
        </w:rPr>
        <w:t xml:space="preserve">densities </w:t>
      </w:r>
      <w:r w:rsidRPr="00F86254">
        <w:rPr>
          <w:rFonts w:cstheme="majorHAnsi"/>
        </w:rPr>
        <w:fldChar w:fldCharType="begin" w:fldLock="1"/>
      </w:r>
      <w:r w:rsidR="006B4CF7">
        <w:rPr>
          <w:rFonts w:cstheme="maj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F86254">
        <w:rPr>
          <w:rFonts w:cstheme="majorHAnsi"/>
        </w:rPr>
        <w:fldChar w:fldCharType="separate"/>
      </w:r>
      <w:r w:rsidR="008E4323" w:rsidRPr="008E4323">
        <w:rPr>
          <w:rFonts w:cstheme="majorHAnsi"/>
          <w:noProof/>
        </w:rPr>
        <w:t>(Krzysztof Zawierucha et al., 2016)</w:t>
      </w:r>
      <w:r w:rsidRPr="00F86254">
        <w:rPr>
          <w:rFonts w:cstheme="majorHAnsi"/>
        </w:rPr>
        <w:fldChar w:fldCharType="end"/>
      </w:r>
    </w:p>
    <w:p w14:paraId="0EF4A473" w14:textId="333E33E7" w:rsidR="00F86254" w:rsidRPr="00F86254" w:rsidRDefault="00F86254" w:rsidP="00F86254">
      <w:pPr>
        <w:pStyle w:val="ListParagraph"/>
        <w:numPr>
          <w:ilvl w:val="0"/>
          <w:numId w:val="4"/>
        </w:numPr>
        <w:spacing w:after="0" w:line="240" w:lineRule="auto"/>
        <w:rPr>
          <w:rFonts w:eastAsia="Times New Roman" w:cstheme="majorHAnsi"/>
        </w:rPr>
      </w:pPr>
      <w:r w:rsidRPr="00F86254">
        <w:rPr>
          <w:rFonts w:eastAsia="Times New Roman" w:cstheme="majorHAnsi"/>
        </w:rPr>
        <w:t>The effects of entombment on water chemistry and bacterial assemblages in closed cryoconite holes on Antarctic glaciers</w:t>
      </w:r>
      <w:r>
        <w:rPr>
          <w:rFonts w:eastAsia="Times New Roman" w:cstheme="majorHAnsi"/>
        </w:rPr>
        <w:t xml:space="preserve"> </w:t>
      </w:r>
      <w:r w:rsidR="008E4323">
        <w:rPr>
          <w:rFonts w:eastAsia="Times New Roman" w:cstheme="majorHAnsi"/>
        </w:rPr>
        <w:fldChar w:fldCharType="begin" w:fldLock="1"/>
      </w:r>
      <w:r w:rsidR="006B4CF7">
        <w:rPr>
          <w:rFonts w:eastAsia="Times New Roman" w:cstheme="maj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glaciers","type":"article-journal","volume":"91"},"uris":["http://www.mendeley.com/documents/?uuid=56b790a2-2743-495e-be82-bff7a7784bc4"]}],"mendeley":{"formattedCitation":"(Webster-Brown, Hawes, Jungblut, Wood, &amp; Christenson, 2015)","plainTextFormattedCitation":"(Webster-Brown, Hawes, Jungblut, Wood, &amp; Christenson, 2015)","previouslyFormattedCitation":"(Webster-Brown, Hawes, Jungblut, Wood, &amp; Christenson, 2015)"},"properties":{"noteIndex":0},"schema":"https://github.com/citation-style-language/schema/raw/master/csl-citation.json"}</w:instrText>
      </w:r>
      <w:r w:rsidR="008E4323">
        <w:rPr>
          <w:rFonts w:eastAsia="Times New Roman" w:cstheme="majorHAnsi"/>
        </w:rPr>
        <w:fldChar w:fldCharType="separate"/>
      </w:r>
      <w:r w:rsidR="008E4323" w:rsidRPr="008E4323">
        <w:rPr>
          <w:rFonts w:eastAsia="Times New Roman" w:cstheme="majorHAnsi"/>
          <w:noProof/>
        </w:rPr>
        <w:t>(Webster-Brown, Hawes, Jungblut, Wood, &amp; Christenson, 2015)</w:t>
      </w:r>
      <w:r w:rsidR="008E4323">
        <w:rPr>
          <w:rFonts w:eastAsia="Times New Roman" w:cstheme="majorHAnsi"/>
        </w:rPr>
        <w:fldChar w:fldCharType="end"/>
      </w:r>
    </w:p>
    <w:p w14:paraId="3AC20E57" w14:textId="6C8C70F4" w:rsidR="00934D05" w:rsidRPr="00F86254" w:rsidRDefault="00934D05" w:rsidP="00934D05">
      <w:pPr>
        <w:pStyle w:val="ListParagraph"/>
        <w:numPr>
          <w:ilvl w:val="0"/>
          <w:numId w:val="4"/>
        </w:numPr>
      </w:pPr>
      <w:r w:rsidRPr="00F86254">
        <w:t xml:space="preserve">The mass–area relationship within cryoconite holes and its implications for primary production </w:t>
      </w:r>
      <w:r w:rsidRPr="00F86254">
        <w:fldChar w:fldCharType="begin" w:fldLock="1"/>
      </w:r>
      <w:r w:rsidRPr="00F86254">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et al., 2010)","plainTextFormattedCitation":"(Cook et al., 2010)","previouslyFormattedCitation":"(Cook et al., 2010)"},"properties":{"noteIndex":0},"schema":"https://github.com/citation-style-language/schema/raw/master/csl-citation.json"}</w:instrText>
      </w:r>
      <w:r w:rsidRPr="00F86254">
        <w:fldChar w:fldCharType="separate"/>
      </w:r>
      <w:r w:rsidRPr="00F86254">
        <w:rPr>
          <w:noProof/>
        </w:rPr>
        <w:t>(Cook et al., 2010)</w:t>
      </w:r>
      <w:r w:rsidRPr="00F86254">
        <w:fldChar w:fldCharType="end"/>
      </w:r>
    </w:p>
    <w:p w14:paraId="2759185F" w14:textId="40E4A53D" w:rsidR="006840D6" w:rsidRDefault="006840D6" w:rsidP="006840D6">
      <w:r>
        <w:t>PLAN</w:t>
      </w:r>
    </w:p>
    <w:p w14:paraId="15FEC2FC" w14:textId="02E7D667" w:rsidR="006840D6" w:rsidRDefault="006840D6" w:rsidP="006840D6">
      <w:r>
        <w:t>Step 1: Collect sequence data on cryoconite communities, hole locations</w:t>
      </w:r>
      <w:r w:rsidR="00F248FB">
        <w:t xml:space="preserve">, </w:t>
      </w:r>
      <w:r>
        <w:t>hole sizes</w:t>
      </w:r>
      <w:r w:rsidR="00F248FB">
        <w:t xml:space="preserve">, productivity, environmental characteristics </w:t>
      </w:r>
      <w:r>
        <w:t>where available.</w:t>
      </w:r>
    </w:p>
    <w:p w14:paraId="2EE32843" w14:textId="25B5B79B" w:rsidR="006840D6" w:rsidRDefault="006840D6" w:rsidP="006840D6">
      <w:r>
        <w:t xml:space="preserve">Step 2: Conduct a global distance-decay relationship analysis on </w:t>
      </w:r>
      <w:r w:rsidRPr="006840D6">
        <w:rPr>
          <w:b/>
        </w:rPr>
        <w:t>eukaryotic communities</w:t>
      </w:r>
      <w:r>
        <w:t xml:space="preserve"> as there has recently been a global DDR analysis on cryoconite bacterial communities.</w:t>
      </w:r>
    </w:p>
    <w:p w14:paraId="47518C3A" w14:textId="6A8FB2BA" w:rsidR="006840D6" w:rsidRDefault="006840D6" w:rsidP="006840D6">
      <w:r>
        <w:t xml:space="preserve">Step 3: Conduct a global distance-decay relationship analysis on </w:t>
      </w:r>
      <w:r>
        <w:rPr>
          <w:b/>
        </w:rPr>
        <w:t>bacterial</w:t>
      </w:r>
      <w:r w:rsidRPr="006840D6">
        <w:rPr>
          <w:b/>
        </w:rPr>
        <w:t xml:space="preserve"> communities</w:t>
      </w:r>
      <w:r>
        <w:t xml:space="preserve"> if new data sets available</w:t>
      </w:r>
      <w:r w:rsidR="00F248FB">
        <w:t xml:space="preserve"> since 2018.</w:t>
      </w:r>
    </w:p>
    <w:p w14:paraId="4234A577" w14:textId="40E650B5" w:rsidR="006840D6" w:rsidRDefault="006840D6" w:rsidP="006840D6">
      <w:r>
        <w:t xml:space="preserve">Step 4: Conduct global SAR analysis </w:t>
      </w:r>
      <w:r w:rsidR="00E80BB1">
        <w:t xml:space="preserve">(apply power law model) </w:t>
      </w:r>
      <w:r>
        <w:t xml:space="preserve">on eukaryotic and bacterial communities, if the data are available. </w:t>
      </w:r>
    </w:p>
    <w:p w14:paraId="1270A089" w14:textId="46401F49" w:rsidR="006840D6" w:rsidRDefault="006840D6" w:rsidP="006840D6">
      <w:r>
        <w:t xml:space="preserve">Step 5: </w:t>
      </w:r>
      <w:r w:rsidR="00F248FB">
        <w:t>Conduct global SAR analysis on functional groups, if the data are available.</w:t>
      </w:r>
    </w:p>
    <w:p w14:paraId="24FD19A6" w14:textId="6812EE5D" w:rsidR="00F248FB" w:rsidRDefault="00F248FB" w:rsidP="006840D6">
      <w:r>
        <w:t xml:space="preserve">Step 6: Collect </w:t>
      </w:r>
      <w:proofErr w:type="spellStart"/>
      <w:r>
        <w:t>Foxfonna</w:t>
      </w:r>
      <w:proofErr w:type="spellEnd"/>
      <w:r>
        <w:t xml:space="preserve"> cryoconite samples in nested sampling scheme + environmental data.</w:t>
      </w:r>
    </w:p>
    <w:p w14:paraId="394F4877" w14:textId="5BFAE4DF" w:rsidR="00F248FB" w:rsidRDefault="00F248FB" w:rsidP="006840D6">
      <w:r>
        <w:t>Step 7: Lab analysis of samples to quantify active + dormant communities.</w:t>
      </w:r>
    </w:p>
    <w:p w14:paraId="432B2DFB" w14:textId="188C337E" w:rsidR="00F248FB" w:rsidRDefault="00F248FB" w:rsidP="006840D6">
      <w:r>
        <w:t xml:space="preserve">Step 8: Within glacier DDR analysis for bacteria, eukaryotes, active, total communities, functional groups (Spring). </w:t>
      </w:r>
    </w:p>
    <w:p w14:paraId="1D3C6211" w14:textId="5B77BBDC" w:rsidR="00F248FB" w:rsidRDefault="00F248FB" w:rsidP="006840D6">
      <w:r>
        <w:t>Step 9: Within glacier SAR analysis for bacteria, eukaryotes, active, total communities, functional groups (Summer).</w:t>
      </w:r>
    </w:p>
    <w:p w14:paraId="1B6EE0C2" w14:textId="5813250F" w:rsidR="00F248FB" w:rsidRDefault="00F248FB" w:rsidP="006840D6">
      <w:r>
        <w:t xml:space="preserve">Step 10: Compare </w:t>
      </w:r>
      <w:proofErr w:type="spellStart"/>
      <w:r>
        <w:t>Foxfonna</w:t>
      </w:r>
      <w:proofErr w:type="spellEnd"/>
      <w:r>
        <w:t xml:space="preserve"> DDR and SAR with global dataset.</w:t>
      </w:r>
    </w:p>
    <w:p w14:paraId="17B169CC" w14:textId="358296C6" w:rsidR="00AC69FF" w:rsidRDefault="00F248FB" w:rsidP="00AC69FF">
      <w:r>
        <w:t xml:space="preserve">Step 11: Draw conclusions: Are </w:t>
      </w:r>
      <w:proofErr w:type="spellStart"/>
      <w:r>
        <w:t>Foxfonna</w:t>
      </w:r>
      <w:proofErr w:type="spellEnd"/>
      <w:r>
        <w:t>/global cryoconite holes island like? Why/why not? Do they exhibit classic patterns on biogeography, therefore allowing us to apply island community assembly theories (e.g. IBT)? Is there spatial scaling of microbial communities in cryoconite holes? Is there spatial scaling of biogeochemical processes in cryoconite holes? How does this change for domains, active/total communities, functional groups?</w:t>
      </w:r>
    </w:p>
    <w:p w14:paraId="17CB7BD9" w14:textId="77777777" w:rsidR="00D66A0F" w:rsidRDefault="00AC69FF" w:rsidP="00D66A0F">
      <w:pPr>
        <w:pStyle w:val="Heading2"/>
      </w:pPr>
      <w:bookmarkStart w:id="40" w:name="_Toc58606038"/>
      <w:r w:rsidRPr="00AC69FF">
        <w:rPr>
          <w:b/>
        </w:rPr>
        <w:lastRenderedPageBreak/>
        <w:t>Question</w:t>
      </w:r>
      <w:r w:rsidR="003D16E4">
        <w:rPr>
          <w:b/>
        </w:rPr>
        <w:t xml:space="preserve"> 2</w:t>
      </w:r>
      <w:r w:rsidRPr="00AC69FF">
        <w:rPr>
          <w:b/>
        </w:rPr>
        <w:t>:</w:t>
      </w:r>
      <w:r>
        <w:t xml:space="preserve"> What community assembly mechanisms (neutral and non-neutral) are driving community assembly across a glacier?</w:t>
      </w:r>
      <w:bookmarkEnd w:id="40"/>
      <w:r>
        <w:t xml:space="preserve"> </w:t>
      </w:r>
    </w:p>
    <w:p w14:paraId="224B39AD" w14:textId="1068993D" w:rsidR="00AC69FF" w:rsidRDefault="00AC69FF" w:rsidP="00AC69FF">
      <w:r>
        <w:t>How does this change between domains, functional groups, active vs total communities, across seasons?</w:t>
      </w:r>
    </w:p>
    <w:p w14:paraId="305FE854" w14:textId="694362B2" w:rsidR="00E33F38" w:rsidRDefault="00AC69FF" w:rsidP="00AC69FF">
      <w:r w:rsidRPr="00AC69FF">
        <w:rPr>
          <w:b/>
        </w:rPr>
        <w:t>Method:</w:t>
      </w:r>
      <w:r w:rsidR="00ED4710">
        <w:rPr>
          <w:b/>
        </w:rPr>
        <w:t xml:space="preserve"> </w:t>
      </w:r>
      <w:r w:rsidR="00343238">
        <w:t>I will use the community diversity data for my cryoconite holes, along with physio-chemical characteristics to elucidate the relati</w:t>
      </w:r>
      <w:r w:rsidR="00E33F38">
        <w:t>ve</w:t>
      </w:r>
      <w:r w:rsidR="00343238">
        <w:t xml:space="preserve"> contributions of deterministic and stochastic community assembly processes across the glacier.</w:t>
      </w:r>
      <w:r w:rsidR="00156F7C">
        <w:t xml:space="preserve"> Does the community structure in these cryoconite holes (</w:t>
      </w:r>
      <w:proofErr w:type="spellStart"/>
      <w:r w:rsidR="00156F7C">
        <w:t>Foxfonna</w:t>
      </w:r>
      <w:proofErr w:type="spellEnd"/>
      <w:r w:rsidR="00156F7C">
        <w:t>/global) shaped by neutral assembly processes or determined by other physio-chemical characteristics?</w:t>
      </w:r>
    </w:p>
    <w:p w14:paraId="25A4AD47" w14:textId="5AB699A4" w:rsidR="00AC69FF" w:rsidRDefault="00E33F38" w:rsidP="00AC69FF">
      <w:r>
        <w:t xml:space="preserve">  </w:t>
      </w:r>
      <w:r w:rsidR="00343238">
        <w:t xml:space="preserve">I will first use multivariate analysis </w:t>
      </w:r>
      <w:r>
        <w:t xml:space="preserve">as an exploratory tool </w:t>
      </w:r>
      <w:r w:rsidR="00343238">
        <w:t>to look for significant differences between cryoconite communities (e.g. principal-component analysis</w:t>
      </w:r>
      <w:r w:rsidR="00697AA5">
        <w:t xml:space="preserve">, </w:t>
      </w:r>
      <w:r w:rsidR="00343238">
        <w:t xml:space="preserve">nonmetric multidimensional scaling), the amount of variation in community structure explained by environmental variables (e.g. redundancy analysis), look for the correlation between environment and community structure when controlling for distance effect and </w:t>
      </w:r>
      <w:r w:rsidR="00E42044">
        <w:t>vice</w:t>
      </w:r>
      <w:r w:rsidR="00343238">
        <w:t xml:space="preserve"> versa (e.g. variation partitioning analysis)</w:t>
      </w:r>
      <w:r>
        <w:t>.</w:t>
      </w:r>
    </w:p>
    <w:p w14:paraId="1D7F93F9" w14:textId="6BABEF4F" w:rsidR="00E33F38" w:rsidRDefault="00E33F38" w:rsidP="00AC69FF">
      <w:r>
        <w:rPr>
          <w:b/>
        </w:rPr>
        <w:t xml:space="preserve">  </w:t>
      </w:r>
      <w:r w:rsidRPr="004E6AF6">
        <w:t xml:space="preserve">I will then use a null index approach </w:t>
      </w:r>
      <w:r w:rsidR="004E6AF6" w:rsidRPr="004E6AF6">
        <w:t>with</w:t>
      </w:r>
      <w:r w:rsidRPr="004E6AF6">
        <w:t xml:space="preserve"> the nearest taxon index and </w:t>
      </w:r>
      <w:proofErr w:type="spellStart"/>
      <w:r w:rsidR="004E6AF6" w:rsidRPr="004E6AF6">
        <w:t>Raup</w:t>
      </w:r>
      <w:proofErr w:type="spellEnd"/>
      <w:r w:rsidR="004E6AF6" w:rsidRPr="004E6AF6">
        <w:t xml:space="preserve">-Crick Bray metric to differentiate between the deterministic processes of homogenous selection and heterogenous selection, as well as stochastic processes of homogenizing dispersal </w:t>
      </w:r>
      <w:proofErr w:type="spellStart"/>
      <w:r w:rsidR="004E6AF6" w:rsidRPr="004E6AF6">
        <w:t>dispersal</w:t>
      </w:r>
      <w:proofErr w:type="spellEnd"/>
      <w:r w:rsidR="004E6AF6" w:rsidRPr="004E6AF6">
        <w:t xml:space="preserve"> limitation, and undominated mechanisms (weak selection, weak dispersal, diversification, drift).</w:t>
      </w:r>
      <w:r w:rsidR="004E6AF6">
        <w:t xml:space="preserve"> I will repeat this process for domains, functional groups, active vs total communities, across seasons. Where available I will repeat the process with data from the literature. </w:t>
      </w:r>
    </w:p>
    <w:p w14:paraId="445C0BF8" w14:textId="440BA83B" w:rsidR="006B4CF7" w:rsidRDefault="006B4CF7" w:rsidP="00AC69FF">
      <w:r>
        <w:t xml:space="preserve">The below procedure is taken from </w:t>
      </w:r>
      <w:r w:rsidRPr="006B4CF7">
        <w:t>﻿</w:t>
      </w:r>
      <w:r>
        <w:t>‘</w:t>
      </w:r>
      <w:r w:rsidRPr="006B4CF7">
        <w:t xml:space="preserve">The biogeochemical variability of Arctic </w:t>
      </w:r>
      <w:proofErr w:type="spellStart"/>
      <w:r w:rsidRPr="006B4CF7">
        <w:t>thermokarst</w:t>
      </w:r>
      <w:proofErr w:type="spellEnd"/>
      <w:r w:rsidRPr="006B4CF7">
        <w:t xml:space="preserve"> ponds is reflected by stochastic and niche-driven microbial community assembly processes</w:t>
      </w:r>
      <w:r>
        <w:t xml:space="preserve">’ </w:t>
      </w:r>
      <w:r>
        <w:fldChar w:fldCharType="begin" w:fldLock="1"/>
      </w:r>
      <w:r w:rsidR="009F2531">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fldChar w:fldCharType="separate"/>
      </w:r>
      <w:r w:rsidRPr="006B4CF7">
        <w:rPr>
          <w:noProof/>
        </w:rPr>
        <w:t>(Le Moigne, Bartosiewicz, Schaepman-Strub, Abiven, &amp; Pernthaler, 2020)</w:t>
      </w:r>
      <w:r>
        <w:fldChar w:fldCharType="end"/>
      </w:r>
    </w:p>
    <w:p w14:paraId="0E41BE4C" w14:textId="2675CCF8" w:rsidR="00AB32C1" w:rsidRDefault="00AB32C1" w:rsidP="00AC69FF">
      <w:r>
        <w:t xml:space="preserve">Also see </w:t>
      </w:r>
      <w:r w:rsidRPr="00AB32C1">
        <w:t>A general framework for quantitatively assessing</w:t>
      </w:r>
      <w:r>
        <w:t xml:space="preserve"> </w:t>
      </w:r>
      <w:r w:rsidRPr="00AB32C1">
        <w:t>ecological stochasticity</w:t>
      </w:r>
      <w:r>
        <w:t xml:space="preserve"> </w:t>
      </w:r>
      <w:r>
        <w:fldChar w:fldCharType="begin" w:fldLock="1"/>
      </w:r>
      <w: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Pr="00AB32C1">
        <w:rPr>
          <w:noProof/>
        </w:rPr>
        <w:t>(Ning, Deng, Tiedje, &amp; Zhou, 2019)</w:t>
      </w:r>
      <w:r>
        <w:fldChar w:fldCharType="end"/>
      </w:r>
    </w:p>
    <w:p w14:paraId="6D149E06" w14:textId="3768DEC4" w:rsidR="008E4323" w:rsidRDefault="008E4323" w:rsidP="00AC69FF">
      <w:r>
        <w:t>Step 1: Using data from the literature (where community sequence data and environmental data are available)</w:t>
      </w:r>
      <w:r w:rsidR="00156F7C">
        <w:t xml:space="preserve"> I will asse</w:t>
      </w:r>
      <w:r w:rsidR="00672860">
        <w:t xml:space="preserve">ss the </w:t>
      </w:r>
      <m:oMath>
        <m:r>
          <w:rPr>
            <w:rFonts w:ascii="Cambria Math" w:hAnsi="Cambria Math"/>
          </w:rPr>
          <m:t>β</m:t>
        </m:r>
      </m:oMath>
      <w:r w:rsidR="00672860">
        <w:t xml:space="preserve">-diversity of each dataset using the BC similarity index, defined as 1 – BC dissimilarity using the ‘Vegan’ package.  </w:t>
      </w:r>
    </w:p>
    <w:p w14:paraId="4D36CFAE" w14:textId="221E0FEA" w:rsidR="00672860" w:rsidRDefault="00672860" w:rsidP="00AC69FF">
      <w:r>
        <w:t>Step 2: Perform non-metric multidimensional scaling using ‘</w:t>
      </w:r>
      <w:proofErr w:type="spellStart"/>
      <w:r>
        <w:t>metaMDS</w:t>
      </w:r>
      <w:proofErr w:type="spellEnd"/>
      <w:r>
        <w:t>’ and PERMANOVAs with ‘</w:t>
      </w:r>
      <w:proofErr w:type="spellStart"/>
      <w:r>
        <w:t>adonis</w:t>
      </w:r>
      <w:proofErr w:type="spellEnd"/>
      <w:r>
        <w:t xml:space="preserve">’ function from the ‘Vegan’ package. Calculate the relative contribution of OTUs from different phylogenetic lineages to average dissimilarity of each data set using ‘simper’ function from ‘Vegan’ package. </w:t>
      </w:r>
    </w:p>
    <w:p w14:paraId="75A622C0" w14:textId="77777777" w:rsidR="00672860" w:rsidRDefault="00672860" w:rsidP="00AC69FF">
      <w:r>
        <w:t>Step 3: Infer the relationship between environmental variables and microbial communities using Mantel tests.</w:t>
      </w:r>
    </w:p>
    <w:p w14:paraId="49CBA85C" w14:textId="6D2AE762" w:rsidR="004716E4" w:rsidRDefault="00672860" w:rsidP="00AC69FF">
      <w:r>
        <w:t xml:space="preserve">Step 4: Compute </w:t>
      </w:r>
      <w:proofErr w:type="spellStart"/>
      <w:r>
        <w:t>db</w:t>
      </w:r>
      <w:proofErr w:type="spellEnd"/>
      <w:r>
        <w:t>-RDA with ‘</w:t>
      </w:r>
      <w:proofErr w:type="spellStart"/>
      <w:r>
        <w:t>capscale</w:t>
      </w:r>
      <w:proofErr w:type="spellEnd"/>
      <w:r>
        <w:t>’ function from ‘Vegan’ package to assess which physio-chemical parameters are most important in shaping community structure. Build model on reduced number of variables using the ‘</w:t>
      </w:r>
      <w:proofErr w:type="spellStart"/>
      <w:r>
        <w:t>bioenv</w:t>
      </w:r>
      <w:proofErr w:type="spellEnd"/>
      <w:r>
        <w:t xml:space="preserve">’ function. </w:t>
      </w:r>
    </w:p>
    <w:p w14:paraId="5C89F106" w14:textId="3C902606" w:rsidR="004716E4" w:rsidRDefault="004716E4" w:rsidP="00EA72C5">
      <w:r>
        <w:t xml:space="preserve">Step 5: Calculate RC index and NST using ‘NST’ package. These indices using null-model based approach to quantify ecological stochasticity. RC metric </w:t>
      </w:r>
      <w:r w:rsidR="00EA72C5">
        <w:t>considers</w:t>
      </w:r>
      <w:r>
        <w:t xml:space="preserve"> variability of </w:t>
      </w:r>
      <m:oMath>
        <m:r>
          <w:rPr>
            <w:rFonts w:ascii="Cambria Math" w:hAnsi="Cambria Math"/>
          </w:rPr>
          <m:t>α</m:t>
        </m:r>
      </m:oMath>
      <w:r>
        <w:t xml:space="preserve">-diversity: it indicates in two communities are more or less similar than expected by chance or if stochastic processes dominate. Similarly, if NST &lt;50% then community assembly is predominantly governed by </w:t>
      </w:r>
      <w:r>
        <w:lastRenderedPageBreak/>
        <w:t>deterministic processes, while NST&gt;50% indicate the dominance of stochastic processes.</w:t>
      </w:r>
      <w:r w:rsidR="00385540">
        <w:t xml:space="preserve"> Calculate NST separately for subcommunities of OTUs that were present in an increasing number of cryoconite ponds to elucidate the difference in assembly processes for abundance and rare taxa.</w:t>
      </w:r>
      <w:r w:rsidR="00EA72C5">
        <w:t xml:space="preserve"> ***</w:t>
      </w:r>
      <w:r w:rsidR="00EA72C5" w:rsidRPr="00EA72C5">
        <w:t xml:space="preserve"> </w:t>
      </w:r>
      <w:r w:rsidR="00EA72C5">
        <w:t xml:space="preserve">﻿The </w:t>
      </w:r>
      <w:proofErr w:type="spellStart"/>
      <w:r w:rsidR="00EA72C5">
        <w:t>Raup</w:t>
      </w:r>
      <w:proofErr w:type="spellEnd"/>
      <w:r w:rsidR="00EA72C5">
        <w:t xml:space="preserve">-Crick (RC) metric represents a significance test that allows to disentangle changes in β-diversity from variation in α-diversity (Chase et al., 2011) while the normalized stochasticity ratio (NST) is an index that has been developed to quantify </w:t>
      </w:r>
      <w:r w:rsidR="00EA72C5" w:rsidRPr="00EA72C5">
        <w:t>﻿the relative importance of deterministic and stochastic community assembly processes</w:t>
      </w:r>
      <w:r w:rsidR="00EA72C5">
        <w:t>***</w:t>
      </w:r>
    </w:p>
    <w:p w14:paraId="7655542E" w14:textId="2F0FFDBC" w:rsidR="00672860" w:rsidRDefault="004716E4" w:rsidP="00AC69FF">
      <w:r>
        <w:t xml:space="preserve">Step 6: Use </w:t>
      </w:r>
      <m:oMath>
        <m:r>
          <w:rPr>
            <w:rFonts w:ascii="Cambria Math" w:hAnsi="Cambria Math"/>
          </w:rPr>
          <m:t>β</m:t>
        </m:r>
      </m:oMath>
      <w:r>
        <w:t xml:space="preserve">NTI to assess phylogenetic turnover across cryoconite holes for each dataset. </w:t>
      </w:r>
      <w:proofErr w:type="spellStart"/>
      <w:r>
        <w:t>Ali</w:t>
      </w:r>
      <w:r w:rsidR="006B4CF7">
        <w:t>gne</w:t>
      </w:r>
      <w:proofErr w:type="spellEnd"/>
      <w:r w:rsidR="006B4CF7">
        <w:t xml:space="preserve"> bacterial and eukaryotic OTUs using PASTA and construct maximum likelihood phylogenies using IQ-TREE with best-fitting substitution models chosen by </w:t>
      </w:r>
      <w:proofErr w:type="spellStart"/>
      <w:r w:rsidR="006B4CF7">
        <w:t>ModelFinder</w:t>
      </w:r>
      <w:proofErr w:type="spellEnd"/>
      <w:r w:rsidR="006B4CF7">
        <w:t xml:space="preserve"> based on BIC (Bayesian Information Criterion). Calculate </w:t>
      </w:r>
      <m:oMath>
        <m:r>
          <w:rPr>
            <w:rFonts w:ascii="Cambria Math" w:hAnsi="Cambria Math"/>
          </w:rPr>
          <m:t>β</m:t>
        </m:r>
      </m:oMath>
      <w:r w:rsidR="006B4CF7">
        <w:t xml:space="preserve">NTI distances using code provided by </w:t>
      </w:r>
      <w:r w:rsidR="006B4CF7">
        <w:fldChar w:fldCharType="begin" w:fldLock="1"/>
      </w:r>
      <w:r w:rsidR="006B4CF7">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6B4CF7">
        <w:rPr>
          <w:rFonts w:ascii="Cambria Math" w:hAnsi="Cambria Math" w:cs="Cambria Math"/>
        </w:rPr>
        <w:instrText>∼</w:instrText>
      </w:r>
      <w:r w:rsidR="006B4CF7">
        <w:instrText xml:space="preserve">25% of spatial turnover in community composition; (ii) in deeper, finer-grained sediments, Selection is strong (governing </w:instrText>
      </w:r>
      <w:r w:rsidR="006B4CF7">
        <w:rPr>
          <w:rFonts w:ascii="Cambria Math" w:hAnsi="Cambria Math" w:cs="Cambria Math"/>
        </w:rPr>
        <w:instrText>∼</w:instrText>
      </w:r>
      <w:r w:rsidR="006B4CF7">
        <w:instrText xml:space="preserve">60% of turnover), being imposed by an unmeasured but spatially structured environmental variable; (iii) in shallower, coarser-grained sediments, Selection is weaker (governing </w:instrText>
      </w:r>
      <w:r w:rsidR="006B4CF7">
        <w:rPr>
          <w:rFonts w:ascii="Cambria Math" w:hAnsi="Cambria Math" w:cs="Cambria Math"/>
        </w:rPr>
        <w:instrText>∼</w:instrText>
      </w:r>
      <w:r w:rsidR="006B4CF7">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6B4CF7">
        <w:fldChar w:fldCharType="separate"/>
      </w:r>
      <w:r w:rsidR="006B4CF7" w:rsidRPr="006B4CF7">
        <w:rPr>
          <w:noProof/>
        </w:rPr>
        <w:t>(Stegen et al., 2013)</w:t>
      </w:r>
      <w:r w:rsidR="006B4CF7">
        <w:fldChar w:fldCharType="end"/>
      </w:r>
      <w:r w:rsidR="006B4CF7">
        <w:t xml:space="preserve"> with the ‘picante’ package.</w:t>
      </w:r>
    </w:p>
    <w:p w14:paraId="3D39CFC1" w14:textId="2DC22C9A" w:rsidR="006B4CF7" w:rsidRDefault="006B4CF7" w:rsidP="00AC69FF">
      <w:r>
        <w:t xml:space="preserve">Step 7: Repeat above for </w:t>
      </w:r>
      <w:proofErr w:type="spellStart"/>
      <w:r>
        <w:t>Foxfonna</w:t>
      </w:r>
      <w:proofErr w:type="spellEnd"/>
      <w:r>
        <w:t xml:space="preserve"> dataset (including differentiating between active and total communities</w:t>
      </w:r>
      <w:r w:rsidR="00385540">
        <w:t xml:space="preserve"> and across seasons</w:t>
      </w:r>
      <w:r>
        <w:t>)</w:t>
      </w:r>
    </w:p>
    <w:p w14:paraId="5C61E89B" w14:textId="286081DA" w:rsidR="00AC69FF" w:rsidRDefault="006B4CF7" w:rsidP="00AC69FF">
      <w:r>
        <w:t xml:space="preserve">Step 8: Draw conclusions: </w:t>
      </w:r>
      <w:r w:rsidR="00385540">
        <w:t>Do the datasets differ in habitat properties? (hole surface size, depth, pH, temperature, DOC, DIC etc – what morphometric and physiochemical data will be available across datasets?) Do the datasets differ in microbial community composition? Do the datasets vary in microbial assembly processes? How does this change between bacteria and eukaryotes? How does this change for abundant vs rare taxa? Why do we think we found these results?</w:t>
      </w:r>
    </w:p>
    <w:p w14:paraId="623427A8" w14:textId="309969F0" w:rsidR="00D66A0F" w:rsidRDefault="00AC69FF" w:rsidP="00D66A0F">
      <w:pPr>
        <w:pStyle w:val="Heading2"/>
      </w:pPr>
      <w:bookmarkStart w:id="41" w:name="_Toc58606039"/>
      <w:r w:rsidRPr="00AC69FF">
        <w:rPr>
          <w:b/>
        </w:rPr>
        <w:t>Question</w:t>
      </w:r>
      <w:r w:rsidR="003D16E4">
        <w:rPr>
          <w:b/>
        </w:rPr>
        <w:t xml:space="preserve"> 3</w:t>
      </w:r>
      <w:r w:rsidRPr="00AC69FF">
        <w:rPr>
          <w:b/>
        </w:rPr>
        <w:t>:</w:t>
      </w:r>
      <w:r>
        <w:t xml:space="preserve"> Does the relative influence of community assembly mechanisms change with cryoconite size?</w:t>
      </w:r>
      <w:bookmarkEnd w:id="41"/>
      <w:r>
        <w:t xml:space="preserve"> </w:t>
      </w:r>
      <w:r w:rsidR="00370CA2">
        <w:t>Is there evidence of a small-island effect?</w:t>
      </w:r>
    </w:p>
    <w:p w14:paraId="3AF06F8D" w14:textId="745B00A1" w:rsidR="00AC69FF" w:rsidRDefault="00AC69FF" w:rsidP="00AC69FF">
      <w:r>
        <w:t>How does this change between domains, functional groups, active vs total communities, across seasons?</w:t>
      </w:r>
    </w:p>
    <w:p w14:paraId="046D0E4B" w14:textId="1D7153CD" w:rsidR="00AC69FF" w:rsidRDefault="00AC69FF" w:rsidP="00AC69FF">
      <w:r w:rsidRPr="00AC69FF">
        <w:rPr>
          <w:b/>
        </w:rPr>
        <w:t>Method:</w:t>
      </w:r>
      <w:r w:rsidR="00F847CD">
        <w:rPr>
          <w:b/>
        </w:rPr>
        <w:t xml:space="preserve"> </w:t>
      </w:r>
      <w:r w:rsidR="00F847CD" w:rsidRPr="00F847CD">
        <w:t xml:space="preserve">I will employ </w:t>
      </w:r>
      <w:r w:rsidR="00F847CD">
        <w:t>a biphasic mechanistic model</w:t>
      </w:r>
      <w:r w:rsidR="00F847CD">
        <w:rPr>
          <w:b/>
        </w:rPr>
        <w:t xml:space="preserve"> </w:t>
      </w:r>
      <w:r w:rsidR="00F847CD">
        <w:rPr>
          <w:b/>
        </w:rPr>
        <w:fldChar w:fldCharType="begin" w:fldLock="1"/>
      </w:r>
      <w:r w:rsidR="00F847CD">
        <w:rPr>
          <w:b/>
        </w:rPr>
        <w:instrText>ADDIN CSL_CITATION {"citationItems":[{"id":"ITEM-1","itemData":{"DOI":"10.1098/rspb.2016.0102","ISSN":"14712954","PMID":"27122558","abstract":"MacArthur and Wilson’s theory of island biogeography predicts that island species richness should increase with island area. This prediction generally holds among large islands, but among small islands species richness often varies independently of island area, producing the so-called ‘small-island effect’ and an overall biphasic species-area relationship (SAR). Here, we develop a unified theory that explains the biphasic island SAR. Our theory’s key postulate is that as island area increases, the total number of immigrants increases faster than niche diversity. A parsimonious mechanistic model approximating these processes reproduces a biphasic SAR and provides excellent fits to 100 archipelago datasets. In the light of our theory, the biphasic island SAR can be interpreted as arising from a transition from a nichestructured regime on small islands to a colonization-extinction balance regime on large islands. The first regime is characteristic of classic deterministic niche theories; the second regime is characteristic of stochastic theories including the theory of island biogeography and neutral theory. The data furthermore confirm our theory’s key prediction that the transition between the two SAR regimes should occur at smaller areas, where immigration is stronger (i.e. for taxa that are better dispersers and for archipelagos that are less isolated).","author":[{"dropping-particle":"","family":"Chisholm","given":"Ryan A.","non-dropping-particle":"","parse-names":false,"suffix":""},{"dropping-particle":"","family":"Fung","given":"Tak","non-dropping-particle":"","parse-names":false,"suffix":""},{"dropping-particle":"","family":"Chimalakonda","given":"Deepthi","non-dropping-particle":"","parse-names":false,"suffix":""},{"dropping-particle":"","family":"O’Dwyer","given":"James P.","non-dropping-particle":"","parse-names":false,"suffix":""}],"container-title":"Proceedings of the Royal Society B: Biological Sciences","id":"ITEM-1","issue":"1829","issued":{"date-parts":[["2016"]]},"title":"Maintenance of biodiversity on islands","type":"article-journal","volume":"283"},"uris":["http://www.mendeley.com/documents/?uuid=510f932f-a498-481d-a483-58920d90cc98"]}],"mendeley":{"formattedCitation":"(Chisholm, Fung, Chimalakonda, &amp; O’Dwyer, 2016)","plainTextFormattedCitation":"(Chisholm, Fung, Chimalakonda, &amp; O’Dwyer, 2016)","previouslyFormattedCitation":"(Chisholm, Fung, Chimalakonda, &amp; O’Dwyer, 2016)"},"properties":{"noteIndex":0},"schema":"https://github.com/citation-style-language/schema/raw/master/csl-citation.json"}</w:instrText>
      </w:r>
      <w:r w:rsidR="00F847CD">
        <w:rPr>
          <w:b/>
        </w:rPr>
        <w:fldChar w:fldCharType="separate"/>
      </w:r>
      <w:r w:rsidR="00F847CD" w:rsidRPr="00F847CD">
        <w:rPr>
          <w:noProof/>
        </w:rPr>
        <w:t>(Chisholm, Fung, Chimalakonda, &amp; O’Dwyer, 2016)</w:t>
      </w:r>
      <w:r w:rsidR="00F847CD">
        <w:rPr>
          <w:b/>
        </w:rPr>
        <w:fldChar w:fldCharType="end"/>
      </w:r>
      <w:r w:rsidR="00F847CD">
        <w:rPr>
          <w:b/>
        </w:rPr>
        <w:t xml:space="preserve"> </w:t>
      </w:r>
      <w:r w:rsidR="00F847CD" w:rsidRPr="0024356F">
        <w:t xml:space="preserve">to assess the relative contribution of deterministic and stochastic </w:t>
      </w:r>
      <w:r w:rsidR="0024356F" w:rsidRPr="0024356F">
        <w:t>processes across a range of cryoconite areas/volumes.</w:t>
      </w:r>
      <w:r w:rsidR="0024356F">
        <w:t xml:space="preserve"> I will repeat this process for domains, functional groups, active vs total communities, across seasons. Where available I will repeat the process with data from the literature.</w:t>
      </w:r>
      <w:r w:rsidR="001F1949">
        <w:t xml:space="preserve"> (Have emailed Ryan Chisholm regarding methods for comparing the relative influence of stochastic and deterministic processes </w:t>
      </w:r>
      <w:r w:rsidR="00697AA5">
        <w:t>across a range of cryoconite holes)</w:t>
      </w:r>
    </w:p>
    <w:p w14:paraId="1FA89E31" w14:textId="1EE39EEF" w:rsidR="00E80BB1" w:rsidRDefault="00E80BB1" w:rsidP="00AC69FF">
      <w:r w:rsidRPr="00E80BB1">
        <w:t>Step 1: (This is appropriate if cryoconite holes exhibit biogeographic patterns) Apply Ryan’s model to the data from the literature</w:t>
      </w:r>
      <w:r>
        <w:t xml:space="preserve"> (where sequence and cryoconite hole area/volume are available). Repeat for bacterial and eukaryotic communities.</w:t>
      </w:r>
    </w:p>
    <w:p w14:paraId="4ED7218A" w14:textId="7487B430" w:rsidR="00E80BB1" w:rsidRDefault="00E80BB1" w:rsidP="00AC69FF">
      <w:r>
        <w:t xml:space="preserve">Step 2: Apply Ryan’s model to </w:t>
      </w:r>
      <w:proofErr w:type="spellStart"/>
      <w:r>
        <w:t>Foxfonna</w:t>
      </w:r>
      <w:proofErr w:type="spellEnd"/>
      <w:r>
        <w:t xml:space="preserve"> data. Repeat for domains, active and dormant communities. </w:t>
      </w:r>
    </w:p>
    <w:p w14:paraId="7E65B9A4" w14:textId="79290ABA" w:rsidR="00E80BB1" w:rsidRPr="00E80BB1" w:rsidRDefault="00E80BB1" w:rsidP="00AC69FF">
      <w:r>
        <w:t xml:space="preserve">Step 3: Draw conclusions: if the model fits the data well we find evidence of niche/deterministic mechanisms of community assembly at small spatial scales, and evidence of neutral/stochastic mechanisms of community assembly dominating at larger spatial scales. </w:t>
      </w:r>
    </w:p>
    <w:p w14:paraId="55AD4BD8" w14:textId="77777777" w:rsidR="00AC69FF" w:rsidRDefault="00AC69FF" w:rsidP="00AC69FF"/>
    <w:p w14:paraId="55885CAD" w14:textId="77777777" w:rsidR="00D66A0F" w:rsidRDefault="00AC69FF" w:rsidP="00D66A0F">
      <w:pPr>
        <w:pStyle w:val="Heading2"/>
      </w:pPr>
      <w:bookmarkStart w:id="42" w:name="_Toc58606040"/>
      <w:r w:rsidRPr="00AC69FF">
        <w:rPr>
          <w:b/>
        </w:rPr>
        <w:lastRenderedPageBreak/>
        <w:t>Question</w:t>
      </w:r>
      <w:r w:rsidR="003D16E4">
        <w:rPr>
          <w:b/>
        </w:rPr>
        <w:t xml:space="preserve"> 4</w:t>
      </w:r>
      <w:r w:rsidRPr="00AC69FF">
        <w:rPr>
          <w:b/>
        </w:rPr>
        <w:t>:</w:t>
      </w:r>
      <w:r>
        <w:t xml:space="preserve"> Does the different relative contribution of community assembly mechanisms alter community structure?</w:t>
      </w:r>
      <w:bookmarkEnd w:id="42"/>
      <w:r>
        <w:t xml:space="preserve"> </w:t>
      </w:r>
    </w:p>
    <w:p w14:paraId="34F43590" w14:textId="05E24BF3" w:rsidR="00AC69FF" w:rsidRDefault="00AC69FF" w:rsidP="00AC69FF">
      <w:r>
        <w:t>How does this change between domains, functional groups, active vs total communities, across seasons?</w:t>
      </w:r>
    </w:p>
    <w:p w14:paraId="1C1FB84D" w14:textId="25528F12" w:rsidR="00AC69FF" w:rsidRDefault="00AC69FF" w:rsidP="00AC69FF">
      <w:r w:rsidRPr="00AC69FF">
        <w:rPr>
          <w:b/>
        </w:rPr>
        <w:t>Method:</w:t>
      </w:r>
      <w:r w:rsidR="00697AA5">
        <w:rPr>
          <w:b/>
        </w:rPr>
        <w:t xml:space="preserve"> </w:t>
      </w:r>
      <w:r w:rsidR="00697AA5" w:rsidRPr="00697AA5">
        <w:t xml:space="preserve">I will use </w:t>
      </w:r>
      <w:r w:rsidR="00697AA5">
        <w:t>multivariate</w:t>
      </w:r>
      <w:r w:rsidR="00697AA5" w:rsidRPr="00697AA5">
        <w:t xml:space="preserve"> analyses </w:t>
      </w:r>
      <w:r w:rsidR="00697AA5">
        <w:t xml:space="preserve">(e.g. mantel test, redundancy analysis, canonical correspondence analysis) </w:t>
      </w:r>
      <w:r w:rsidR="00697AA5" w:rsidRPr="00697AA5">
        <w:t>to see to what extent significant differences in community structure are explained by the relative influence of stochastic and deterministic assembly processes, as identified in question 2 and 3.</w:t>
      </w:r>
      <w:r w:rsidR="00697AA5">
        <w:t xml:space="preserve"> I will repeat this process for domains, functional groups, active vs total communities, across seasons. Where available I will repeat the process with data from the literature.</w:t>
      </w:r>
    </w:p>
    <w:p w14:paraId="0C502A67" w14:textId="051EBFBE" w:rsidR="00AC69FF" w:rsidRDefault="00F14D8F" w:rsidP="00AC69FF">
      <w:r w:rsidRPr="00F14D8F">
        <w:t xml:space="preserve">Step 1: </w:t>
      </w:r>
      <w:r>
        <w:t xml:space="preserve">Using the RC, NST and </w:t>
      </w:r>
      <m:oMath>
        <m:r>
          <w:rPr>
            <w:rFonts w:ascii="Cambria Math" w:hAnsi="Cambria Math"/>
          </w:rPr>
          <m:t>β</m:t>
        </m:r>
      </m:oMath>
      <w:r>
        <w:t xml:space="preserve">NTI indices for each dataset, see if there is a correlation between these indices and the community structure (relative abundance of functional groups/relative abundance of bacterial and eukaryotic groups/diversity of communities). </w:t>
      </w:r>
    </w:p>
    <w:p w14:paraId="17B797C7" w14:textId="4F8DE0C1" w:rsidR="00AC69FF" w:rsidRDefault="00AC69FF" w:rsidP="00D66A0F">
      <w:pPr>
        <w:pStyle w:val="Heading2"/>
      </w:pPr>
      <w:bookmarkStart w:id="43" w:name="_Toc58606041"/>
      <w:r w:rsidRPr="00AC69FF">
        <w:rPr>
          <w:b/>
        </w:rPr>
        <w:t>Question</w:t>
      </w:r>
      <w:r w:rsidR="003D16E4">
        <w:rPr>
          <w:b/>
        </w:rPr>
        <w:t xml:space="preserve"> 5</w:t>
      </w:r>
      <w:r w:rsidRPr="00AC69FF">
        <w:rPr>
          <w:b/>
        </w:rPr>
        <w:t>:</w:t>
      </w:r>
      <w:r>
        <w:t xml:space="preserve"> Does differential community structure lead to functional changes within the cryoconite community?</w:t>
      </w:r>
      <w:bookmarkEnd w:id="43"/>
      <w:r>
        <w:t xml:space="preserve"> </w:t>
      </w:r>
    </w:p>
    <w:p w14:paraId="016E54C2" w14:textId="29DF2242" w:rsidR="009F2531" w:rsidRDefault="00AC69FF" w:rsidP="00AC69FF">
      <w:r w:rsidRPr="00AC69FF">
        <w:rPr>
          <w:b/>
        </w:rPr>
        <w:t>Method:</w:t>
      </w:r>
      <w:r w:rsidR="00DC2233">
        <w:rPr>
          <w:b/>
        </w:rPr>
        <w:t xml:space="preserve"> </w:t>
      </w:r>
      <w:r w:rsidR="00DC2233" w:rsidRPr="00DC2233">
        <w:t>I will use multivariate analysis to see to what extent significant differences in photosynthesis and respiration rates are explained by differences in community structure.</w:t>
      </w:r>
      <w:r w:rsidR="00DC2233">
        <w:t xml:space="preserve"> I will also use metabolite fingerprinting by Fourier Transform Infrared spectroscopy and canonical correspondence analysis to assess how metabolite profiles alter with cryoconite community structure. I will repeat this process across seasons.</w:t>
      </w:r>
    </w:p>
    <w:p w14:paraId="7031FC50" w14:textId="73D6DF69" w:rsidR="00391E89" w:rsidRDefault="00391E89" w:rsidP="00AC69FF">
      <w:r>
        <w:t xml:space="preserve">Step 1: Using abundance data from </w:t>
      </w:r>
      <w:proofErr w:type="spellStart"/>
      <w:r>
        <w:t>Foxfonna</w:t>
      </w:r>
      <w:proofErr w:type="spellEnd"/>
      <w:r>
        <w:t xml:space="preserve"> and other glaciers, test structure-function links using correlation analysis (</w:t>
      </w:r>
      <w:proofErr w:type="spellStart"/>
      <w:r>
        <w:t>Spearmans</w:t>
      </w:r>
      <w:proofErr w:type="spellEnd"/>
      <w:r>
        <w:t xml:space="preserve"> or Pearson’s ranks) or canonical correspondence analysis</w:t>
      </w:r>
      <w:r w:rsidR="000D13C5">
        <w:t xml:space="preserve"> along with. Processes to explore: carbon and nitrogen cycling. </w:t>
      </w:r>
    </w:p>
    <w:p w14:paraId="1545BD1A" w14:textId="1FB0663A" w:rsidR="006316BF" w:rsidRDefault="006316BF" w:rsidP="00AC69FF">
      <w:r>
        <w:t xml:space="preserve">Can I use the RC, NST and </w:t>
      </w:r>
      <m:oMath>
        <m:r>
          <w:rPr>
            <w:rFonts w:ascii="Cambria Math" w:hAnsi="Cambria Math"/>
          </w:rPr>
          <m:t>β</m:t>
        </m:r>
      </m:oMath>
      <w:r>
        <w:t>NTI indices with carbon and nitrogen cycling data in correlation analysis or canonical correspondence analysis to see if community assembly mechanisms influence processes?</w:t>
      </w:r>
    </w:p>
    <w:p w14:paraId="4D4E722C" w14:textId="4BCA33A4" w:rsidR="00A611E1" w:rsidRDefault="00A611E1" w:rsidP="00AC69FF">
      <w:r w:rsidRPr="00A611E1">
        <w:t>Integrating community assembly and biodiversity to better understand ecosystem function: the Community Assembly and the Functioning of Ecosystems (CAFE) approach</w:t>
      </w:r>
      <w:r>
        <w:t xml:space="preserve"> </w:t>
      </w:r>
      <w:r>
        <w:fldChar w:fldCharType="begin" w:fldLock="1"/>
      </w:r>
      <w:r w:rsidR="00AB32C1">
        <w:instrText>ADDIN CSL_CITATION {"citationItems":[{"id":"ITEM-1","itemData":{"DOI":"10.1111/ele.12895","ISSN":"14610248","PMID":"29280282","abstract":"The research of a generation of ecologists was catalysed by the recognition that the number and identity of species in communities influences the functioning of ecosystems. The relationship between biodiversity and ecosystem functioning (BEF) is most often examined by controlling species richness and randomising community composition. In natural systems, biodiversity changes are often part of a bigger community assembly dynamic. Therefore, focusing on community assembly and the functioning of ecosystems (CAFE), by integrating both species richness and composition through species gains, losses and changes in abundance, will better reveal how community changes affect ecosystem function. We synthesise the BEF and CAFE perspectives using an ecological application of the Price equation, which partitions the contributions of richness and composition to function. Using empirical examples, we show how the CAFE approach reveals important contributions of composition to function. These examples show how changes in species richness and composition driven by environmental perturbations can work in concert or antagonistically to influence ecosystem function. Considering how communities change in an integrative fashion, rather than focusing on one axis of community structure at a time, will improve our ability to anticipate and predict changes in ecosystem function.","author":[{"dropping-particle":"","family":"Bannar-Martin","given":"Katherine H.","non-dropping-particle":"","parse-names":false,"suffix":""},{"dropping-particle":"","family":"Kremer","given":"Colin T.","non-dropping-particle":"","parse-names":false,"suffix":""},{"dropping-particle":"","family":"Ernest","given":"S. K.Morgan","non-dropping-particle":"","parse-names":false,"suffix":""},{"dropping-particle":"","family":"Leibold","given":"Mathew A.","non-dropping-particle":"","parse-names":false,"suffix":""},{"dropping-particle":"","family":"Auge","given":"Harald","non-dropping-particle":"","parse-names":false,"suffix":""},{"dropping-particle":"","family":"Chase","given":"Jonathan","non-dropping-particle":"","parse-names":false,"suffix":""},{"dropping-particle":"","family":"Declerck","given":"Steven A.J.","non-dropping-particle":"","parse-names":false,"suffix":""},{"dropping-particle":"","family":"Eisenhauer","given":"Nico","non-dropping-particle":"","parse-names":false,"suffix":""},{"dropping-particle":"","family":"Harpole","given":"Stanley","non-dropping-particle":"","parse-names":false,"suffix":""},{"dropping-particle":"","family":"Hillebrand","given":"Helmut","non-dropping-particle":"","parse-names":false,"suffix":""},{"dropping-particle":"","family":"Isbell","given":"Forest","non-dropping-particle":"","parse-names":false,"suffix":""},{"dropping-particle":"","family":"Koffel","given":"Thomas","non-dropping-particle":"","parse-names":false,"suffix":""},{"dropping-particle":"","family":"Larsen","given":"Stefano","non-dropping-particle":"","parse-names":false,"suffix":""},{"dropping-particle":"","family":"Narwani","given":"Anita","non-dropping-particle":"","parse-names":false,"suffix":""},{"dropping-particle":"","family":"Petermann","given":"Jana S.","non-dropping-particle":"","parse-names":false,"suffix":""},{"dropping-particle":"","family":"Roscher","given":"Christiane","non-dropping-particle":"","parse-names":false,"suffix":""},{"dropping-particle":"","family":"Cabral","given":"Juliano Sarmento","non-dropping-particle":"","parse-names":false,"suffix":""},{"dropping-particle":"","family":"Supp","given":"Sarah R.","non-dropping-particle":"","parse-names":false,"suffix":""}],"container-title":"Ecology Letters","id":"ITEM-1","issue":"2","issued":{"date-parts":[["2018"]]},"page":"167-180","title":"Integrating community assembly and biodiversity to better understand ecosystem function: the Community Assembly and the Functioning of Ecosystems (CAFE) approach","type":"article-journal","volume":"21"},"uris":["http://www.mendeley.com/documents/?uuid=996d386c-20d6-4265-a756-b4031ddf5337"]}],"mendeley":{"formattedCitation":"(Bannar-Martin et al., 2018)","plainTextFormattedCitation":"(Bannar-Martin et al., 2018)","previouslyFormattedCitation":"(Bannar-Martin et al., 2018)"},"properties":{"noteIndex":0},"schema":"https://github.com/citation-style-language/schema/raw/master/csl-citation.json"}</w:instrText>
      </w:r>
      <w:r>
        <w:fldChar w:fldCharType="separate"/>
      </w:r>
      <w:r w:rsidRPr="00A611E1">
        <w:rPr>
          <w:noProof/>
        </w:rPr>
        <w:t>(Bannar-Martin et al., 2018)</w:t>
      </w:r>
      <w:r>
        <w:fldChar w:fldCharType="end"/>
      </w:r>
    </w:p>
    <w:p w14:paraId="57C8366A" w14:textId="6000A4B8" w:rsidR="00391E89" w:rsidRDefault="00391E89" w:rsidP="00AC69FF">
      <w:r>
        <w:t>***********************************************************************</w:t>
      </w:r>
    </w:p>
    <w:p w14:paraId="69A50551" w14:textId="629EEB06" w:rsidR="009F2531" w:rsidRDefault="009F2531" w:rsidP="00AC69FF">
      <w:r>
        <w:t xml:space="preserve">I will use the method of ‘Coupled cryoconite ecosystem structure-function relationships are revealed by comparing bacterial communities in alpine and Arctic glaciers’ </w:t>
      </w:r>
      <w:r>
        <w:fldChar w:fldCharType="begin" w:fldLock="1"/>
      </w:r>
      <w:r w:rsidR="006316BF">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9F2531">
        <w:rPr>
          <w:noProof/>
        </w:rPr>
        <w:t>(Edwards et al., 2014)</w:t>
      </w:r>
      <w:r>
        <w:fldChar w:fldCharType="end"/>
      </w:r>
      <w:r>
        <w:t xml:space="preserve"> to compare cryoconite communities across different glacial systems (including </w:t>
      </w:r>
      <w:proofErr w:type="spellStart"/>
      <w:r>
        <w:t>Foxfonna</w:t>
      </w:r>
      <w:proofErr w:type="spellEnd"/>
      <w:r>
        <w:t xml:space="preserve">) and explore how they relate to cryoconite community functionality. </w:t>
      </w:r>
    </w:p>
    <w:p w14:paraId="3390F52C" w14:textId="57F15FF4" w:rsidR="009F2531" w:rsidRPr="00942082" w:rsidRDefault="009F2531" w:rsidP="00AC69FF">
      <w:r w:rsidRPr="00942082">
        <w:t xml:space="preserve">Step 1: </w:t>
      </w:r>
      <w:r w:rsidR="00942082">
        <w:t xml:space="preserve">With </w:t>
      </w:r>
      <w:proofErr w:type="spellStart"/>
      <w:r w:rsidR="00942082">
        <w:t>Foxfonna</w:t>
      </w:r>
      <w:proofErr w:type="spellEnd"/>
      <w:r w:rsidR="00942082">
        <w:t xml:space="preserve"> samples (and other cryoconite samples that might be available?)</w:t>
      </w:r>
      <w:r w:rsidRPr="00942082">
        <w:t xml:space="preserve"> bacterial and eukaryotic community structure using T-RFLP analysis and barcoded amplicon 454 – pyrosequencing</w:t>
      </w:r>
    </w:p>
    <w:p w14:paraId="5DC18EFB" w14:textId="61FB06E1" w:rsidR="009F2531" w:rsidRDefault="009F2531" w:rsidP="00AC69FF">
      <w:r w:rsidRPr="00942082">
        <w:t xml:space="preserve">Step 2: </w:t>
      </w:r>
      <w:r w:rsidR="00942082" w:rsidRPr="00942082">
        <w:t xml:space="preserve">Relate community structure data to biochemical properties of organic matter as assessed by metabolite fingerprinting using FT-IR spectroscopy. </w:t>
      </w:r>
    </w:p>
    <w:p w14:paraId="4FA61D5E" w14:textId="7A266EB7" w:rsidR="00AC69FF" w:rsidRDefault="00942082" w:rsidP="00AC69FF">
      <w:r>
        <w:t xml:space="preserve">Does metabolic fingerprinting tell us in what ways a community is metabolising? </w:t>
      </w:r>
    </w:p>
    <w:p w14:paraId="79466530" w14:textId="04B3AD09" w:rsidR="00AC69FF" w:rsidRDefault="00AC69FF" w:rsidP="00D66A0F">
      <w:pPr>
        <w:pStyle w:val="Heading2"/>
      </w:pPr>
      <w:bookmarkStart w:id="44" w:name="_Toc58606042"/>
      <w:r w:rsidRPr="00AC69FF">
        <w:rPr>
          <w:b/>
        </w:rPr>
        <w:lastRenderedPageBreak/>
        <w:t>Question</w:t>
      </w:r>
      <w:r w:rsidR="003D16E4">
        <w:rPr>
          <w:b/>
        </w:rPr>
        <w:t xml:space="preserve"> 6</w:t>
      </w:r>
      <w:r w:rsidRPr="00AC69FF">
        <w:rPr>
          <w:b/>
        </w:rPr>
        <w:t>:</w:t>
      </w:r>
      <w:r>
        <w:t xml:space="preserve"> How does the proportion dormant indivi</w:t>
      </w:r>
      <w:bookmarkStart w:id="45" w:name="_GoBack"/>
      <w:bookmarkEnd w:id="45"/>
      <w:r>
        <w:t>duals within a community change with increasing temperature? What is the resulting impact on biogeochemical processes?</w:t>
      </w:r>
      <w:bookmarkEnd w:id="44"/>
    </w:p>
    <w:p w14:paraId="2BDF18FD" w14:textId="547A165F" w:rsidR="00AC69FF" w:rsidRDefault="00AC69FF" w:rsidP="00AC69FF">
      <w:r w:rsidRPr="00AC69FF">
        <w:rPr>
          <w:b/>
        </w:rPr>
        <w:t>Method:</w:t>
      </w:r>
      <w:r w:rsidR="00637D30">
        <w:rPr>
          <w:b/>
        </w:rPr>
        <w:t xml:space="preserve"> </w:t>
      </w:r>
      <w:r w:rsidR="00637D30" w:rsidRPr="00637D30">
        <w:t xml:space="preserve">Laboratory experiment incubating samples taken from cryoconite holes. The samples will be subject to different temperature treatments according to climate change </w:t>
      </w:r>
      <w:r w:rsidR="00637D30">
        <w:t>scenarios</w:t>
      </w:r>
      <w:r w:rsidR="00077E9D">
        <w:t xml:space="preserve"> (5-10 degrees warming? Towards a rain dominated Arctic </w:t>
      </w:r>
      <w:r w:rsidR="00077E9D">
        <w:fldChar w:fldCharType="begin" w:fldLock="1"/>
      </w:r>
      <w:r w:rsidR="00223805">
        <w:instrText>ADDIN CSL_CITATION {"citationItems":[{"id":"ITEM-1","itemData":{"DOI":"10.1038/nclimate3240","ISSN":"17586798","abstract":"Climate models project a strong increase in Arctic precipitation over the coming century, which has been attributed primarily to enhanced surface evaporation associated with sea-ice retreat. Since the Arctic is still quite cold, especially in winter, it is often (implicitly) assumed that the additional precipitation will fall mostly as snow. However, little is known about future changes in the distributions of rainfall and snowfall in the Arctic. Here we use 37 state-of-the-art climate models in standardized twenty-first-century (2006-2100) simulations to show a decrease in average annual Arctic snowfall (70°-90° N), despite the strong precipitation increase. Rain is projected to become the dominant form of precipitation in the Arctic region (2091-2100), as atmospheric warming causes a greater fraction of snowfall to melt before it reaches the surface, in particular over the North Atlantic and the Barents Sea. The reduction in Arctic snowfall is most pronounced during summer and autumn when temperatures are close to the melting point, but also winter rainfall is found to intensify considerably. Projected (seasonal) trends in rainfall and snowfall will heavily impact Arctic hydrology (for example, river discharge, permafrost melt), climatology (for example, snow, sea-ice albedo and melt) and ecology (for example, water and food availability).","author":[{"dropping-particle":"","family":"Bintanja","given":"R.","non-dropping-particle":"","parse-names":false,"suffix":""},{"dropping-particle":"","family":"Andry","given":"O.","non-dropping-particle":"","parse-names":false,"suffix":""}],"container-title":"Nature Climate Change","id":"ITEM-1","issue":"4","issued":{"date-parts":[["2017"]]},"page":"263-267","title":"Towards a rain-dominated Arctic","type":"article-journal","volume":"7"},"uris":["http://www.mendeley.com/documents/?uuid=5e9e6b19-0d4b-4d80-bfd1-c3de13f60bea"]}],"mendeley":{"formattedCitation":"(Bintanja &amp; Andry, 2017)","plainTextFormattedCitation":"(Bintanja &amp; Andry, 2017)","previouslyFormattedCitation":"(Bintanja &amp; Andry, 2017)"},"properties":{"noteIndex":0},"schema":"https://github.com/citation-style-language/schema/raw/master/csl-citation.json"}</w:instrText>
      </w:r>
      <w:r w:rsidR="00077E9D">
        <w:fldChar w:fldCharType="separate"/>
      </w:r>
      <w:r w:rsidR="00077E9D" w:rsidRPr="00077E9D">
        <w:rPr>
          <w:noProof/>
        </w:rPr>
        <w:t>(Bintanja &amp; Andry, 2017)</w:t>
      </w:r>
      <w:r w:rsidR="00077E9D">
        <w:fldChar w:fldCharType="end"/>
      </w:r>
      <w:r w:rsidR="00077E9D">
        <w:t>)</w:t>
      </w:r>
      <w:r w:rsidR="00637D30" w:rsidRPr="00637D30">
        <w:t>.</w:t>
      </w:r>
      <w:r w:rsidR="00637D30">
        <w:t xml:space="preserve"> Once the microcosm communities have reach equilibrium state, rates of respiration and photosynthesis will be measured, along with quantitative assessment of the any changes to community structure and proportion of dormant individuals. </w:t>
      </w:r>
    </w:p>
    <w:p w14:paraId="0A340687" w14:textId="2CA0A206" w:rsidR="00077E9D" w:rsidRDefault="00223805" w:rsidP="00AC69FF">
      <w:r>
        <w:t xml:space="preserve">Response of Antarctic cryoconite microbial communities to light </w:t>
      </w:r>
      <w:r>
        <w:fldChar w:fldCharType="begin" w:fldLock="1"/>
      </w:r>
      <w:r w:rsidR="00A611E1">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light","type":"article-journal","volume":"92"},"uris":["http://www.mendeley.com/documents/?uuid=d3b31789-9946-4b6d-89f1-09c67dc17f41"]}],"mendeley":{"formattedCitation":"(Bagshaw et al., 2016)","plainTextFormattedCitation":"(Bagshaw et al., 2016)","previouslyFormattedCitation":"(Bagshaw et al., 2016)"},"properties":{"noteIndex":0},"schema":"https://github.com/citation-style-language/schema/raw/master/csl-citation.json"}</w:instrText>
      </w:r>
      <w:r>
        <w:fldChar w:fldCharType="separate"/>
      </w:r>
      <w:r w:rsidRPr="00223805">
        <w:rPr>
          <w:noProof/>
        </w:rPr>
        <w:t>(Bagshaw et al., 2016)</w:t>
      </w:r>
      <w:r>
        <w:fldChar w:fldCharType="end"/>
      </w:r>
      <w:r>
        <w:t xml:space="preserve"> &lt;&lt;&lt;&lt;&lt;&lt; Previous incubation of cryoconite under different light conditions </w:t>
      </w:r>
    </w:p>
    <w:p w14:paraId="1CA4CF9C" w14:textId="70F15562" w:rsidR="00AC69FF" w:rsidRDefault="00AC69FF" w:rsidP="00D66A0F">
      <w:pPr>
        <w:pStyle w:val="Heading2"/>
      </w:pPr>
      <w:bookmarkStart w:id="46" w:name="_Toc58606043"/>
      <w:r w:rsidRPr="00AC69FF">
        <w:rPr>
          <w:b/>
        </w:rPr>
        <w:t>Question</w:t>
      </w:r>
      <w:r w:rsidR="003D16E4">
        <w:rPr>
          <w:b/>
        </w:rPr>
        <w:t xml:space="preserve"> 7</w:t>
      </w:r>
      <w:r w:rsidRPr="00AC69FF">
        <w:rPr>
          <w:b/>
        </w:rPr>
        <w:t>:</w:t>
      </w:r>
      <w:r>
        <w:t xml:space="preserve"> Can we construct a species interaction network of the cryoconite community, that incorporates dormancy, </w:t>
      </w:r>
      <w:r w:rsidRPr="00916041">
        <w:t>﻿environmental f</w:t>
      </w:r>
      <w:r>
        <w:t>actors and stochastic immigration-extinction events as well as spatial scaling of communities?</w:t>
      </w:r>
      <w:bookmarkEnd w:id="46"/>
    </w:p>
    <w:p w14:paraId="2F1429A0" w14:textId="5BB0FDBE" w:rsidR="00AC69FF" w:rsidRDefault="00AC69FF" w:rsidP="00AC69FF">
      <w:r w:rsidRPr="00AC69FF">
        <w:rPr>
          <w:b/>
        </w:rPr>
        <w:t xml:space="preserve">Method: </w:t>
      </w:r>
      <w:r w:rsidR="00C80174" w:rsidRPr="00996DE5">
        <w:t>I will use the data collected in Questi</w:t>
      </w:r>
      <w:r w:rsidR="004A00D1">
        <w:t>ons 1-6 to create a network</w:t>
      </w:r>
      <w:r w:rsidR="00C80174" w:rsidRPr="00996DE5">
        <w:t xml:space="preserve"> model, that includes </w:t>
      </w:r>
      <w:r w:rsidR="00996DE5" w:rsidRPr="00996DE5">
        <w:t>feeding associations, and non-feeding pathways such as detritus and export out of the cryoconite system.</w:t>
      </w:r>
      <w:r w:rsidR="00996DE5">
        <w:t xml:space="preserve"> The system boundary will be one cryoconite hole. I will then compartmentalize the system into the important major groups (compartments) that will become evident (e.g. primary producers, decomposers and consumers). Information on consumption, productivity, respiration and egestion of the chosen compartments must be measured empirically</w:t>
      </w:r>
      <w:r w:rsidR="00042E61">
        <w:t xml:space="preserve"> (</w:t>
      </w:r>
      <w:r w:rsidR="00996DE5">
        <w:t>Who eats who and by how much?</w:t>
      </w:r>
      <w:r w:rsidR="00042E61">
        <w:t>) Modelling approaches can be used to assign flow values between compartments.</w:t>
      </w:r>
      <w:r w:rsidR="00145BF8">
        <w:t xml:space="preserve"> I will use the data obtained on photosynthesis/respiration rates and cryoconite hole size to develop a spatially explicit network flow model and test the predictions of the model against empirical data.</w:t>
      </w:r>
      <w:r w:rsidR="00FC5E74">
        <w:t xml:space="preserve"> Can </w:t>
      </w:r>
      <w:r w:rsidR="004A00D1">
        <w:t xml:space="preserve">I </w:t>
      </w:r>
      <w:r w:rsidR="00FC5E74">
        <w:t>incorporate environmental factors by reducing or increasing certain flows under certain conditions, and test</w:t>
      </w:r>
      <w:r w:rsidR="004A00D1">
        <w:t>ing this against empirical data?</w:t>
      </w:r>
      <w:r w:rsidR="00FC5E74">
        <w:t xml:space="preserve"> </w:t>
      </w:r>
      <w:r w:rsidR="00344455">
        <w:t>Can incorporate spatial scaling by increasing the size of each compartment, relative to area, which w</w:t>
      </w:r>
      <w:r w:rsidR="004A00D1">
        <w:t>ould in turn increase flow rate?</w:t>
      </w:r>
      <w:r w:rsidR="00344455">
        <w:t xml:space="preserve"> Each compartment will also have a sister ‘dormant’ compartment that can add or detract from the size of the active compartment depending on environmental conditions.  </w:t>
      </w:r>
    </w:p>
    <w:p w14:paraId="5849AE32" w14:textId="22CCDB3E" w:rsidR="00963C89" w:rsidRPr="00AC69FF" w:rsidRDefault="00963C89" w:rsidP="00AC69FF">
      <w:pPr>
        <w:rPr>
          <w:b/>
        </w:rPr>
      </w:pPr>
      <w:r w:rsidRPr="00963C89">
        <w:t xml:space="preserve">Can I use the </w:t>
      </w:r>
      <w:proofErr w:type="spellStart"/>
      <w:r w:rsidRPr="00963C89">
        <w:t>Microlow</w:t>
      </w:r>
      <w:proofErr w:type="spellEnd"/>
      <w:r w:rsidRPr="00963C89">
        <w:t xml:space="preserve"> model? Survival of the Fewest </w:t>
      </w:r>
      <w:r>
        <w:rPr>
          <w:b/>
        </w:rPr>
        <w:fldChar w:fldCharType="begin" w:fldLock="1"/>
      </w:r>
      <w:r w:rsidR="009B3AFB">
        <w:rPr>
          <w:b/>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Pr>
          <w:b/>
        </w:rPr>
        <w:fldChar w:fldCharType="separate"/>
      </w:r>
      <w:r w:rsidRPr="00963C89">
        <w:rPr>
          <w:noProof/>
        </w:rPr>
        <w:t>(Bradley, Amend, &amp; LaRowe, 2019)</w:t>
      </w:r>
      <w:r>
        <w:rPr>
          <w:b/>
        </w:rPr>
        <w:fldChar w:fldCharType="end"/>
      </w:r>
    </w:p>
    <w:p w14:paraId="643ADF0E" w14:textId="464E86ED" w:rsidR="00AC69FF" w:rsidRDefault="00AB32C1" w:rsidP="006024CB">
      <w:r>
        <w:t xml:space="preserve">A Network Perspective for Community Assembly </w:t>
      </w:r>
      <w:r>
        <w:fldChar w:fldCharType="begin" w:fldLock="1"/>
      </w:r>
      <w:r w:rsidR="0048344C">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fldChar w:fldCharType="separate"/>
      </w:r>
      <w:r w:rsidRPr="00AB32C1">
        <w:rPr>
          <w:noProof/>
        </w:rPr>
        <w:t>(Ponisio et al., 2019)</w:t>
      </w:r>
      <w:r>
        <w:fldChar w:fldCharType="end"/>
      </w:r>
      <w:r>
        <w:t xml:space="preserve"> &lt;&lt;&lt;&lt; check this out</w:t>
      </w:r>
    </w:p>
    <w:p w14:paraId="267B756C" w14:textId="7C7981F9" w:rsidR="0048344C" w:rsidRDefault="00AB32C1" w:rsidP="006024CB">
      <w:r w:rsidRPr="00AB32C1">
        <w:t xml:space="preserve">﻿Spatially Explicit, Regional-Scale Simulation of Lake Carbon Fluxes </w:t>
      </w:r>
      <w:r w:rsidR="0048344C">
        <w:t xml:space="preserve"> </w:t>
      </w:r>
      <w:r w:rsidR="0048344C">
        <w:fldChar w:fldCharType="begin" w:fldLock="1"/>
      </w:r>
      <w:r w:rsidR="00963C89">
        <w:instrText>ADDIN CSL_CITATION {"citationItems":[{"id":"ITEM-1","itemData":{"DOI":"10.1002/2017GB005843","ISSN":"19449224","abstract":"Lakes are areas of intense biogeochemical processing in the landscape, contributing significantly to the global carbon cycle despite their small areal coverage. However, current large-scale estimates of lake biogeochemical fluxes are all generated by multiplying a mean observed areal rate by regional or global lake surface area, which ignores important heterogeneous spatial and temporal processes that regulate lake carbon cycling. We have developed a process-based model that integrates core scientific knowledge in hydrology, biogeochemistry, and ecology that is specifically designed to be applied over large geographic regions to hindcast or forecast regional lake carbon fluxes. We used our model to simulate daily carbon fluxes and pools for 3,675 lakes in the Northern Highlands Lake District from 1980–2010 and produced spatial and seasonal patterns consistent with observations. Variabilities in lake carbon fluxes were well predicted by relatively simple hydrologic metrics, such as the fraction of hydrologic export as evaporation (FHEE). Overall, lakes with a high FHEE processed a greater percentage of carbon inputs in the simulations than lakes with a low FHEE, but low-FHEE lakes ultimately processed more total carbon because of greater carbon inputs. Large lakes with low FHEE and high external loading of dissolved inorganic carbon contributed most to total CO2 emissions for the Northern Highlands Lake District, and our model estimated that 78% of total CO2 emissions from lakes to the atmosphere originated from external loads of dissolved inorganic carbon. By better characterizing the unique biogeochemical processes for each individual lake, regional estimates of carbon fluxes are more accurately determined.","author":[{"dropping-particle":"","family":"Zwart","given":"J. A.","non-dropping-particle":"","parse-names":false,"suffix":""},{"dropping-particle":"","family":"Hanson","given":"Z. J.","non-dropping-particle":"","parse-names":false,"suffix":""},{"dropping-particle":"","family":"Vanderwall","given":"J.","non-dropping-particle":"","parse-names":false,"suffix":""},{"dropping-particle":"","family":"Bolster","given":"D.","non-dropping-particle":"","parse-names":false,"suffix":""},{"dropping-particle":"","family":"Hamlet","given":"A.","non-dropping-particle":"","parse-names":false,"suffix":""},{"dropping-particle":"","family":"Jones","given":"S. E.","non-dropping-particle":"","parse-names":false,"suffix":""}],"container-title":"Global Biogeochemical Cycles","id":"ITEM-1","issue":"9","issued":{"date-parts":[["2018"]]},"page":"1276-1293","title":"Spatially Explicit, Regional-Scale Simulation of Lake Carbon Fluxes","type":"article-journal","volume":"32"},"uris":["http://www.mendeley.com/documents/?uuid=84ac549a-6272-4721-82ef-d12f48c9e095"]}],"mendeley":{"formattedCitation":"(Zwart et al., 2018)","plainTextFormattedCitation":"(Zwart et al., 2018)","previouslyFormattedCitation":"(Zwart et al., 2018)"},"properties":{"noteIndex":0},"schema":"https://github.com/citation-style-language/schema/raw/master/csl-citation.json"}</w:instrText>
      </w:r>
      <w:r w:rsidR="0048344C">
        <w:fldChar w:fldCharType="separate"/>
      </w:r>
      <w:r w:rsidR="0048344C" w:rsidRPr="0048344C">
        <w:rPr>
          <w:noProof/>
        </w:rPr>
        <w:t>(Zwart et al., 2018)</w:t>
      </w:r>
      <w:r w:rsidR="0048344C">
        <w:fldChar w:fldCharType="end"/>
      </w:r>
    </w:p>
    <w:p w14:paraId="393FA1C7" w14:textId="5124092C" w:rsidR="00963C89" w:rsidRDefault="00963C89" w:rsidP="006024CB">
      <w:r w:rsidRPr="00963C89">
        <w:t>Incorporating dormancy in dynamic microbial community models</w:t>
      </w:r>
      <w:r>
        <w:t xml:space="preserve"> </w:t>
      </w:r>
      <w:r>
        <w:fldChar w:fldCharType="begin" w:fldLock="1"/>
      </w:r>
      <w:r>
        <w:instrText>ADDIN CSL_CITATION {"citationItems":[{"id":"ITEM-1","itemData":{"DOI":"10.1016/j.ecolmodel.2011.07.006","ISSN":"03043800","abstract":"Biogeochemical activity in natural and engineered systems depends on the abundances, functional capabilities and physiological states of the indigenous microorganisms. Typically, only a fraction of the microbial population is active at any given time. As environmental conditions change, previously active microorganisms may switch to an inactive or dormant state, while dormant ones may become active. Here, we present an extended modeling concept for the growth and decay of microorganisms that explicitly accounts for their ability to switch between active and dormant states. The equations describing the switching between physiological states are implemented into a biogeochemical reaction simulator. The model was used to reproduce published data from two laboratory experiments in which microorganisms were subjected to intermittent substrate supply or reactivated after a prolonged period of starvation. Parameter values obtained from the simulation of these experiments were used for subsequent sensitivity analyses and for the simulation of hypothetical scenarios. Results for hypothetical microbial communities consisting of two competing species exposed to periodic feeding imply that, under certain conditions, an effective dormancy-reactivation strategy may have a competitive advantage over a fast growth strategy. That is, organisms that can switch rapidly in response to fluctuations in external conditions may outcompete fast-growing organisms. Furthermore, certain combinations of growth and dormancy strategies may lead to the long-term coexistence of the two competing species. Overall, the simulated population dynamics show that dormancy is an important feature of microbial communities, which can lead to complex responses to environmental fluctuations. © 2011 Elsevier B.V.","author":[{"dropping-particle":"","family":"Stolpovsky","given":"Konstantin","non-dropping-particle":"","parse-names":false,"suffix":""},{"dropping-particle":"","family":"Martinez-Lavanchy","given":"Paula","non-dropping-particle":"","parse-names":false,"suffix":""},{"dropping-particle":"","family":"Heipieper","given":"Hermann J.","non-dropping-particle":"","parse-names":false,"suffix":""},{"dropping-particle":"","family":"Cappellen","given":"Philippe","non-dropping-particle":"Van","parse-names":false,"suffix":""},{"dropping-particle":"","family":"Thullner","given":"Martin","non-dropping-particle":"","parse-names":false,"suffix":""}],"container-title":"Ecological Modelling","id":"ITEM-1","issue":"17","issued":{"date-parts":[["2011"]]},"page":"3092-3102","publisher":"Elsevier B.V.","title":"Incorporating dormancy in dynamic microbial community models","type":"article-journal","volume":"222"},"uris":["http://www.mendeley.com/documents/?uuid=846d35d4-6b64-4378-9772-4ba5efb70188"]}],"mendeley":{"formattedCitation":"(Stolpovsky, Martinez-Lavanchy, Heipieper, Van Cappellen, &amp; Thullner, 2011)","plainTextFormattedCitation":"(Stolpovsky, Martinez-Lavanchy, Heipieper, Van Cappellen, &amp; Thullner, 2011)","previouslyFormattedCitation":"(Stolpovsky, Martinez-Lavanchy, Heipieper, Van Cappellen, &amp; Thullner, 2011)"},"properties":{"noteIndex":0},"schema":"https://github.com/citation-style-language/schema/raw/master/csl-citation.json"}</w:instrText>
      </w:r>
      <w:r>
        <w:fldChar w:fldCharType="separate"/>
      </w:r>
      <w:r w:rsidRPr="00963C89">
        <w:rPr>
          <w:noProof/>
        </w:rPr>
        <w:t>(Stolpovsky, Martinez-Lavanchy, Heipieper, Van Cappellen, &amp; Thullner, 2011)</w:t>
      </w:r>
      <w:r>
        <w:fldChar w:fldCharType="end"/>
      </w:r>
    </w:p>
    <w:p w14:paraId="6E80BFAA" w14:textId="6F7ADEA6" w:rsidR="00A57BC7" w:rsidRDefault="009B3AFB" w:rsidP="006024CB">
      <w:r>
        <w:t>Microbial dormancy and its impacts on Arctic terrestrial ecosystem carbon budget</w:t>
      </w:r>
      <w:r>
        <w:t xml:space="preserve"> </w:t>
      </w:r>
      <w:r>
        <w:fldChar w:fldCharType="begin" w:fldLock="1"/>
      </w:r>
      <w: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Zha","given":"Junrong","non-dropping-particle":"","parse-names":false,"suffix":""},{"dropping-particle":"","family":"Zhuang","given":"Qianlai","non-dropping-particle":"","parse-names":false,"suffix":""}],"container-title":"Biogeoscience","id":"ITEM-1","issued":{"date-parts":[["2019"]]},"title":"Microbial dormancy and its impacts on Arctic terrestrial ecosystem carbon budget","type":"article-journal"},"uris":["http://www.mendeley.com/documents/?uuid=98a78f11-bed6-4eba-af75-3d04deb251a1"]}],"mendeley":{"formattedCitation":"(Zha &amp; Zhuang, 2019)","plainTextFormattedCitation":"(Zha &amp; Zhuang, 2019)"},"properties":{"noteIndex":0},"schema":"https://github.com/citation-style-language/schema/raw/master/csl-citation.json"}</w:instrText>
      </w:r>
      <w:r>
        <w:fldChar w:fldCharType="separate"/>
      </w:r>
      <w:r w:rsidRPr="009B3AFB">
        <w:rPr>
          <w:noProof/>
        </w:rPr>
        <w:t>(Zha &amp; Zhuang, 2019)</w:t>
      </w:r>
      <w:r>
        <w:fldChar w:fldCharType="end"/>
      </w:r>
    </w:p>
    <w:p w14:paraId="57BC7592" w14:textId="73F75833" w:rsidR="00C76172" w:rsidRDefault="00C76172" w:rsidP="006024CB">
      <w:r w:rsidRPr="005F5C6D">
        <w:t xml:space="preserve">Ecological network analysis: network construction </w:t>
      </w:r>
      <w:r w:rsidRPr="005F5C6D">
        <w:fldChar w:fldCharType="begin" w:fldLock="1"/>
      </w:r>
      <w:r w:rsidRPr="005F5C6D">
        <w:instrText>ADDIN CSL_CITATION {"citationItems":[{"id":"ITEM-1","itemData":{"DOI":"10.1016/j.ecolmodel.2007.04.029","ISSN":"03043800","abstract":"Ecological network analysis (ENA) is a systems-oriented methodology to analyze within system interactions used to identify holistic properties that are otherwise not evident from the direct observations. Like any analysis technique, the accuracy of the results is as good as the data available, but the additional challenge is that the data need to characterize an entire ecosystem's flows and storages. Thus, data requirements are substantial. As a result, there have, in fact, not been a significant number of network models constructed and development of the network analysis methodology has progressed largely within the purview of a few established models. In this paper, we outline the steps for one approach to construct network models. Lastly, we also provide a brief overview of the algorithmic methods used to construct food web typologies when empirical data are not available. It is our aim that such an effort aids other researchers to consider the construction of such models as well as encourages further refinement of this procedure. © 2007 Elsevier B.V. All rights reserved.","author":[{"dropping-particle":"","family":"Fath","given":"Brian D.","non-dropping-particle":"","parse-names":false,"suffix":""},{"dropping-particle":"","family":"Scharler","given":"Ursula M.","non-dropping-particle":"","parse-names":false,"suffix":""},{"dropping-particle":"","family":"Ulanowicz","given":"Robert E.","non-dropping-particle":"","parse-names":false,"suffix":""},{"dropping-particle":"","family":"Hannon","given":"Bruce","non-dropping-particle":"","parse-names":false,"suffix":""}],"container-title":"Ecological Modelling","id":"ITEM-1","issue":"1","issued":{"date-parts":[["2007"]]},"page":"49-55","title":"Ecological network analysis: network construction","type":"article-journal","volume":"208"},"uris":["http://www.mendeley.com/documents/?uuid=d2b99510-a5e4-415b-b2ed-a40b9e2ccdf6"]}],"mendeley":{"formattedCitation":"(Fath, Scharler, Ulanowicz, &amp; Hannon, 2007)","plainTextFormattedCitation":"(Fath, Scharler, Ulanowicz, &amp; Hannon, 2007)"},"properties":{"noteIndex":0},"schema":"https://github.com/citation-style-language/schema/raw/master/csl-citation.json"}</w:instrText>
      </w:r>
      <w:r w:rsidRPr="005F5C6D">
        <w:fldChar w:fldCharType="separate"/>
      </w:r>
      <w:r w:rsidRPr="005F5C6D">
        <w:rPr>
          <w:noProof/>
        </w:rPr>
        <w:t>(Fath, Scharler, Ulanowicz, &amp; Hannon, 2007)</w:t>
      </w:r>
      <w:r w:rsidRPr="005F5C6D">
        <w:fldChar w:fldCharType="end"/>
      </w:r>
    </w:p>
    <w:p w14:paraId="2CC75FC3" w14:textId="14F5A3CE" w:rsidR="00C76172" w:rsidRDefault="00C76172" w:rsidP="006024CB">
      <w:r>
        <w:t xml:space="preserve">Construct a multiple currency network model using a combination of C, N and P. </w:t>
      </w:r>
    </w:p>
    <w:p w14:paraId="7A99C22D" w14:textId="5157A447" w:rsidR="00AC69FF" w:rsidRDefault="00AC69FF" w:rsidP="00D66A0F">
      <w:pPr>
        <w:pStyle w:val="Heading2"/>
      </w:pPr>
      <w:bookmarkStart w:id="47" w:name="_Toc58606044"/>
      <w:r w:rsidRPr="00AC69FF">
        <w:rPr>
          <w:b/>
        </w:rPr>
        <w:lastRenderedPageBreak/>
        <w:t>Question</w:t>
      </w:r>
      <w:r w:rsidR="003D16E4">
        <w:rPr>
          <w:b/>
        </w:rPr>
        <w:t xml:space="preserve"> 8</w:t>
      </w:r>
      <w:r w:rsidRPr="00AC69FF">
        <w:rPr>
          <w:b/>
        </w:rPr>
        <w:t>:</w:t>
      </w:r>
      <w:r>
        <w:t xml:space="preserve"> Can we use the species interaction network to calculate the rates of biogeochemical processes across a glacier?</w:t>
      </w:r>
      <w:bookmarkEnd w:id="47"/>
    </w:p>
    <w:p w14:paraId="56EE6DD5" w14:textId="699B3F95" w:rsidR="00AC69FF" w:rsidRPr="0048344C" w:rsidRDefault="00AC69FF" w:rsidP="00AC69FF">
      <w:pPr>
        <w:rPr>
          <w:b/>
        </w:rPr>
      </w:pPr>
      <w:r w:rsidRPr="00AC69FF">
        <w:rPr>
          <w:b/>
        </w:rPr>
        <w:t>Method:</w:t>
      </w:r>
      <w:r w:rsidR="00145BF8">
        <w:rPr>
          <w:b/>
        </w:rPr>
        <w:t xml:space="preserve"> </w:t>
      </w:r>
      <w:r w:rsidR="00145BF8" w:rsidRPr="00AA7CA2">
        <w:t xml:space="preserve">I will use remote imaging of the glacier surface </w:t>
      </w:r>
      <w:r w:rsidR="00AA7CA2">
        <w:t xml:space="preserve">(UAV?) </w:t>
      </w:r>
      <w:r w:rsidR="00145BF8" w:rsidRPr="00AA7CA2">
        <w:t xml:space="preserve">to calculate the total area covered by cryoconite holes. I will then use the model developed in question 7 to calculate the estimated </w:t>
      </w:r>
      <w:r w:rsidR="00AA7CA2" w:rsidRPr="00AA7CA2">
        <w:t xml:space="preserve">rates of photosynthesis/respiration for the given area of cryoconite holes. </w:t>
      </w:r>
    </w:p>
    <w:p w14:paraId="77BB2511" w14:textId="5C16D16C" w:rsidR="00AC69FF" w:rsidRDefault="00AC69FF" w:rsidP="00D66A0F">
      <w:pPr>
        <w:pStyle w:val="Heading2"/>
      </w:pPr>
      <w:bookmarkStart w:id="48" w:name="_Toc58606045"/>
      <w:r w:rsidRPr="00AC69FF">
        <w:rPr>
          <w:b/>
        </w:rPr>
        <w:t>Question</w:t>
      </w:r>
      <w:r w:rsidR="003D16E4">
        <w:rPr>
          <w:b/>
        </w:rPr>
        <w:t xml:space="preserve"> 9</w:t>
      </w:r>
      <w:r w:rsidRPr="00AC69FF">
        <w:rPr>
          <w:b/>
        </w:rPr>
        <w:t>:</w:t>
      </w:r>
      <w:r>
        <w:t xml:space="preserve"> Can we use the species interaction network to calculate the rates of biogeochemical processes across a glacier under different climate change scenarios?</w:t>
      </w:r>
      <w:bookmarkEnd w:id="48"/>
    </w:p>
    <w:p w14:paraId="18A01AF1" w14:textId="29AE4DF4" w:rsidR="00AC69FF" w:rsidRPr="00C76172" w:rsidRDefault="00AC69FF" w:rsidP="00AC69FF">
      <w:pPr>
        <w:rPr>
          <w:b/>
        </w:rPr>
      </w:pPr>
      <w:r w:rsidRPr="00AC69FF">
        <w:rPr>
          <w:b/>
        </w:rPr>
        <w:t>Method:</w:t>
      </w:r>
      <w:r w:rsidR="00AA7CA2">
        <w:rPr>
          <w:b/>
        </w:rPr>
        <w:t xml:space="preserve"> </w:t>
      </w:r>
      <w:r w:rsidR="00AA7CA2" w:rsidRPr="00AA7CA2">
        <w:t xml:space="preserve">I will first calculate the impact of a selection of climate change scenarios on cryoconite hole development. I will apply my previously developed spatially explicit network model to the various estimates cryoconite coverages under difference climate change scenarios and produce estimations of carbon cycling. </w:t>
      </w:r>
    </w:p>
    <w:p w14:paraId="6189EC98" w14:textId="28137C03" w:rsidR="00AC69FF" w:rsidRDefault="00AC69FF" w:rsidP="00D66A0F">
      <w:pPr>
        <w:pStyle w:val="Heading2"/>
      </w:pPr>
      <w:bookmarkStart w:id="49" w:name="_Toc58606046"/>
      <w:r w:rsidRPr="00AC69FF">
        <w:rPr>
          <w:b/>
        </w:rPr>
        <w:t>Question</w:t>
      </w:r>
      <w:r w:rsidR="003D16E4">
        <w:rPr>
          <w:b/>
        </w:rPr>
        <w:t xml:space="preserve"> 10</w:t>
      </w:r>
      <w:r w:rsidRPr="00AC69FF">
        <w:rPr>
          <w:b/>
        </w:rPr>
        <w:t>:</w:t>
      </w:r>
      <w:r>
        <w:t xml:space="preserve"> Can we use this information to infer microbial community structure and function on icy worlds?</w:t>
      </w:r>
      <w:bookmarkEnd w:id="49"/>
      <w:r>
        <w:t xml:space="preserve"> </w:t>
      </w:r>
    </w:p>
    <w:p w14:paraId="5B69FF66" w14:textId="3136E9F9" w:rsidR="00AC69FF" w:rsidRPr="002443DE" w:rsidRDefault="00AC69FF" w:rsidP="00AC69FF">
      <w:r w:rsidRPr="00AC69FF">
        <w:rPr>
          <w:b/>
        </w:rPr>
        <w:t>Method:</w:t>
      </w:r>
      <w:r w:rsidR="00172AD3">
        <w:rPr>
          <w:b/>
        </w:rPr>
        <w:t xml:space="preserve"> </w:t>
      </w:r>
      <w:r w:rsidR="00172AD3" w:rsidRPr="002443DE">
        <w:t>I will investigate the environmental conditions of Mars’ glaciers, as well as the moons Enceladus and Europa.</w:t>
      </w:r>
      <w:r w:rsidR="002443DE">
        <w:t xml:space="preserve"> I will experimentally replicate some of these conditions and monitor the structural and functional changes to cryoconite communities. I will also use my network model to simulate changes due to temperature and nutrient availability that are reflective of these </w:t>
      </w:r>
      <w:r w:rsidR="004A00D1">
        <w:t>extra-terrestrial</w:t>
      </w:r>
      <w:r w:rsidR="002443DE">
        <w:t xml:space="preserve"> habitats. From this I can draw conclusions about the ability of cryoconite communities to subsist on other planets, and thus the likelihood of finding such communities within our solar system.  </w:t>
      </w:r>
    </w:p>
    <w:p w14:paraId="2CEA9196" w14:textId="3DDFFA23" w:rsidR="003F7686" w:rsidRDefault="003F7686"/>
    <w:p w14:paraId="5810A572" w14:textId="2C4660FF" w:rsidR="003F7686" w:rsidRDefault="003F7686" w:rsidP="008734BE">
      <w:pPr>
        <w:pStyle w:val="Heading2"/>
      </w:pPr>
      <w:bookmarkStart w:id="50" w:name="_Toc58606047"/>
      <w:r>
        <w:t>Bibliography</w:t>
      </w:r>
      <w:bookmarkEnd w:id="50"/>
    </w:p>
    <w:p w14:paraId="019CDF5B" w14:textId="7CDDB8FF" w:rsidR="009B3AFB" w:rsidRPr="009B3AFB" w:rsidRDefault="003F7686" w:rsidP="009B3AFB">
      <w:pPr>
        <w:widowControl w:val="0"/>
        <w:autoSpaceDE w:val="0"/>
        <w:autoSpaceDN w:val="0"/>
        <w:adjustRightInd w:val="0"/>
        <w:spacing w:after="0" w:line="240" w:lineRule="auto"/>
        <w:ind w:left="480" w:hanging="480"/>
        <w:rPr>
          <w:rFonts w:ascii="Calibri" w:hAnsi="Calibri" w:cs="Calibri"/>
          <w:noProof/>
          <w:sz w:val="24"/>
          <w:lang w:val="en-US"/>
        </w:rPr>
      </w:pPr>
      <w:r>
        <w:fldChar w:fldCharType="begin" w:fldLock="1"/>
      </w:r>
      <w:r>
        <w:instrText xml:space="preserve">ADDIN Mendeley Bibliography CSL_BIBLIOGRAPHY </w:instrText>
      </w:r>
      <w:r>
        <w:fldChar w:fldCharType="separate"/>
      </w:r>
      <w:r w:rsidR="009B3AFB" w:rsidRPr="009B3AFB">
        <w:rPr>
          <w:rFonts w:ascii="Calibri" w:hAnsi="Calibri" w:cs="Calibri"/>
          <w:noProof/>
          <w:sz w:val="24"/>
          <w:lang w:val="en-US"/>
        </w:rPr>
        <w:t xml:space="preserve">Anesio, A. M., Lutz, S., Chrismas, N. A. M., &amp; Benning, L. G. (2017, December 1). The microbiome of glaciers and ice sheets. </w:t>
      </w:r>
      <w:r w:rsidR="009B3AFB" w:rsidRPr="009B3AFB">
        <w:rPr>
          <w:rFonts w:ascii="Calibri" w:hAnsi="Calibri" w:cs="Calibri"/>
          <w:i/>
          <w:iCs/>
          <w:noProof/>
          <w:sz w:val="24"/>
          <w:lang w:val="en-US"/>
        </w:rPr>
        <w:t>Npj Biofilms and Microbiomes</w:t>
      </w:r>
      <w:r w:rsidR="009B3AFB" w:rsidRPr="009B3AFB">
        <w:rPr>
          <w:rFonts w:ascii="Calibri" w:hAnsi="Calibri" w:cs="Calibri"/>
          <w:noProof/>
          <w:sz w:val="24"/>
          <w:lang w:val="en-US"/>
        </w:rPr>
        <w:t>, Vol. 3. https://doi.org/10.1038/s41522-017-0019-0</w:t>
      </w:r>
    </w:p>
    <w:p w14:paraId="7A315B0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Baas-Becking, L. G. M. (1934). </w:t>
      </w:r>
      <w:r w:rsidRPr="009B3AFB">
        <w:rPr>
          <w:rFonts w:ascii="Calibri" w:hAnsi="Calibri" w:cs="Calibri"/>
          <w:i/>
          <w:iCs/>
          <w:noProof/>
          <w:sz w:val="24"/>
          <w:lang w:val="en-US"/>
        </w:rPr>
        <w:t>Geobiologie; of inleiding tot de milieukunde</w:t>
      </w:r>
      <w:r w:rsidRPr="009B3AFB">
        <w:rPr>
          <w:rFonts w:ascii="Calibri" w:hAnsi="Calibri" w:cs="Calibri"/>
          <w:noProof/>
          <w:sz w:val="24"/>
          <w:lang w:val="en-US"/>
        </w:rPr>
        <w:t>. WP Van Stockum &amp; Zoon NV.</w:t>
      </w:r>
    </w:p>
    <w:p w14:paraId="527E2BDB"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Bagshaw, E. A. (2018). Biogeochemical cycling in glacial environments. In M. Nuttall, T. R. Christensen, &amp; M. Siegert (Eds.), </w:t>
      </w:r>
      <w:r w:rsidRPr="009B3AFB">
        <w:rPr>
          <w:rFonts w:ascii="Calibri" w:hAnsi="Calibri" w:cs="Calibri"/>
          <w:i/>
          <w:iCs/>
          <w:noProof/>
          <w:sz w:val="24"/>
          <w:lang w:val="en-US"/>
        </w:rPr>
        <w:t>The Routledge Handbook of the Polar Regions</w:t>
      </w:r>
      <w:r w:rsidRPr="009B3AFB">
        <w:rPr>
          <w:rFonts w:ascii="Calibri" w:hAnsi="Calibri" w:cs="Calibri"/>
          <w:noProof/>
          <w:sz w:val="24"/>
          <w:lang w:val="en-US"/>
        </w:rPr>
        <w:t xml:space="preserve"> (pp. 224–236).</w:t>
      </w:r>
    </w:p>
    <w:p w14:paraId="4D654FCB"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Bagshaw, E. A., Tranter, M., Fountain, A. G., Welch, K., Basagic, H. J., &amp; Lyons, W. B. (2013). Do cryoconite holes have the potential to be significant sources of C, N, and P to downstream depauperate ecosystems of Taylor Valley, Antarctica? </w:t>
      </w:r>
      <w:r w:rsidRPr="009B3AFB">
        <w:rPr>
          <w:rFonts w:ascii="Calibri" w:hAnsi="Calibri" w:cs="Calibri"/>
          <w:i/>
          <w:iCs/>
          <w:noProof/>
          <w:sz w:val="24"/>
          <w:lang w:val="en-US"/>
        </w:rPr>
        <w:t>Arctic, Antarctic, and Alpine Research</w:t>
      </w:r>
      <w:r w:rsidRPr="009B3AFB">
        <w:rPr>
          <w:rFonts w:ascii="Calibri" w:hAnsi="Calibri" w:cs="Calibri"/>
          <w:noProof/>
          <w:sz w:val="24"/>
          <w:lang w:val="en-US"/>
        </w:rPr>
        <w:t xml:space="preserve">, </w:t>
      </w:r>
      <w:r w:rsidRPr="009B3AFB">
        <w:rPr>
          <w:rFonts w:ascii="Calibri" w:hAnsi="Calibri" w:cs="Calibri"/>
          <w:i/>
          <w:iCs/>
          <w:noProof/>
          <w:sz w:val="24"/>
          <w:lang w:val="en-US"/>
        </w:rPr>
        <w:t>45</w:t>
      </w:r>
      <w:r w:rsidRPr="009B3AFB">
        <w:rPr>
          <w:rFonts w:ascii="Calibri" w:hAnsi="Calibri" w:cs="Calibri"/>
          <w:noProof/>
          <w:sz w:val="24"/>
          <w:lang w:val="en-US"/>
        </w:rPr>
        <w:t>(4), 440–454. https://doi.org/10.1657/1938-4246-45.4.440</w:t>
      </w:r>
    </w:p>
    <w:p w14:paraId="42B2F36A"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Bagshaw, E. A., Wadham, J. L., Tranter, M., Perkins, R., Morgan, A., Williamson, C. J., … Dubnick, A. (2016). Response of Antarctic cryoconite microbial communities to light. </w:t>
      </w:r>
      <w:r w:rsidRPr="009B3AFB">
        <w:rPr>
          <w:rFonts w:ascii="Calibri" w:hAnsi="Calibri" w:cs="Calibri"/>
          <w:i/>
          <w:iCs/>
          <w:noProof/>
          <w:sz w:val="24"/>
          <w:lang w:val="en-US"/>
        </w:rPr>
        <w:t>FEMS Microbiology Ecology</w:t>
      </w:r>
      <w:r w:rsidRPr="009B3AFB">
        <w:rPr>
          <w:rFonts w:ascii="Calibri" w:hAnsi="Calibri" w:cs="Calibri"/>
          <w:noProof/>
          <w:sz w:val="24"/>
          <w:lang w:val="en-US"/>
        </w:rPr>
        <w:t xml:space="preserve">, </w:t>
      </w:r>
      <w:r w:rsidRPr="009B3AFB">
        <w:rPr>
          <w:rFonts w:ascii="Calibri" w:hAnsi="Calibri" w:cs="Calibri"/>
          <w:i/>
          <w:iCs/>
          <w:noProof/>
          <w:sz w:val="24"/>
          <w:lang w:val="en-US"/>
        </w:rPr>
        <w:t>92</w:t>
      </w:r>
      <w:r w:rsidRPr="009B3AFB">
        <w:rPr>
          <w:rFonts w:ascii="Calibri" w:hAnsi="Calibri" w:cs="Calibri"/>
          <w:noProof/>
          <w:sz w:val="24"/>
          <w:lang w:val="en-US"/>
        </w:rPr>
        <w:t>(6), 1–11. https://doi.org/10.1093/femsec/fiw076</w:t>
      </w:r>
    </w:p>
    <w:p w14:paraId="66310D1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Bannar-Martin, K. H., Kremer, C. T., Ernest, S. K. M., Leibold, M. A., Auge, H., Chase, J., … Supp, S. R. (2018). Integrating community assembly and biodiversity to better </w:t>
      </w:r>
      <w:r w:rsidRPr="009B3AFB">
        <w:rPr>
          <w:rFonts w:ascii="Calibri" w:hAnsi="Calibri" w:cs="Calibri"/>
          <w:noProof/>
          <w:sz w:val="24"/>
          <w:lang w:val="en-US"/>
        </w:rPr>
        <w:lastRenderedPageBreak/>
        <w:t xml:space="preserve">understand ecosystem function: the Community Assembly and the Functioning of Ecosystems (CAFE) approach. </w:t>
      </w:r>
      <w:r w:rsidRPr="009B3AFB">
        <w:rPr>
          <w:rFonts w:ascii="Calibri" w:hAnsi="Calibri" w:cs="Calibri"/>
          <w:i/>
          <w:iCs/>
          <w:noProof/>
          <w:sz w:val="24"/>
          <w:lang w:val="en-US"/>
        </w:rPr>
        <w:t>Ecology Letters</w:t>
      </w:r>
      <w:r w:rsidRPr="009B3AFB">
        <w:rPr>
          <w:rFonts w:ascii="Calibri" w:hAnsi="Calibri" w:cs="Calibri"/>
          <w:noProof/>
          <w:sz w:val="24"/>
          <w:lang w:val="en-US"/>
        </w:rPr>
        <w:t xml:space="preserve">, </w:t>
      </w:r>
      <w:r w:rsidRPr="009B3AFB">
        <w:rPr>
          <w:rFonts w:ascii="Calibri" w:hAnsi="Calibri" w:cs="Calibri"/>
          <w:i/>
          <w:iCs/>
          <w:noProof/>
          <w:sz w:val="24"/>
          <w:lang w:val="en-US"/>
        </w:rPr>
        <w:t>21</w:t>
      </w:r>
      <w:r w:rsidRPr="009B3AFB">
        <w:rPr>
          <w:rFonts w:ascii="Calibri" w:hAnsi="Calibri" w:cs="Calibri"/>
          <w:noProof/>
          <w:sz w:val="24"/>
          <w:lang w:val="en-US"/>
        </w:rPr>
        <w:t>(2), 167–180. https://doi.org/10.1111/ele.12895</w:t>
      </w:r>
    </w:p>
    <w:p w14:paraId="02CFEE3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Bell, T., Ager, D., Song, J. I., Newman, J. A., Thompson, I. P., Lilley, A. K., &amp; Van Der Gast, C. J. (2005). Larger islands house more bacterial taxa. </w:t>
      </w:r>
      <w:r w:rsidRPr="009B3AFB">
        <w:rPr>
          <w:rFonts w:ascii="Calibri" w:hAnsi="Calibri" w:cs="Calibri"/>
          <w:i/>
          <w:iCs/>
          <w:noProof/>
          <w:sz w:val="24"/>
          <w:lang w:val="en-US"/>
        </w:rPr>
        <w:t>Science</w:t>
      </w:r>
      <w:r w:rsidRPr="009B3AFB">
        <w:rPr>
          <w:rFonts w:ascii="Calibri" w:hAnsi="Calibri" w:cs="Calibri"/>
          <w:noProof/>
          <w:sz w:val="24"/>
          <w:lang w:val="en-US"/>
        </w:rPr>
        <w:t xml:space="preserve">, </w:t>
      </w:r>
      <w:r w:rsidRPr="009B3AFB">
        <w:rPr>
          <w:rFonts w:ascii="Calibri" w:hAnsi="Calibri" w:cs="Calibri"/>
          <w:i/>
          <w:iCs/>
          <w:noProof/>
          <w:sz w:val="24"/>
          <w:lang w:val="en-US"/>
        </w:rPr>
        <w:t>308</w:t>
      </w:r>
      <w:r w:rsidRPr="009B3AFB">
        <w:rPr>
          <w:rFonts w:ascii="Calibri" w:hAnsi="Calibri" w:cs="Calibri"/>
          <w:noProof/>
          <w:sz w:val="24"/>
          <w:lang w:val="en-US"/>
        </w:rPr>
        <w:t>(5730), 1884. https://doi.org/10.1126/science.1111318</w:t>
      </w:r>
    </w:p>
    <w:p w14:paraId="7DF1A88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Bintanja, R., &amp; Andry, O. (2017). Towards a rain-dominated Arctic. </w:t>
      </w:r>
      <w:r w:rsidRPr="009B3AFB">
        <w:rPr>
          <w:rFonts w:ascii="Calibri" w:hAnsi="Calibri" w:cs="Calibri"/>
          <w:i/>
          <w:iCs/>
          <w:noProof/>
          <w:sz w:val="24"/>
          <w:lang w:val="en-US"/>
        </w:rPr>
        <w:t>Nature Climate Change</w:t>
      </w:r>
      <w:r w:rsidRPr="009B3AFB">
        <w:rPr>
          <w:rFonts w:ascii="Calibri" w:hAnsi="Calibri" w:cs="Calibri"/>
          <w:noProof/>
          <w:sz w:val="24"/>
          <w:lang w:val="en-US"/>
        </w:rPr>
        <w:t xml:space="preserve">, </w:t>
      </w:r>
      <w:r w:rsidRPr="009B3AFB">
        <w:rPr>
          <w:rFonts w:ascii="Calibri" w:hAnsi="Calibri" w:cs="Calibri"/>
          <w:i/>
          <w:iCs/>
          <w:noProof/>
          <w:sz w:val="24"/>
          <w:lang w:val="en-US"/>
        </w:rPr>
        <w:t>7</w:t>
      </w:r>
      <w:r w:rsidRPr="009B3AFB">
        <w:rPr>
          <w:rFonts w:ascii="Calibri" w:hAnsi="Calibri" w:cs="Calibri"/>
          <w:noProof/>
          <w:sz w:val="24"/>
          <w:lang w:val="en-US"/>
        </w:rPr>
        <w:t>(4), 263–267. https://doi.org/10.1038/nclimate3240</w:t>
      </w:r>
    </w:p>
    <w:p w14:paraId="3ADB8EB3"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Boetius, A., Anesio, A. M., Deming, J. W., Mikucki, J. A., &amp; Rapp, J. Z. (2015, November 1). Microbial ecology of the cryosphere: Sea ice and glacial habitats. </w:t>
      </w:r>
      <w:r w:rsidRPr="009B3AFB">
        <w:rPr>
          <w:rFonts w:ascii="Calibri" w:hAnsi="Calibri" w:cs="Calibri"/>
          <w:i/>
          <w:iCs/>
          <w:noProof/>
          <w:sz w:val="24"/>
          <w:lang w:val="en-US"/>
        </w:rPr>
        <w:t>Nature Reviews Microbiology</w:t>
      </w:r>
      <w:r w:rsidRPr="009B3AFB">
        <w:rPr>
          <w:rFonts w:ascii="Calibri" w:hAnsi="Calibri" w:cs="Calibri"/>
          <w:noProof/>
          <w:sz w:val="24"/>
          <w:lang w:val="en-US"/>
        </w:rPr>
        <w:t>, Vol. 13, pp. 677–690. https://doi.org/10.1038/nrmicro3522</w:t>
      </w:r>
    </w:p>
    <w:p w14:paraId="13FE4E6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Bradley, J. A., Amend, J. P., &amp; LaRowe, D. E. (2019). Survival of the fewest: Microbial dormancy and maintenance in marine sediments through deep time. </w:t>
      </w:r>
      <w:r w:rsidRPr="009B3AFB">
        <w:rPr>
          <w:rFonts w:ascii="Calibri" w:hAnsi="Calibri" w:cs="Calibri"/>
          <w:i/>
          <w:iCs/>
          <w:noProof/>
          <w:sz w:val="24"/>
          <w:lang w:val="en-US"/>
        </w:rPr>
        <w:t>Geobiology</w:t>
      </w:r>
      <w:r w:rsidRPr="009B3AFB">
        <w:rPr>
          <w:rFonts w:ascii="Calibri" w:hAnsi="Calibri" w:cs="Calibri"/>
          <w:noProof/>
          <w:sz w:val="24"/>
          <w:lang w:val="en-US"/>
        </w:rPr>
        <w:t xml:space="preserve">, </w:t>
      </w:r>
      <w:r w:rsidRPr="009B3AFB">
        <w:rPr>
          <w:rFonts w:ascii="Calibri" w:hAnsi="Calibri" w:cs="Calibri"/>
          <w:i/>
          <w:iCs/>
          <w:noProof/>
          <w:sz w:val="24"/>
          <w:lang w:val="en-US"/>
        </w:rPr>
        <w:t>17</w:t>
      </w:r>
      <w:r w:rsidRPr="009B3AFB">
        <w:rPr>
          <w:rFonts w:ascii="Calibri" w:hAnsi="Calibri" w:cs="Calibri"/>
          <w:noProof/>
          <w:sz w:val="24"/>
          <w:lang w:val="en-US"/>
        </w:rPr>
        <w:t>(1), 43–59. https://doi.org/10.1111/gbi.12313</w:t>
      </w:r>
    </w:p>
    <w:p w14:paraId="1E12BC6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Cameron, K. A., Hodson, A. J., &amp; Osborn, A. M. (2012). Carbon and nitrogen biogeochemical cycling potentials of supraglacial cryoconite communities. </w:t>
      </w:r>
      <w:r w:rsidRPr="009B3AFB">
        <w:rPr>
          <w:rFonts w:ascii="Calibri" w:hAnsi="Calibri" w:cs="Calibri"/>
          <w:i/>
          <w:iCs/>
          <w:noProof/>
          <w:sz w:val="24"/>
          <w:lang w:val="en-US"/>
        </w:rPr>
        <w:t>Polar Biology</w:t>
      </w:r>
      <w:r w:rsidRPr="009B3AFB">
        <w:rPr>
          <w:rFonts w:ascii="Calibri" w:hAnsi="Calibri" w:cs="Calibri"/>
          <w:noProof/>
          <w:sz w:val="24"/>
          <w:lang w:val="en-US"/>
        </w:rPr>
        <w:t xml:space="preserve">, </w:t>
      </w:r>
      <w:r w:rsidRPr="009B3AFB">
        <w:rPr>
          <w:rFonts w:ascii="Calibri" w:hAnsi="Calibri" w:cs="Calibri"/>
          <w:i/>
          <w:iCs/>
          <w:noProof/>
          <w:sz w:val="24"/>
          <w:lang w:val="en-US"/>
        </w:rPr>
        <w:t>35</w:t>
      </w:r>
      <w:r w:rsidRPr="009B3AFB">
        <w:rPr>
          <w:rFonts w:ascii="Calibri" w:hAnsi="Calibri" w:cs="Calibri"/>
          <w:noProof/>
          <w:sz w:val="24"/>
          <w:lang w:val="en-US"/>
        </w:rPr>
        <w:t>(9), 1375–1393. https://doi.org/10.1007/s00300-012-1178-3</w:t>
      </w:r>
    </w:p>
    <w:p w14:paraId="4FD2A657"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Chisholm, R. A., Fung, T., Chimalakonda, D., &amp; O’Dwyer, J. P. (2016). Maintenance of biodiversity on islands. </w:t>
      </w:r>
      <w:r w:rsidRPr="009B3AFB">
        <w:rPr>
          <w:rFonts w:ascii="Calibri" w:hAnsi="Calibri" w:cs="Calibri"/>
          <w:i/>
          <w:iCs/>
          <w:noProof/>
          <w:sz w:val="24"/>
          <w:lang w:val="en-US"/>
        </w:rPr>
        <w:t>Proceedings of the Royal Society B: Biological Sciences</w:t>
      </w:r>
      <w:r w:rsidRPr="009B3AFB">
        <w:rPr>
          <w:rFonts w:ascii="Calibri" w:hAnsi="Calibri" w:cs="Calibri"/>
          <w:noProof/>
          <w:sz w:val="24"/>
          <w:lang w:val="en-US"/>
        </w:rPr>
        <w:t xml:space="preserve">, </w:t>
      </w:r>
      <w:r w:rsidRPr="009B3AFB">
        <w:rPr>
          <w:rFonts w:ascii="Calibri" w:hAnsi="Calibri" w:cs="Calibri"/>
          <w:i/>
          <w:iCs/>
          <w:noProof/>
          <w:sz w:val="24"/>
          <w:lang w:val="en-US"/>
        </w:rPr>
        <w:t>283</w:t>
      </w:r>
      <w:r w:rsidRPr="009B3AFB">
        <w:rPr>
          <w:rFonts w:ascii="Calibri" w:hAnsi="Calibri" w:cs="Calibri"/>
          <w:noProof/>
          <w:sz w:val="24"/>
          <w:lang w:val="en-US"/>
        </w:rPr>
        <w:t>(1829). https://doi.org/10.1098/rspb.2016.0102</w:t>
      </w:r>
    </w:p>
    <w:p w14:paraId="5F44392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Choder, M. (1991). A general topoisomerase I-dependent transcriptional repression in the stationary phase in yeast. </w:t>
      </w:r>
      <w:r w:rsidRPr="009B3AFB">
        <w:rPr>
          <w:rFonts w:ascii="Calibri" w:hAnsi="Calibri" w:cs="Calibri"/>
          <w:i/>
          <w:iCs/>
          <w:noProof/>
          <w:sz w:val="24"/>
          <w:lang w:val="en-US"/>
        </w:rPr>
        <w:t>Genes and Development</w:t>
      </w:r>
      <w:r w:rsidRPr="009B3AFB">
        <w:rPr>
          <w:rFonts w:ascii="Calibri" w:hAnsi="Calibri" w:cs="Calibri"/>
          <w:noProof/>
          <w:sz w:val="24"/>
          <w:lang w:val="en-US"/>
        </w:rPr>
        <w:t xml:space="preserve">, </w:t>
      </w:r>
      <w:r w:rsidRPr="009B3AFB">
        <w:rPr>
          <w:rFonts w:ascii="Calibri" w:hAnsi="Calibri" w:cs="Calibri"/>
          <w:i/>
          <w:iCs/>
          <w:noProof/>
          <w:sz w:val="24"/>
          <w:lang w:val="en-US"/>
        </w:rPr>
        <w:t>5</w:t>
      </w:r>
      <w:r w:rsidRPr="009B3AFB">
        <w:rPr>
          <w:rFonts w:ascii="Calibri" w:hAnsi="Calibri" w:cs="Calibri"/>
          <w:noProof/>
          <w:sz w:val="24"/>
          <w:lang w:val="en-US"/>
        </w:rPr>
        <w:t>(12 A), 2315–2326. https://doi.org/10.1101/gad.5.12a.2315</w:t>
      </w:r>
    </w:p>
    <w:p w14:paraId="5751C6C4"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Chrzanowski, T. H., &amp; Šimek, K. (1990). Prey‐size selection by freshwater flagellated protozoa. </w:t>
      </w:r>
      <w:r w:rsidRPr="009B3AFB">
        <w:rPr>
          <w:rFonts w:ascii="Calibri" w:hAnsi="Calibri" w:cs="Calibri"/>
          <w:i/>
          <w:iCs/>
          <w:noProof/>
          <w:sz w:val="24"/>
          <w:lang w:val="en-US"/>
        </w:rPr>
        <w:t>Limnology and Oceanography</w:t>
      </w:r>
      <w:r w:rsidRPr="009B3AFB">
        <w:rPr>
          <w:rFonts w:ascii="Calibri" w:hAnsi="Calibri" w:cs="Calibri"/>
          <w:noProof/>
          <w:sz w:val="24"/>
          <w:lang w:val="en-US"/>
        </w:rPr>
        <w:t xml:space="preserve">, </w:t>
      </w:r>
      <w:r w:rsidRPr="009B3AFB">
        <w:rPr>
          <w:rFonts w:ascii="Calibri" w:hAnsi="Calibri" w:cs="Calibri"/>
          <w:i/>
          <w:iCs/>
          <w:noProof/>
          <w:sz w:val="24"/>
          <w:lang w:val="en-US"/>
        </w:rPr>
        <w:t>35</w:t>
      </w:r>
      <w:r w:rsidRPr="009B3AFB">
        <w:rPr>
          <w:rFonts w:ascii="Calibri" w:hAnsi="Calibri" w:cs="Calibri"/>
          <w:noProof/>
          <w:sz w:val="24"/>
          <w:lang w:val="en-US"/>
        </w:rPr>
        <w:t>(7), 1429–1436. https://doi.org/10.4319/lo.1990.35.7.1429</w:t>
      </w:r>
    </w:p>
    <w:p w14:paraId="7743241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Cole, J. J. (1999). Aquatic microbiology for ecosystem scientists: New and recycled paradigms in ecological microbiology. </w:t>
      </w:r>
      <w:r w:rsidRPr="009B3AFB">
        <w:rPr>
          <w:rFonts w:ascii="Calibri" w:hAnsi="Calibri" w:cs="Calibri"/>
          <w:i/>
          <w:iCs/>
          <w:noProof/>
          <w:sz w:val="24"/>
          <w:lang w:val="en-US"/>
        </w:rPr>
        <w:t>Ecosystems</w:t>
      </w:r>
      <w:r w:rsidRPr="009B3AFB">
        <w:rPr>
          <w:rFonts w:ascii="Calibri" w:hAnsi="Calibri" w:cs="Calibri"/>
          <w:noProof/>
          <w:sz w:val="24"/>
          <w:lang w:val="en-US"/>
        </w:rPr>
        <w:t xml:space="preserve">, </w:t>
      </w:r>
      <w:r w:rsidRPr="009B3AFB">
        <w:rPr>
          <w:rFonts w:ascii="Calibri" w:hAnsi="Calibri" w:cs="Calibri"/>
          <w:i/>
          <w:iCs/>
          <w:noProof/>
          <w:sz w:val="24"/>
          <w:lang w:val="en-US"/>
        </w:rPr>
        <w:t>2</w:t>
      </w:r>
      <w:r w:rsidRPr="009B3AFB">
        <w:rPr>
          <w:rFonts w:ascii="Calibri" w:hAnsi="Calibri" w:cs="Calibri"/>
          <w:noProof/>
          <w:sz w:val="24"/>
          <w:lang w:val="en-US"/>
        </w:rPr>
        <w:t>(3), 215–225. https://doi.org/10.1007/s100219900069</w:t>
      </w:r>
    </w:p>
    <w:p w14:paraId="65CD87B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Coller, H. A., Sang, L., &amp; Roberts, J. M. (2006). A new description of cellular quiescence. </w:t>
      </w:r>
      <w:r w:rsidRPr="009B3AFB">
        <w:rPr>
          <w:rFonts w:ascii="Calibri" w:hAnsi="Calibri" w:cs="Calibri"/>
          <w:i/>
          <w:iCs/>
          <w:noProof/>
          <w:sz w:val="24"/>
          <w:lang w:val="en-US"/>
        </w:rPr>
        <w:t>PLoS Biology</w:t>
      </w:r>
      <w:r w:rsidRPr="009B3AFB">
        <w:rPr>
          <w:rFonts w:ascii="Calibri" w:hAnsi="Calibri" w:cs="Calibri"/>
          <w:noProof/>
          <w:sz w:val="24"/>
          <w:lang w:val="en-US"/>
        </w:rPr>
        <w:t xml:space="preserve">, </w:t>
      </w:r>
      <w:r w:rsidRPr="009B3AFB">
        <w:rPr>
          <w:rFonts w:ascii="Calibri" w:hAnsi="Calibri" w:cs="Calibri"/>
          <w:i/>
          <w:iCs/>
          <w:noProof/>
          <w:sz w:val="24"/>
          <w:lang w:val="en-US"/>
        </w:rPr>
        <w:t>4</w:t>
      </w:r>
      <w:r w:rsidRPr="009B3AFB">
        <w:rPr>
          <w:rFonts w:ascii="Calibri" w:hAnsi="Calibri" w:cs="Calibri"/>
          <w:noProof/>
          <w:sz w:val="24"/>
          <w:lang w:val="en-US"/>
        </w:rPr>
        <w:t>(3), 0329–0349. https://doi.org/10.1371/journal.pbio.0040083</w:t>
      </w:r>
    </w:p>
    <w:p w14:paraId="18DC31DA"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Cook, J., Hodson, A., Telling, J., Anesio, A., Irvine-Fynn, T., &amp; Bellas, C. (2010). The mass-area relationship within cryoconite holes and its implications for primary production. </w:t>
      </w:r>
      <w:r w:rsidRPr="009B3AFB">
        <w:rPr>
          <w:rFonts w:ascii="Calibri" w:hAnsi="Calibri" w:cs="Calibri"/>
          <w:i/>
          <w:iCs/>
          <w:noProof/>
          <w:sz w:val="24"/>
          <w:lang w:val="en-US"/>
        </w:rPr>
        <w:t>Annals of Glaciology</w:t>
      </w:r>
      <w:r w:rsidRPr="009B3AFB">
        <w:rPr>
          <w:rFonts w:ascii="Calibri" w:hAnsi="Calibri" w:cs="Calibri"/>
          <w:noProof/>
          <w:sz w:val="24"/>
          <w:lang w:val="en-US"/>
        </w:rPr>
        <w:t xml:space="preserve">, </w:t>
      </w:r>
      <w:r w:rsidRPr="009B3AFB">
        <w:rPr>
          <w:rFonts w:ascii="Calibri" w:hAnsi="Calibri" w:cs="Calibri"/>
          <w:i/>
          <w:iCs/>
          <w:noProof/>
          <w:sz w:val="24"/>
          <w:lang w:val="en-US"/>
        </w:rPr>
        <w:t>51</w:t>
      </w:r>
      <w:r w:rsidRPr="009B3AFB">
        <w:rPr>
          <w:rFonts w:ascii="Calibri" w:hAnsi="Calibri" w:cs="Calibri"/>
          <w:noProof/>
          <w:sz w:val="24"/>
          <w:lang w:val="en-US"/>
        </w:rPr>
        <w:t>(56), 106–110. https://doi.org/10.3189/172756411795932038</w:t>
      </w:r>
    </w:p>
    <w:p w14:paraId="52713EC7"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Darcy, J. L., Gendron, E. M. S., Sommers, P., Porazinska, D. L., &amp; Schmidt, S. K. (2018). Island biogeography of cryoconite hole bacteria in Antarctica’s Taylor Valley and around the world. </w:t>
      </w:r>
      <w:r w:rsidRPr="009B3AFB">
        <w:rPr>
          <w:rFonts w:ascii="Calibri" w:hAnsi="Calibri" w:cs="Calibri"/>
          <w:i/>
          <w:iCs/>
          <w:noProof/>
          <w:sz w:val="24"/>
          <w:lang w:val="en-US"/>
        </w:rPr>
        <w:t>Frontiers in Ecology and Evolution</w:t>
      </w:r>
      <w:r w:rsidRPr="009B3AFB">
        <w:rPr>
          <w:rFonts w:ascii="Calibri" w:hAnsi="Calibri" w:cs="Calibri"/>
          <w:noProof/>
          <w:sz w:val="24"/>
          <w:lang w:val="en-US"/>
        </w:rPr>
        <w:t xml:space="preserve">, </w:t>
      </w:r>
      <w:r w:rsidRPr="009B3AFB">
        <w:rPr>
          <w:rFonts w:ascii="Calibri" w:hAnsi="Calibri" w:cs="Calibri"/>
          <w:i/>
          <w:iCs/>
          <w:noProof/>
          <w:sz w:val="24"/>
          <w:lang w:val="en-US"/>
        </w:rPr>
        <w:t>6</w:t>
      </w:r>
      <w:r w:rsidRPr="009B3AFB">
        <w:rPr>
          <w:rFonts w:ascii="Calibri" w:hAnsi="Calibri" w:cs="Calibri"/>
          <w:noProof/>
          <w:sz w:val="24"/>
          <w:lang w:val="en-US"/>
        </w:rPr>
        <w:t>(NOV), 1–9. https://doi.org/10.3389/fevo.2018.00180</w:t>
      </w:r>
    </w:p>
    <w:p w14:paraId="5D82362D"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Delmas, E., Besson, M., Brice, M. H., Burkle, L. A., Dalla Riva, G. V., Fortin, M. J., … Poisot, T. (2019). Analysing ecological networks of species interactions. </w:t>
      </w:r>
      <w:r w:rsidRPr="009B3AFB">
        <w:rPr>
          <w:rFonts w:ascii="Calibri" w:hAnsi="Calibri" w:cs="Calibri"/>
          <w:i/>
          <w:iCs/>
          <w:noProof/>
          <w:sz w:val="24"/>
          <w:lang w:val="en-US"/>
        </w:rPr>
        <w:t>Biological Reviews</w:t>
      </w:r>
      <w:r w:rsidRPr="009B3AFB">
        <w:rPr>
          <w:rFonts w:ascii="Calibri" w:hAnsi="Calibri" w:cs="Calibri"/>
          <w:noProof/>
          <w:sz w:val="24"/>
          <w:lang w:val="en-US"/>
        </w:rPr>
        <w:t xml:space="preserve">, </w:t>
      </w:r>
      <w:r w:rsidRPr="009B3AFB">
        <w:rPr>
          <w:rFonts w:ascii="Calibri" w:hAnsi="Calibri" w:cs="Calibri"/>
          <w:i/>
          <w:iCs/>
          <w:noProof/>
          <w:sz w:val="24"/>
          <w:lang w:val="en-US"/>
        </w:rPr>
        <w:t>94</w:t>
      </w:r>
      <w:r w:rsidRPr="009B3AFB">
        <w:rPr>
          <w:rFonts w:ascii="Calibri" w:hAnsi="Calibri" w:cs="Calibri"/>
          <w:noProof/>
          <w:sz w:val="24"/>
          <w:lang w:val="en-US"/>
        </w:rPr>
        <w:t>(1), 16–36. https://doi.org/10.1111/brv.12433</w:t>
      </w:r>
    </w:p>
    <w:p w14:paraId="67654D0A"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9B3AFB">
        <w:rPr>
          <w:rFonts w:ascii="Calibri" w:hAnsi="Calibri" w:cs="Calibri"/>
          <w:i/>
          <w:iCs/>
          <w:noProof/>
          <w:sz w:val="24"/>
          <w:lang w:val="en-US"/>
        </w:rPr>
        <w:t>FEMS Microbiology Ecology</w:t>
      </w:r>
      <w:r w:rsidRPr="009B3AFB">
        <w:rPr>
          <w:rFonts w:ascii="Calibri" w:hAnsi="Calibri" w:cs="Calibri"/>
          <w:noProof/>
          <w:sz w:val="24"/>
          <w:lang w:val="en-US"/>
        </w:rPr>
        <w:t xml:space="preserve">, </w:t>
      </w:r>
      <w:r w:rsidRPr="009B3AFB">
        <w:rPr>
          <w:rFonts w:ascii="Calibri" w:hAnsi="Calibri" w:cs="Calibri"/>
          <w:i/>
          <w:iCs/>
          <w:noProof/>
          <w:sz w:val="24"/>
          <w:lang w:val="en-US"/>
        </w:rPr>
        <w:t>89</w:t>
      </w:r>
      <w:r w:rsidRPr="009B3AFB">
        <w:rPr>
          <w:rFonts w:ascii="Calibri" w:hAnsi="Calibri" w:cs="Calibri"/>
          <w:noProof/>
          <w:sz w:val="24"/>
          <w:lang w:val="en-US"/>
        </w:rPr>
        <w:t>(2), 222–237. https://doi.org/10.1111/1574-6941.12283</w:t>
      </w:r>
    </w:p>
    <w:p w14:paraId="344959AA"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Fuge, E. K., Braun, E. L., &amp; Werner-Washburne, M. (1994). Protein synthesis in long-term stationary-phase cultures of Saccharomyces cerevisiae. </w:t>
      </w:r>
      <w:r w:rsidRPr="009B3AFB">
        <w:rPr>
          <w:rFonts w:ascii="Calibri" w:hAnsi="Calibri" w:cs="Calibri"/>
          <w:i/>
          <w:iCs/>
          <w:noProof/>
          <w:sz w:val="24"/>
          <w:lang w:val="en-US"/>
        </w:rPr>
        <w:t>Journal of Bacteriology</w:t>
      </w:r>
      <w:r w:rsidRPr="009B3AFB">
        <w:rPr>
          <w:rFonts w:ascii="Calibri" w:hAnsi="Calibri" w:cs="Calibri"/>
          <w:noProof/>
          <w:sz w:val="24"/>
          <w:lang w:val="en-US"/>
        </w:rPr>
        <w:t xml:space="preserve">, </w:t>
      </w:r>
      <w:r w:rsidRPr="009B3AFB">
        <w:rPr>
          <w:rFonts w:ascii="Calibri" w:hAnsi="Calibri" w:cs="Calibri"/>
          <w:i/>
          <w:iCs/>
          <w:noProof/>
          <w:sz w:val="24"/>
          <w:lang w:val="en-US"/>
        </w:rPr>
        <w:lastRenderedPageBreak/>
        <w:t>176</w:t>
      </w:r>
      <w:r w:rsidRPr="009B3AFB">
        <w:rPr>
          <w:rFonts w:ascii="Calibri" w:hAnsi="Calibri" w:cs="Calibri"/>
          <w:noProof/>
          <w:sz w:val="24"/>
          <w:lang w:val="en-US"/>
        </w:rPr>
        <w:t>(18), 5802–5813. https://doi.org/10.1128/jb.176.18.5802-5813.1994</w:t>
      </w:r>
    </w:p>
    <w:p w14:paraId="7D01B13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Gerdel, R. . W. ., &amp; Drouet, F. (1960). The Cryoconite of the Thule Area, Greenland. </w:t>
      </w:r>
      <w:r w:rsidRPr="009B3AFB">
        <w:rPr>
          <w:rFonts w:ascii="Calibri" w:hAnsi="Calibri" w:cs="Calibri"/>
          <w:i/>
          <w:iCs/>
          <w:noProof/>
          <w:sz w:val="24"/>
          <w:lang w:val="en-US"/>
        </w:rPr>
        <w:t>Transactions of the American Microscopical Society</w:t>
      </w:r>
      <w:r w:rsidRPr="009B3AFB">
        <w:rPr>
          <w:rFonts w:ascii="Calibri" w:hAnsi="Calibri" w:cs="Calibri"/>
          <w:noProof/>
          <w:sz w:val="24"/>
          <w:lang w:val="en-US"/>
        </w:rPr>
        <w:t xml:space="preserve">, </w:t>
      </w:r>
      <w:r w:rsidRPr="009B3AFB">
        <w:rPr>
          <w:rFonts w:ascii="Calibri" w:hAnsi="Calibri" w:cs="Calibri"/>
          <w:i/>
          <w:iCs/>
          <w:noProof/>
          <w:sz w:val="24"/>
          <w:lang w:val="en-US"/>
        </w:rPr>
        <w:t>79</w:t>
      </w:r>
      <w:r w:rsidRPr="009B3AFB">
        <w:rPr>
          <w:rFonts w:ascii="Calibri" w:hAnsi="Calibri" w:cs="Calibri"/>
          <w:noProof/>
          <w:sz w:val="24"/>
          <w:lang w:val="en-US"/>
        </w:rPr>
        <w:t>(3), 256–272.</w:t>
      </w:r>
    </w:p>
    <w:p w14:paraId="44F8586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Green, J., Holmes, A., Westoby, M., Oliver, I., Briscoe, D., Dangerfield, M., … Beattie, A. (2004). Spatial scaling of microbial diversity. </w:t>
      </w:r>
      <w:r w:rsidRPr="009B3AFB">
        <w:rPr>
          <w:rFonts w:ascii="Calibri" w:hAnsi="Calibri" w:cs="Calibri"/>
          <w:i/>
          <w:iCs/>
          <w:noProof/>
          <w:sz w:val="24"/>
          <w:lang w:val="en-US"/>
        </w:rPr>
        <w:t>Nature</w:t>
      </w:r>
      <w:r w:rsidRPr="009B3AFB">
        <w:rPr>
          <w:rFonts w:ascii="Calibri" w:hAnsi="Calibri" w:cs="Calibri"/>
          <w:noProof/>
          <w:sz w:val="24"/>
          <w:lang w:val="en-US"/>
        </w:rPr>
        <w:t xml:space="preserve">, </w:t>
      </w:r>
      <w:r w:rsidRPr="009B3AFB">
        <w:rPr>
          <w:rFonts w:ascii="Calibri" w:hAnsi="Calibri" w:cs="Calibri"/>
          <w:i/>
          <w:iCs/>
          <w:noProof/>
          <w:sz w:val="24"/>
          <w:lang w:val="en-US"/>
        </w:rPr>
        <w:t>432</w:t>
      </w:r>
      <w:r w:rsidRPr="009B3AFB">
        <w:rPr>
          <w:rFonts w:ascii="Calibri" w:hAnsi="Calibri" w:cs="Calibri"/>
          <w:noProof/>
          <w:sz w:val="24"/>
          <w:lang w:val="en-US"/>
        </w:rPr>
        <w:t>(1999), 747–750.</w:t>
      </w:r>
    </w:p>
    <w:p w14:paraId="0663738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Gribbon, P. W. F. (1979). Cryoconite holes on serminkacsak, West Greenland. </w:t>
      </w:r>
      <w:r w:rsidRPr="009B3AFB">
        <w:rPr>
          <w:rFonts w:ascii="Calibri" w:hAnsi="Calibri" w:cs="Calibri"/>
          <w:i/>
          <w:iCs/>
          <w:noProof/>
          <w:sz w:val="24"/>
          <w:lang w:val="en-US"/>
        </w:rPr>
        <w:t>Journal of Glaxciology</w:t>
      </w:r>
      <w:r w:rsidRPr="009B3AFB">
        <w:rPr>
          <w:rFonts w:ascii="Calibri" w:hAnsi="Calibri" w:cs="Calibri"/>
          <w:noProof/>
          <w:sz w:val="24"/>
          <w:lang w:val="en-US"/>
        </w:rPr>
        <w:t xml:space="preserve">, </w:t>
      </w:r>
      <w:r w:rsidRPr="009B3AFB">
        <w:rPr>
          <w:rFonts w:ascii="Calibri" w:hAnsi="Calibri" w:cs="Calibri"/>
          <w:i/>
          <w:iCs/>
          <w:noProof/>
          <w:sz w:val="24"/>
          <w:lang w:val="en-US"/>
        </w:rPr>
        <w:t>22</w:t>
      </w:r>
      <w:r w:rsidRPr="009B3AFB">
        <w:rPr>
          <w:rFonts w:ascii="Calibri" w:hAnsi="Calibri" w:cs="Calibri"/>
          <w:noProof/>
          <w:sz w:val="24"/>
          <w:lang w:val="en-US"/>
        </w:rPr>
        <w:t>(86), 177–181. https://doi.org/10.1126/science.38.972.236</w:t>
      </w:r>
    </w:p>
    <w:p w14:paraId="3052F5C7"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Holt, R. D. (1997). Community Modules. </w:t>
      </w:r>
      <w:r w:rsidRPr="009B3AFB">
        <w:rPr>
          <w:rFonts w:ascii="Calibri" w:hAnsi="Calibri" w:cs="Calibri"/>
          <w:i/>
          <w:iCs/>
          <w:noProof/>
          <w:sz w:val="24"/>
          <w:lang w:val="en-US"/>
        </w:rPr>
        <w:t>In: Multitrophic Interactions in Terrestrial Ecosystems (Eds A. C. Gange and V. K. Brown)</w:t>
      </w:r>
      <w:r w:rsidRPr="009B3AFB">
        <w:rPr>
          <w:rFonts w:ascii="Calibri" w:hAnsi="Calibri" w:cs="Calibri"/>
          <w:noProof/>
          <w:sz w:val="24"/>
          <w:lang w:val="en-US"/>
        </w:rPr>
        <w:t>, pp. 333–349. https://doi.org/10.1002/9783527678679.dg02168</w:t>
      </w:r>
    </w:p>
    <w:p w14:paraId="79ABABE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Jaroměřská, T., Trubač, J., Zawierucha, K., Vondrovicová, L., Devetter, M., &amp; Žárský, J. (2020). Stable isotopic composition of top consumers in Arctic cryoconite holes: revealing different position in supraglacial trophic network. </w:t>
      </w:r>
      <w:r w:rsidRPr="009B3AFB">
        <w:rPr>
          <w:rFonts w:ascii="Calibri" w:hAnsi="Calibri" w:cs="Calibri"/>
          <w:i/>
          <w:iCs/>
          <w:noProof/>
          <w:sz w:val="24"/>
          <w:lang w:val="en-US"/>
        </w:rPr>
        <w:t>Biogeosciences Discussions</w:t>
      </w:r>
      <w:r w:rsidRPr="009B3AFB">
        <w:rPr>
          <w:rFonts w:ascii="Calibri" w:hAnsi="Calibri" w:cs="Calibri"/>
          <w:noProof/>
          <w:sz w:val="24"/>
          <w:lang w:val="en-US"/>
        </w:rPr>
        <w:t>, (February), 1–18. https://doi.org/10.5194/bg-2020-46</w:t>
      </w:r>
    </w:p>
    <w:p w14:paraId="49EFC51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Kaplan-levy, R. N., Hadas, O., Summers, M. L., &amp; Sukenik, A. (2010). Akinetes: Dormant Cells of Cyanobacteria. </w:t>
      </w:r>
      <w:r w:rsidRPr="009B3AFB">
        <w:rPr>
          <w:rFonts w:ascii="Calibri" w:hAnsi="Calibri" w:cs="Calibri"/>
          <w:i/>
          <w:iCs/>
          <w:noProof/>
          <w:sz w:val="24"/>
          <w:lang w:val="en-US"/>
        </w:rPr>
        <w:t>Topics in Current Genetics</w:t>
      </w:r>
      <w:r w:rsidRPr="009B3AFB">
        <w:rPr>
          <w:rFonts w:ascii="Calibri" w:hAnsi="Calibri" w:cs="Calibri"/>
          <w:noProof/>
          <w:sz w:val="24"/>
          <w:lang w:val="en-US"/>
        </w:rPr>
        <w:t xml:space="preserve">, </w:t>
      </w:r>
      <w:r w:rsidRPr="009B3AFB">
        <w:rPr>
          <w:rFonts w:ascii="Calibri" w:hAnsi="Calibri" w:cs="Calibri"/>
          <w:i/>
          <w:iCs/>
          <w:noProof/>
          <w:sz w:val="24"/>
          <w:lang w:val="en-US"/>
        </w:rPr>
        <w:t>21</w:t>
      </w:r>
      <w:r w:rsidRPr="009B3AFB">
        <w:rPr>
          <w:rFonts w:ascii="Calibri" w:hAnsi="Calibri" w:cs="Calibri"/>
          <w:noProof/>
          <w:sz w:val="24"/>
          <w:lang w:val="en-US"/>
        </w:rPr>
        <w:t>(November), 189–202. https://doi.org/10.1007/978-3-642-12422-8</w:t>
      </w:r>
    </w:p>
    <w:p w14:paraId="0E68F87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Kimura, M. (1979). The Neutral Theory of Molecular Evolution. </w:t>
      </w:r>
      <w:r w:rsidRPr="009B3AFB">
        <w:rPr>
          <w:rFonts w:ascii="Calibri" w:hAnsi="Calibri" w:cs="Calibri"/>
          <w:i/>
          <w:iCs/>
          <w:noProof/>
          <w:sz w:val="24"/>
          <w:lang w:val="en-US"/>
        </w:rPr>
        <w:t>Scientific American</w:t>
      </w:r>
      <w:r w:rsidRPr="009B3AFB">
        <w:rPr>
          <w:rFonts w:ascii="Calibri" w:hAnsi="Calibri" w:cs="Calibri"/>
          <w:noProof/>
          <w:sz w:val="24"/>
          <w:lang w:val="en-US"/>
        </w:rPr>
        <w:t xml:space="preserve">, </w:t>
      </w:r>
      <w:r w:rsidRPr="009B3AFB">
        <w:rPr>
          <w:rFonts w:ascii="Calibri" w:hAnsi="Calibri" w:cs="Calibri"/>
          <w:i/>
          <w:iCs/>
          <w:noProof/>
          <w:sz w:val="24"/>
          <w:lang w:val="en-US"/>
        </w:rPr>
        <w:t>241</w:t>
      </w:r>
      <w:r w:rsidRPr="009B3AFB">
        <w:rPr>
          <w:rFonts w:ascii="Calibri" w:hAnsi="Calibri" w:cs="Calibri"/>
          <w:noProof/>
          <w:sz w:val="24"/>
          <w:lang w:val="en-US"/>
        </w:rPr>
        <w:t>(5), 98–129.</w:t>
      </w:r>
    </w:p>
    <w:p w14:paraId="6C10E9C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Kumar, K., Mella-Herrera, R. A., &amp; Golden, J. W. (2010). Cyanobacterial heterocysts. </w:t>
      </w:r>
      <w:r w:rsidRPr="009B3AFB">
        <w:rPr>
          <w:rFonts w:ascii="Calibri" w:hAnsi="Calibri" w:cs="Calibri"/>
          <w:i/>
          <w:iCs/>
          <w:noProof/>
          <w:sz w:val="24"/>
          <w:lang w:val="en-US"/>
        </w:rPr>
        <w:t>Cold Spring Harbor Perspectives in Biology</w:t>
      </w:r>
      <w:r w:rsidRPr="009B3AFB">
        <w:rPr>
          <w:rFonts w:ascii="Calibri" w:hAnsi="Calibri" w:cs="Calibri"/>
          <w:noProof/>
          <w:sz w:val="24"/>
          <w:lang w:val="en-US"/>
        </w:rPr>
        <w:t xml:space="preserve">, </w:t>
      </w:r>
      <w:r w:rsidRPr="009B3AFB">
        <w:rPr>
          <w:rFonts w:ascii="Calibri" w:hAnsi="Calibri" w:cs="Calibri"/>
          <w:i/>
          <w:iCs/>
          <w:noProof/>
          <w:sz w:val="24"/>
          <w:lang w:val="en-US"/>
        </w:rPr>
        <w:t>2</w:t>
      </w:r>
      <w:r w:rsidRPr="009B3AFB">
        <w:rPr>
          <w:rFonts w:ascii="Calibri" w:hAnsi="Calibri" w:cs="Calibri"/>
          <w:noProof/>
          <w:sz w:val="24"/>
          <w:lang w:val="en-US"/>
        </w:rPr>
        <w:t>(4), 1–19. https://doi.org/10.1101/cshperspect.a000315</w:t>
      </w:r>
    </w:p>
    <w:p w14:paraId="5FE4B355"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Kunkel, T. A. (2004). DNA Replication Fidelity. </w:t>
      </w:r>
      <w:r w:rsidRPr="009B3AFB">
        <w:rPr>
          <w:rFonts w:ascii="Calibri" w:hAnsi="Calibri" w:cs="Calibri"/>
          <w:i/>
          <w:iCs/>
          <w:noProof/>
          <w:sz w:val="24"/>
          <w:lang w:val="en-US"/>
        </w:rPr>
        <w:t>Journal of Biological Chemistry</w:t>
      </w:r>
      <w:r w:rsidRPr="009B3AFB">
        <w:rPr>
          <w:rFonts w:ascii="Calibri" w:hAnsi="Calibri" w:cs="Calibri"/>
          <w:noProof/>
          <w:sz w:val="24"/>
          <w:lang w:val="en-US"/>
        </w:rPr>
        <w:t xml:space="preserve">, </w:t>
      </w:r>
      <w:r w:rsidRPr="009B3AFB">
        <w:rPr>
          <w:rFonts w:ascii="Calibri" w:hAnsi="Calibri" w:cs="Calibri"/>
          <w:i/>
          <w:iCs/>
          <w:noProof/>
          <w:sz w:val="24"/>
          <w:lang w:val="en-US"/>
        </w:rPr>
        <w:t>279</w:t>
      </w:r>
      <w:r w:rsidRPr="009B3AFB">
        <w:rPr>
          <w:rFonts w:ascii="Calibri" w:hAnsi="Calibri" w:cs="Calibri"/>
          <w:noProof/>
          <w:sz w:val="24"/>
          <w:lang w:val="en-US"/>
        </w:rPr>
        <w:t>(17), 16895–16898. https://doi.org/10.1074/jbc.R400006200</w:t>
      </w:r>
    </w:p>
    <w:p w14:paraId="63C0A775"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Le Moigne, A., Bartosiewicz, M., Schaepman-Strub, G., Abiven, S., &amp; Pernthaler, J. (2020). The biogeochemical variability of Arctic thermokarst ponds is reflected by stochastic and niche-driven microbial community assembly processes. </w:t>
      </w:r>
      <w:r w:rsidRPr="009B3AFB">
        <w:rPr>
          <w:rFonts w:ascii="Calibri" w:hAnsi="Calibri" w:cs="Calibri"/>
          <w:i/>
          <w:iCs/>
          <w:noProof/>
          <w:sz w:val="24"/>
          <w:lang w:val="en-US"/>
        </w:rPr>
        <w:t>Environmental Microbiology</w:t>
      </w:r>
      <w:r w:rsidRPr="009B3AFB">
        <w:rPr>
          <w:rFonts w:ascii="Calibri" w:hAnsi="Calibri" w:cs="Calibri"/>
          <w:noProof/>
          <w:sz w:val="24"/>
          <w:lang w:val="en-US"/>
        </w:rPr>
        <w:t xml:space="preserve">, </w:t>
      </w:r>
      <w:r w:rsidRPr="009B3AFB">
        <w:rPr>
          <w:rFonts w:ascii="Calibri" w:hAnsi="Calibri" w:cs="Calibri"/>
          <w:i/>
          <w:iCs/>
          <w:noProof/>
          <w:sz w:val="24"/>
          <w:lang w:val="en-US"/>
        </w:rPr>
        <w:t>22</w:t>
      </w:r>
      <w:r w:rsidRPr="009B3AFB">
        <w:rPr>
          <w:rFonts w:ascii="Calibri" w:hAnsi="Calibri" w:cs="Calibri"/>
          <w:noProof/>
          <w:sz w:val="24"/>
          <w:lang w:val="en-US"/>
        </w:rPr>
        <w:t>, 4847–4862. https://doi.org/10.1111/1462-2920.15260</w:t>
      </w:r>
    </w:p>
    <w:p w14:paraId="70E51CB3"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Liu, Y., Vick-Majors, T. J., Priscu, J. C., Yao, T., Kang, S., Liu, K., … Li, Y. (2017). Biogeography of cryoconite bacterial communities on glaciers of the Tibetan Plateau. </w:t>
      </w:r>
      <w:r w:rsidRPr="009B3AFB">
        <w:rPr>
          <w:rFonts w:ascii="Calibri" w:hAnsi="Calibri" w:cs="Calibri"/>
          <w:i/>
          <w:iCs/>
          <w:noProof/>
          <w:sz w:val="24"/>
          <w:lang w:val="en-US"/>
        </w:rPr>
        <w:t>FEMS Microbiology Ecology</w:t>
      </w:r>
      <w:r w:rsidRPr="009B3AFB">
        <w:rPr>
          <w:rFonts w:ascii="Calibri" w:hAnsi="Calibri" w:cs="Calibri"/>
          <w:noProof/>
          <w:sz w:val="24"/>
          <w:lang w:val="en-US"/>
        </w:rPr>
        <w:t xml:space="preserve">, </w:t>
      </w:r>
      <w:r w:rsidRPr="009B3AFB">
        <w:rPr>
          <w:rFonts w:ascii="Calibri" w:hAnsi="Calibri" w:cs="Calibri"/>
          <w:i/>
          <w:iCs/>
          <w:noProof/>
          <w:sz w:val="24"/>
          <w:lang w:val="en-US"/>
        </w:rPr>
        <w:t>93</w:t>
      </w:r>
      <w:r w:rsidRPr="009B3AFB">
        <w:rPr>
          <w:rFonts w:ascii="Calibri" w:hAnsi="Calibri" w:cs="Calibri"/>
          <w:noProof/>
          <w:sz w:val="24"/>
          <w:lang w:val="en-US"/>
        </w:rPr>
        <w:t>(6), 1–9. https://doi.org/10.1093/femsec/fix072</w:t>
      </w:r>
    </w:p>
    <w:p w14:paraId="208B002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Locey, K. J., Muscarella, M. E., Larsen, M. L., Bray, S. R., Jones, S. E., &amp; Lennon, J. T. (2020). Dormancy dampens the microbial distance-decay relationship. </w:t>
      </w:r>
      <w:r w:rsidRPr="009B3AFB">
        <w:rPr>
          <w:rFonts w:ascii="Calibri" w:hAnsi="Calibri" w:cs="Calibri"/>
          <w:i/>
          <w:iCs/>
          <w:noProof/>
          <w:sz w:val="24"/>
          <w:lang w:val="en-US"/>
        </w:rPr>
        <w:t>Philosophical Transactions of the Royal Society B: Biological Sciences</w:t>
      </w:r>
      <w:r w:rsidRPr="009B3AFB">
        <w:rPr>
          <w:rFonts w:ascii="Calibri" w:hAnsi="Calibri" w:cs="Calibri"/>
          <w:noProof/>
          <w:sz w:val="24"/>
          <w:lang w:val="en-US"/>
        </w:rPr>
        <w:t xml:space="preserve">, </w:t>
      </w:r>
      <w:r w:rsidRPr="009B3AFB">
        <w:rPr>
          <w:rFonts w:ascii="Calibri" w:hAnsi="Calibri" w:cs="Calibri"/>
          <w:i/>
          <w:iCs/>
          <w:noProof/>
          <w:sz w:val="24"/>
          <w:lang w:val="en-US"/>
        </w:rPr>
        <w:t>375</w:t>
      </w:r>
      <w:r w:rsidRPr="009B3AFB">
        <w:rPr>
          <w:rFonts w:ascii="Calibri" w:hAnsi="Calibri" w:cs="Calibri"/>
          <w:noProof/>
          <w:sz w:val="24"/>
          <w:lang w:val="en-US"/>
        </w:rPr>
        <w:t>(1798). https://doi.org/10.1098/rstb.2019.0243</w:t>
      </w:r>
    </w:p>
    <w:p w14:paraId="0F90CAA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MacArthur, R. H., &amp; Wilson, E. O. (1967). </w:t>
      </w:r>
      <w:r w:rsidRPr="009B3AFB">
        <w:rPr>
          <w:rFonts w:ascii="Calibri" w:hAnsi="Calibri" w:cs="Calibri"/>
          <w:i/>
          <w:iCs/>
          <w:noProof/>
          <w:sz w:val="24"/>
          <w:lang w:val="en-US"/>
        </w:rPr>
        <w:t>The Theory of Island Biogeography</w:t>
      </w:r>
      <w:r w:rsidRPr="009B3AFB">
        <w:rPr>
          <w:rFonts w:ascii="Calibri" w:hAnsi="Calibri" w:cs="Calibri"/>
          <w:noProof/>
          <w:sz w:val="24"/>
          <w:lang w:val="en-US"/>
        </w:rPr>
        <w:t>. Princeton University Press.</w:t>
      </w:r>
    </w:p>
    <w:p w14:paraId="40BA57C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Martinez, A., &amp; Kolter, R. (1997). Protection of DNA during oxidative stress by the nonspecific DNA- binding protein Dps. </w:t>
      </w:r>
      <w:r w:rsidRPr="009B3AFB">
        <w:rPr>
          <w:rFonts w:ascii="Calibri" w:hAnsi="Calibri" w:cs="Calibri"/>
          <w:i/>
          <w:iCs/>
          <w:noProof/>
          <w:sz w:val="24"/>
          <w:lang w:val="en-US"/>
        </w:rPr>
        <w:t>Journal of Bacteriology</w:t>
      </w:r>
      <w:r w:rsidRPr="009B3AFB">
        <w:rPr>
          <w:rFonts w:ascii="Calibri" w:hAnsi="Calibri" w:cs="Calibri"/>
          <w:noProof/>
          <w:sz w:val="24"/>
          <w:lang w:val="en-US"/>
        </w:rPr>
        <w:t xml:space="preserve">, </w:t>
      </w:r>
      <w:r w:rsidRPr="009B3AFB">
        <w:rPr>
          <w:rFonts w:ascii="Calibri" w:hAnsi="Calibri" w:cs="Calibri"/>
          <w:i/>
          <w:iCs/>
          <w:noProof/>
          <w:sz w:val="24"/>
          <w:lang w:val="en-US"/>
        </w:rPr>
        <w:t>179</w:t>
      </w:r>
      <w:r w:rsidRPr="009B3AFB">
        <w:rPr>
          <w:rFonts w:ascii="Calibri" w:hAnsi="Calibri" w:cs="Calibri"/>
          <w:noProof/>
          <w:sz w:val="24"/>
          <w:lang w:val="en-US"/>
        </w:rPr>
        <w:t>(16), 5188–5194. https://doi.org/10.1128/jb.179.16.5188-5194.1997</w:t>
      </w:r>
    </w:p>
    <w:p w14:paraId="47C57C14"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Martiny, J. B. H., Bohannan, B. J. M., Brown, J. H., Colwell, R. K., Fuhrman, J. A., Green, J. L., … Staley, J. T. (2006). Microbial biogeography: Putting microorganisms on the map. </w:t>
      </w:r>
      <w:r w:rsidRPr="009B3AFB">
        <w:rPr>
          <w:rFonts w:ascii="Calibri" w:hAnsi="Calibri" w:cs="Calibri"/>
          <w:i/>
          <w:iCs/>
          <w:noProof/>
          <w:sz w:val="24"/>
          <w:lang w:val="en-US"/>
        </w:rPr>
        <w:t>Nature Reviews Microbiology</w:t>
      </w:r>
      <w:r w:rsidRPr="009B3AFB">
        <w:rPr>
          <w:rFonts w:ascii="Calibri" w:hAnsi="Calibri" w:cs="Calibri"/>
          <w:noProof/>
          <w:sz w:val="24"/>
          <w:lang w:val="en-US"/>
        </w:rPr>
        <w:t xml:space="preserve">, </w:t>
      </w:r>
      <w:r w:rsidRPr="009B3AFB">
        <w:rPr>
          <w:rFonts w:ascii="Calibri" w:hAnsi="Calibri" w:cs="Calibri"/>
          <w:i/>
          <w:iCs/>
          <w:noProof/>
          <w:sz w:val="24"/>
          <w:lang w:val="en-US"/>
        </w:rPr>
        <w:t>4</w:t>
      </w:r>
      <w:r w:rsidRPr="009B3AFB">
        <w:rPr>
          <w:rFonts w:ascii="Calibri" w:hAnsi="Calibri" w:cs="Calibri"/>
          <w:noProof/>
          <w:sz w:val="24"/>
          <w:lang w:val="en-US"/>
        </w:rPr>
        <w:t>(2), 102–112. https://doi.org/10.1038/nrmicro1341</w:t>
      </w:r>
    </w:p>
    <w:p w14:paraId="7E35D37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McIntyre, N. F. (1984). Cryoconite Hole Thermodynamics. </w:t>
      </w:r>
      <w:r w:rsidRPr="009B3AFB">
        <w:rPr>
          <w:rFonts w:ascii="Calibri" w:hAnsi="Calibri" w:cs="Calibri"/>
          <w:i/>
          <w:iCs/>
          <w:noProof/>
          <w:sz w:val="24"/>
          <w:lang w:val="en-US"/>
        </w:rPr>
        <w:t>Canadian Journal of Earth Sciences</w:t>
      </w:r>
      <w:r w:rsidRPr="009B3AFB">
        <w:rPr>
          <w:rFonts w:ascii="Calibri" w:hAnsi="Calibri" w:cs="Calibri"/>
          <w:noProof/>
          <w:sz w:val="24"/>
          <w:lang w:val="en-US"/>
        </w:rPr>
        <w:t xml:space="preserve">, </w:t>
      </w:r>
      <w:r w:rsidRPr="009B3AFB">
        <w:rPr>
          <w:rFonts w:ascii="Calibri" w:hAnsi="Calibri" w:cs="Calibri"/>
          <w:i/>
          <w:iCs/>
          <w:noProof/>
          <w:sz w:val="24"/>
          <w:lang w:val="en-US"/>
        </w:rPr>
        <w:t>21</w:t>
      </w:r>
      <w:r w:rsidRPr="009B3AFB">
        <w:rPr>
          <w:rFonts w:ascii="Calibri" w:hAnsi="Calibri" w:cs="Calibri"/>
          <w:noProof/>
          <w:sz w:val="24"/>
          <w:lang w:val="en-US"/>
        </w:rPr>
        <w:t>(2).</w:t>
      </w:r>
    </w:p>
    <w:p w14:paraId="71FF8CDF"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Ning, D., Deng, Y., Tiedje, J. M., &amp; Zhou, J. (2019). A general framework for quantitatively assessing ecological stochasticity. </w:t>
      </w:r>
      <w:r w:rsidRPr="009B3AFB">
        <w:rPr>
          <w:rFonts w:ascii="Calibri" w:hAnsi="Calibri" w:cs="Calibri"/>
          <w:i/>
          <w:iCs/>
          <w:noProof/>
          <w:sz w:val="24"/>
          <w:lang w:val="en-US"/>
        </w:rPr>
        <w:t xml:space="preserve">Proceedings of the National Academy of Sciences of </w:t>
      </w:r>
      <w:r w:rsidRPr="009B3AFB">
        <w:rPr>
          <w:rFonts w:ascii="Calibri" w:hAnsi="Calibri" w:cs="Calibri"/>
          <w:i/>
          <w:iCs/>
          <w:noProof/>
          <w:sz w:val="24"/>
          <w:lang w:val="en-US"/>
        </w:rPr>
        <w:lastRenderedPageBreak/>
        <w:t>the United States of America</w:t>
      </w:r>
      <w:r w:rsidRPr="009B3AFB">
        <w:rPr>
          <w:rFonts w:ascii="Calibri" w:hAnsi="Calibri" w:cs="Calibri"/>
          <w:noProof/>
          <w:sz w:val="24"/>
          <w:lang w:val="en-US"/>
        </w:rPr>
        <w:t xml:space="preserve">, </w:t>
      </w:r>
      <w:r w:rsidRPr="009B3AFB">
        <w:rPr>
          <w:rFonts w:ascii="Calibri" w:hAnsi="Calibri" w:cs="Calibri"/>
          <w:i/>
          <w:iCs/>
          <w:noProof/>
          <w:sz w:val="24"/>
          <w:lang w:val="en-US"/>
        </w:rPr>
        <w:t>116</w:t>
      </w:r>
      <w:r w:rsidRPr="009B3AFB">
        <w:rPr>
          <w:rFonts w:ascii="Calibri" w:hAnsi="Calibri" w:cs="Calibri"/>
          <w:noProof/>
          <w:sz w:val="24"/>
          <w:lang w:val="en-US"/>
        </w:rPr>
        <w:t>(34), 16892–16898. https://doi.org/10.1073/pnas.1904623116</w:t>
      </w:r>
    </w:p>
    <w:p w14:paraId="73CC29D7"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Ponisio, L. C., Valdovinos, F. S., Allhoff, K. T., Gaiarsa, M. P., Barner, A., Guimarães, P. R., … Gillespie, R. (2019). A network perspective for community assembly. </w:t>
      </w:r>
      <w:r w:rsidRPr="009B3AFB">
        <w:rPr>
          <w:rFonts w:ascii="Calibri" w:hAnsi="Calibri" w:cs="Calibri"/>
          <w:i/>
          <w:iCs/>
          <w:noProof/>
          <w:sz w:val="24"/>
          <w:lang w:val="en-US"/>
        </w:rPr>
        <w:t>Frontiers in Ecology and Evolution</w:t>
      </w:r>
      <w:r w:rsidRPr="009B3AFB">
        <w:rPr>
          <w:rFonts w:ascii="Calibri" w:hAnsi="Calibri" w:cs="Calibri"/>
          <w:noProof/>
          <w:sz w:val="24"/>
          <w:lang w:val="en-US"/>
        </w:rPr>
        <w:t xml:space="preserve">, </w:t>
      </w:r>
      <w:r w:rsidRPr="009B3AFB">
        <w:rPr>
          <w:rFonts w:ascii="Calibri" w:hAnsi="Calibri" w:cs="Calibri"/>
          <w:i/>
          <w:iCs/>
          <w:noProof/>
          <w:sz w:val="24"/>
          <w:lang w:val="en-US"/>
        </w:rPr>
        <w:t>7</w:t>
      </w:r>
      <w:r w:rsidRPr="009B3AFB">
        <w:rPr>
          <w:rFonts w:ascii="Calibri" w:hAnsi="Calibri" w:cs="Calibri"/>
          <w:noProof/>
          <w:sz w:val="24"/>
          <w:lang w:val="en-US"/>
        </w:rPr>
        <w:t>(APR). https://doi.org/10.3389/fevo.2019.00103</w:t>
      </w:r>
    </w:p>
    <w:p w14:paraId="7A6E0D6B"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Rengefors, K., Karlsson, I., &amp; Hansson, L. (1998). Algal cyst dormancy: a temporal escape from herbivory. </w:t>
      </w:r>
      <w:r w:rsidRPr="009B3AFB">
        <w:rPr>
          <w:rFonts w:ascii="Calibri" w:hAnsi="Calibri" w:cs="Calibri"/>
          <w:i/>
          <w:iCs/>
          <w:noProof/>
          <w:sz w:val="24"/>
          <w:lang w:val="en-US"/>
        </w:rPr>
        <w:t>Proceedings of the Royal Society B: Biological SciencesThe Royal Society</w:t>
      </w:r>
      <w:r w:rsidRPr="009B3AFB">
        <w:rPr>
          <w:rFonts w:ascii="Calibri" w:hAnsi="Calibri" w:cs="Calibri"/>
          <w:noProof/>
          <w:sz w:val="24"/>
          <w:lang w:val="en-US"/>
        </w:rPr>
        <w:t xml:space="preserve">, </w:t>
      </w:r>
      <w:r w:rsidRPr="009B3AFB">
        <w:rPr>
          <w:rFonts w:ascii="Calibri" w:hAnsi="Calibri" w:cs="Calibri"/>
          <w:i/>
          <w:iCs/>
          <w:noProof/>
          <w:sz w:val="24"/>
          <w:lang w:val="en-US"/>
        </w:rPr>
        <w:t>265</w:t>
      </w:r>
      <w:r w:rsidRPr="009B3AFB">
        <w:rPr>
          <w:rFonts w:ascii="Calibri" w:hAnsi="Calibri" w:cs="Calibri"/>
          <w:noProof/>
          <w:sz w:val="24"/>
          <w:lang w:val="en-US"/>
        </w:rPr>
        <w:t>(April), 1353–1358. Retrieved from papers2://publication/uuid/1538E2B2-8CD1-497E-82A4-56397C1D4F5F</w:t>
      </w:r>
    </w:p>
    <w:p w14:paraId="6B05CCDC"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Rittershaus, E. S. C., Baek, S. H., &amp; Sassetti, C. M. (2013). The normalcy of dormancy: Common themes in microbial quiescence. </w:t>
      </w:r>
      <w:r w:rsidRPr="009B3AFB">
        <w:rPr>
          <w:rFonts w:ascii="Calibri" w:hAnsi="Calibri" w:cs="Calibri"/>
          <w:i/>
          <w:iCs/>
          <w:noProof/>
          <w:sz w:val="24"/>
          <w:lang w:val="en-US"/>
        </w:rPr>
        <w:t>Cell Host and Microbe</w:t>
      </w:r>
      <w:r w:rsidRPr="009B3AFB">
        <w:rPr>
          <w:rFonts w:ascii="Calibri" w:hAnsi="Calibri" w:cs="Calibri"/>
          <w:noProof/>
          <w:sz w:val="24"/>
          <w:lang w:val="en-US"/>
        </w:rPr>
        <w:t xml:space="preserve">, </w:t>
      </w:r>
      <w:r w:rsidRPr="009B3AFB">
        <w:rPr>
          <w:rFonts w:ascii="Calibri" w:hAnsi="Calibri" w:cs="Calibri"/>
          <w:i/>
          <w:iCs/>
          <w:noProof/>
          <w:sz w:val="24"/>
          <w:lang w:val="en-US"/>
        </w:rPr>
        <w:t>13</w:t>
      </w:r>
      <w:r w:rsidRPr="009B3AFB">
        <w:rPr>
          <w:rFonts w:ascii="Calibri" w:hAnsi="Calibri" w:cs="Calibri"/>
          <w:noProof/>
          <w:sz w:val="24"/>
          <w:lang w:val="en-US"/>
        </w:rPr>
        <w:t>(6), 643–651. https://doi.org/10.1016/j.chom.2013.05.012</w:t>
      </w:r>
    </w:p>
    <w:p w14:paraId="5891120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Rosindell, J., Hubbell, S. P., &amp; Etienne, R. S. (2011). The Unified Neutral Theory of Biodiversity and Biogeography at Age Ten. </w:t>
      </w:r>
      <w:r w:rsidRPr="009B3AFB">
        <w:rPr>
          <w:rFonts w:ascii="Calibri" w:hAnsi="Calibri" w:cs="Calibri"/>
          <w:i/>
          <w:iCs/>
          <w:noProof/>
          <w:sz w:val="24"/>
          <w:lang w:val="en-US"/>
        </w:rPr>
        <w:t>Trends in Ecology and Evolution</w:t>
      </w:r>
      <w:r w:rsidRPr="009B3AFB">
        <w:rPr>
          <w:rFonts w:ascii="Calibri" w:hAnsi="Calibri" w:cs="Calibri"/>
          <w:noProof/>
          <w:sz w:val="24"/>
          <w:lang w:val="en-US"/>
        </w:rPr>
        <w:t xml:space="preserve">, </w:t>
      </w:r>
      <w:r w:rsidRPr="009B3AFB">
        <w:rPr>
          <w:rFonts w:ascii="Calibri" w:hAnsi="Calibri" w:cs="Calibri"/>
          <w:i/>
          <w:iCs/>
          <w:noProof/>
          <w:sz w:val="24"/>
          <w:lang w:val="en-US"/>
        </w:rPr>
        <w:t>26</w:t>
      </w:r>
      <w:r w:rsidRPr="009B3AFB">
        <w:rPr>
          <w:rFonts w:ascii="Calibri" w:hAnsi="Calibri" w:cs="Calibri"/>
          <w:noProof/>
          <w:sz w:val="24"/>
          <w:lang w:val="en-US"/>
        </w:rPr>
        <w:t>(7), 340–348. https://doi.org/10.1016/j.tree.2011.03.024</w:t>
      </w:r>
    </w:p>
    <w:p w14:paraId="506D64F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Säwström, C., Mumford, P., Marshall, W., Hodson, A., &amp; Laybourn-Parry, J. (2002). The microbial communities and primary productivity of cryoconite holes in an Arctic glacier (Svalbard 79°N). </w:t>
      </w:r>
      <w:r w:rsidRPr="009B3AFB">
        <w:rPr>
          <w:rFonts w:ascii="Calibri" w:hAnsi="Calibri" w:cs="Calibri"/>
          <w:i/>
          <w:iCs/>
          <w:noProof/>
          <w:sz w:val="24"/>
          <w:lang w:val="en-US"/>
        </w:rPr>
        <w:t>Polar Biology</w:t>
      </w:r>
      <w:r w:rsidRPr="009B3AFB">
        <w:rPr>
          <w:rFonts w:ascii="Calibri" w:hAnsi="Calibri" w:cs="Calibri"/>
          <w:noProof/>
          <w:sz w:val="24"/>
          <w:lang w:val="en-US"/>
        </w:rPr>
        <w:t xml:space="preserve">, </w:t>
      </w:r>
      <w:r w:rsidRPr="009B3AFB">
        <w:rPr>
          <w:rFonts w:ascii="Calibri" w:hAnsi="Calibri" w:cs="Calibri"/>
          <w:i/>
          <w:iCs/>
          <w:noProof/>
          <w:sz w:val="24"/>
          <w:lang w:val="en-US"/>
        </w:rPr>
        <w:t>25</w:t>
      </w:r>
      <w:r w:rsidRPr="009B3AFB">
        <w:rPr>
          <w:rFonts w:ascii="Calibri" w:hAnsi="Calibri" w:cs="Calibri"/>
          <w:noProof/>
          <w:sz w:val="24"/>
          <w:lang w:val="en-US"/>
        </w:rPr>
        <w:t>(8), 591–596. https://doi.org/10.1007/s00300-002-0388-5</w:t>
      </w:r>
    </w:p>
    <w:p w14:paraId="0FC844EF"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Segawa, T., Ishii, S., Ohte, N., Akiyoshi, A., Yamada, A., Maruyama, F., … Takeuchi, N. (2014). The nitrogen cycle in cryoconites: Naturally occurring nitrification-denitrification granules on a glacier. </w:t>
      </w:r>
      <w:r w:rsidRPr="009B3AFB">
        <w:rPr>
          <w:rFonts w:ascii="Calibri" w:hAnsi="Calibri" w:cs="Calibri"/>
          <w:i/>
          <w:iCs/>
          <w:noProof/>
          <w:sz w:val="24"/>
          <w:lang w:val="en-US"/>
        </w:rPr>
        <w:t>Environmental Microbiology</w:t>
      </w:r>
      <w:r w:rsidRPr="009B3AFB">
        <w:rPr>
          <w:rFonts w:ascii="Calibri" w:hAnsi="Calibri" w:cs="Calibri"/>
          <w:noProof/>
          <w:sz w:val="24"/>
          <w:lang w:val="en-US"/>
        </w:rPr>
        <w:t xml:space="preserve">, </w:t>
      </w:r>
      <w:r w:rsidRPr="009B3AFB">
        <w:rPr>
          <w:rFonts w:ascii="Calibri" w:hAnsi="Calibri" w:cs="Calibri"/>
          <w:i/>
          <w:iCs/>
          <w:noProof/>
          <w:sz w:val="24"/>
          <w:lang w:val="en-US"/>
        </w:rPr>
        <w:t>16</w:t>
      </w:r>
      <w:r w:rsidRPr="009B3AFB">
        <w:rPr>
          <w:rFonts w:ascii="Calibri" w:hAnsi="Calibri" w:cs="Calibri"/>
          <w:noProof/>
          <w:sz w:val="24"/>
          <w:lang w:val="en-US"/>
        </w:rPr>
        <w:t>(10), 3250–3262. https://doi.org/10.1111/1462-2920.12543</w:t>
      </w:r>
    </w:p>
    <w:p w14:paraId="11094471"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Segawa, T., Takeuchi, N., Mori, H., Rathnayake, R. M. L. D., Li, Z., Akiyoshi, A., … Ishii, S. (2020). Redox stratification within cryoconite granules influences the nitrogen cycle on glaciers. </w:t>
      </w:r>
      <w:r w:rsidRPr="009B3AFB">
        <w:rPr>
          <w:rFonts w:ascii="Calibri" w:hAnsi="Calibri" w:cs="Calibri"/>
          <w:i/>
          <w:iCs/>
          <w:noProof/>
          <w:sz w:val="24"/>
          <w:lang w:val="en-US"/>
        </w:rPr>
        <w:t>FEMS Microbiology Ecology</w:t>
      </w:r>
      <w:r w:rsidRPr="009B3AFB">
        <w:rPr>
          <w:rFonts w:ascii="Calibri" w:hAnsi="Calibri" w:cs="Calibri"/>
          <w:noProof/>
          <w:sz w:val="24"/>
          <w:lang w:val="en-US"/>
        </w:rPr>
        <w:t xml:space="preserve">, </w:t>
      </w:r>
      <w:r w:rsidRPr="009B3AFB">
        <w:rPr>
          <w:rFonts w:ascii="Calibri" w:hAnsi="Calibri" w:cs="Calibri"/>
          <w:i/>
          <w:iCs/>
          <w:noProof/>
          <w:sz w:val="24"/>
          <w:lang w:val="en-US"/>
        </w:rPr>
        <w:t>96</w:t>
      </w:r>
      <w:r w:rsidRPr="009B3AFB">
        <w:rPr>
          <w:rFonts w:ascii="Calibri" w:hAnsi="Calibri" w:cs="Calibri"/>
          <w:noProof/>
          <w:sz w:val="24"/>
          <w:lang w:val="en-US"/>
        </w:rPr>
        <w:t>(11), 1–13. https://doi.org/10.1093/femsec/fiaa199</w:t>
      </w:r>
    </w:p>
    <w:p w14:paraId="2B935EB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Shah, I. M., Laaberki, M. H., Popham, D. L., &amp; Dworkin, J. (2008). A Eukaryotic-like Ser/Thr Kinase Signals Bacteria to Exit Dormancy in Response to Peptidoglycan Fragments. </w:t>
      </w:r>
      <w:r w:rsidRPr="009B3AFB">
        <w:rPr>
          <w:rFonts w:ascii="Calibri" w:hAnsi="Calibri" w:cs="Calibri"/>
          <w:i/>
          <w:iCs/>
          <w:noProof/>
          <w:sz w:val="24"/>
          <w:lang w:val="en-US"/>
        </w:rPr>
        <w:t>Cell</w:t>
      </w:r>
      <w:r w:rsidRPr="009B3AFB">
        <w:rPr>
          <w:rFonts w:ascii="Calibri" w:hAnsi="Calibri" w:cs="Calibri"/>
          <w:noProof/>
          <w:sz w:val="24"/>
          <w:lang w:val="en-US"/>
        </w:rPr>
        <w:t xml:space="preserve">, </w:t>
      </w:r>
      <w:r w:rsidRPr="009B3AFB">
        <w:rPr>
          <w:rFonts w:ascii="Calibri" w:hAnsi="Calibri" w:cs="Calibri"/>
          <w:i/>
          <w:iCs/>
          <w:noProof/>
          <w:sz w:val="24"/>
          <w:lang w:val="en-US"/>
        </w:rPr>
        <w:t>135</w:t>
      </w:r>
      <w:r w:rsidRPr="009B3AFB">
        <w:rPr>
          <w:rFonts w:ascii="Calibri" w:hAnsi="Calibri" w:cs="Calibri"/>
          <w:noProof/>
          <w:sz w:val="24"/>
          <w:lang w:val="en-US"/>
        </w:rPr>
        <w:t>(3), 486–496. https://doi.org/10.1016/j.cell.2008.08.039</w:t>
      </w:r>
    </w:p>
    <w:p w14:paraId="4FA49C9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Shaikh, A. S., Tang, Y. J., Mukhopadhyay, A., Martín, H. G., Gin, J., Benke, P. I., &amp; Keasling, J. D. (2010). Study of stationary phase metabolism via isotopomer analysis of amino acids from an isolated protein. </w:t>
      </w:r>
      <w:r w:rsidRPr="009B3AFB">
        <w:rPr>
          <w:rFonts w:ascii="Calibri" w:hAnsi="Calibri" w:cs="Calibri"/>
          <w:i/>
          <w:iCs/>
          <w:noProof/>
          <w:sz w:val="24"/>
          <w:lang w:val="en-US"/>
        </w:rPr>
        <w:t>Biotechnology Progress</w:t>
      </w:r>
      <w:r w:rsidRPr="009B3AFB">
        <w:rPr>
          <w:rFonts w:ascii="Calibri" w:hAnsi="Calibri" w:cs="Calibri"/>
          <w:noProof/>
          <w:sz w:val="24"/>
          <w:lang w:val="en-US"/>
        </w:rPr>
        <w:t xml:space="preserve">, </w:t>
      </w:r>
      <w:r w:rsidRPr="009B3AFB">
        <w:rPr>
          <w:rFonts w:ascii="Calibri" w:hAnsi="Calibri" w:cs="Calibri"/>
          <w:i/>
          <w:iCs/>
          <w:noProof/>
          <w:sz w:val="24"/>
          <w:lang w:val="en-US"/>
        </w:rPr>
        <w:t>26</w:t>
      </w:r>
      <w:r w:rsidRPr="009B3AFB">
        <w:rPr>
          <w:rFonts w:ascii="Calibri" w:hAnsi="Calibri" w:cs="Calibri"/>
          <w:noProof/>
          <w:sz w:val="24"/>
          <w:lang w:val="en-US"/>
        </w:rPr>
        <w:t>(1), 52–56. https://doi.org/10.1002/btpr.325</w:t>
      </w:r>
    </w:p>
    <w:p w14:paraId="79193DF3"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Simek, K., &amp; Chrzanowski, T. H. (1992). Direct and indirect evidence of size-selective grazing on pelagic bacteria by freshwater nanoflagellates. </w:t>
      </w:r>
      <w:r w:rsidRPr="009B3AFB">
        <w:rPr>
          <w:rFonts w:ascii="Calibri" w:hAnsi="Calibri" w:cs="Calibri"/>
          <w:i/>
          <w:iCs/>
          <w:noProof/>
          <w:sz w:val="24"/>
          <w:lang w:val="en-US"/>
        </w:rPr>
        <w:t>Applied and Environmental Microbiology</w:t>
      </w:r>
      <w:r w:rsidRPr="009B3AFB">
        <w:rPr>
          <w:rFonts w:ascii="Calibri" w:hAnsi="Calibri" w:cs="Calibri"/>
          <w:noProof/>
          <w:sz w:val="24"/>
          <w:lang w:val="en-US"/>
        </w:rPr>
        <w:t xml:space="preserve">, </w:t>
      </w:r>
      <w:r w:rsidRPr="009B3AFB">
        <w:rPr>
          <w:rFonts w:ascii="Calibri" w:hAnsi="Calibri" w:cs="Calibri"/>
          <w:i/>
          <w:iCs/>
          <w:noProof/>
          <w:sz w:val="24"/>
          <w:lang w:val="en-US"/>
        </w:rPr>
        <w:t>58</w:t>
      </w:r>
      <w:r w:rsidRPr="009B3AFB">
        <w:rPr>
          <w:rFonts w:ascii="Calibri" w:hAnsi="Calibri" w:cs="Calibri"/>
          <w:noProof/>
          <w:sz w:val="24"/>
          <w:lang w:val="en-US"/>
        </w:rPr>
        <w:t>(11), 3715–3720. https://doi.org/10.1128/aem.58.11.3715-3720.1992</w:t>
      </w:r>
    </w:p>
    <w:p w14:paraId="586A8A5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Smith, R. M., &amp; Williams, S. B. (2006). Circadian rhythms in gene transcription imparted by chromosome compaction in the cyanobacterium Synechococcus elongatus. </w:t>
      </w:r>
      <w:r w:rsidRPr="009B3AFB">
        <w:rPr>
          <w:rFonts w:ascii="Calibri" w:hAnsi="Calibri" w:cs="Calibri"/>
          <w:i/>
          <w:iCs/>
          <w:noProof/>
          <w:sz w:val="24"/>
          <w:lang w:val="en-US"/>
        </w:rPr>
        <w:t>Proceedings of the National Academy of Sciences of the United States of America</w:t>
      </w:r>
      <w:r w:rsidRPr="009B3AFB">
        <w:rPr>
          <w:rFonts w:ascii="Calibri" w:hAnsi="Calibri" w:cs="Calibri"/>
          <w:noProof/>
          <w:sz w:val="24"/>
          <w:lang w:val="en-US"/>
        </w:rPr>
        <w:t xml:space="preserve">, </w:t>
      </w:r>
      <w:r w:rsidRPr="009B3AFB">
        <w:rPr>
          <w:rFonts w:ascii="Calibri" w:hAnsi="Calibri" w:cs="Calibri"/>
          <w:i/>
          <w:iCs/>
          <w:noProof/>
          <w:sz w:val="24"/>
          <w:lang w:val="en-US"/>
        </w:rPr>
        <w:t>103</w:t>
      </w:r>
      <w:r w:rsidRPr="009B3AFB">
        <w:rPr>
          <w:rFonts w:ascii="Calibri" w:hAnsi="Calibri" w:cs="Calibri"/>
          <w:noProof/>
          <w:sz w:val="24"/>
          <w:lang w:val="en-US"/>
        </w:rPr>
        <w:t>(22), 8564–8569. https://doi.org/10.1073/pnas.0508696103</w:t>
      </w:r>
    </w:p>
    <w:p w14:paraId="0A49F736"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Sommers, P., Porazinska, D. L., Darcy, J. L., Gendron, E. M. S., Vimercati, L., Solon, A. J., &amp; Schmidt, S. K. (2020). </w:t>
      </w:r>
      <w:r w:rsidRPr="009B3AFB">
        <w:rPr>
          <w:rFonts w:ascii="Calibri" w:hAnsi="Calibri" w:cs="Calibri"/>
          <w:i/>
          <w:iCs/>
          <w:noProof/>
          <w:sz w:val="24"/>
          <w:lang w:val="en-US"/>
        </w:rPr>
        <w:t>Microbial Species – Area Relationships in Antarctic Cryoconite Holes Depend on Productivity</w:t>
      </w:r>
      <w:r w:rsidRPr="009B3AFB">
        <w:rPr>
          <w:rFonts w:ascii="Calibri" w:hAnsi="Calibri" w:cs="Calibri"/>
          <w:noProof/>
          <w:sz w:val="24"/>
          <w:lang w:val="en-US"/>
        </w:rPr>
        <w:t>. 1–16.</w:t>
      </w:r>
    </w:p>
    <w:p w14:paraId="529D90A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Stegen, J. C., Lin, X., Fredrickson, J. K., Chen, X., Kennedy, D. W., Murray, C. J., … Konopka, A. (2013). Quantifying community assembly processes and identifying features that impose them. </w:t>
      </w:r>
      <w:r w:rsidRPr="009B3AFB">
        <w:rPr>
          <w:rFonts w:ascii="Calibri" w:hAnsi="Calibri" w:cs="Calibri"/>
          <w:i/>
          <w:iCs/>
          <w:noProof/>
          <w:sz w:val="24"/>
          <w:lang w:val="en-US"/>
        </w:rPr>
        <w:t>ISME Journal</w:t>
      </w:r>
      <w:r w:rsidRPr="009B3AFB">
        <w:rPr>
          <w:rFonts w:ascii="Calibri" w:hAnsi="Calibri" w:cs="Calibri"/>
          <w:noProof/>
          <w:sz w:val="24"/>
          <w:lang w:val="en-US"/>
        </w:rPr>
        <w:t xml:space="preserve">, </w:t>
      </w:r>
      <w:r w:rsidRPr="009B3AFB">
        <w:rPr>
          <w:rFonts w:ascii="Calibri" w:hAnsi="Calibri" w:cs="Calibri"/>
          <w:i/>
          <w:iCs/>
          <w:noProof/>
          <w:sz w:val="24"/>
          <w:lang w:val="en-US"/>
        </w:rPr>
        <w:t>7</w:t>
      </w:r>
      <w:r w:rsidRPr="009B3AFB">
        <w:rPr>
          <w:rFonts w:ascii="Calibri" w:hAnsi="Calibri" w:cs="Calibri"/>
          <w:noProof/>
          <w:sz w:val="24"/>
          <w:lang w:val="en-US"/>
        </w:rPr>
        <w:t>(11), 2069–2079. https://doi.org/10.1038/ismej.2013.93</w:t>
      </w:r>
    </w:p>
    <w:p w14:paraId="01C3662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lastRenderedPageBreak/>
        <w:t xml:space="preserve">Stibal, M., Šabacká, M., &amp; Kaštovská, K. (2006). Microbial communities on glacier surfaces in Svalbard: Impact of physical and chemical properties on abundance and structure of cyanobacteria and algae. </w:t>
      </w:r>
      <w:r w:rsidRPr="009B3AFB">
        <w:rPr>
          <w:rFonts w:ascii="Calibri" w:hAnsi="Calibri" w:cs="Calibri"/>
          <w:i/>
          <w:iCs/>
          <w:noProof/>
          <w:sz w:val="24"/>
          <w:lang w:val="en-US"/>
        </w:rPr>
        <w:t>Microbial Ecology</w:t>
      </w:r>
      <w:r w:rsidRPr="009B3AFB">
        <w:rPr>
          <w:rFonts w:ascii="Calibri" w:hAnsi="Calibri" w:cs="Calibri"/>
          <w:noProof/>
          <w:sz w:val="24"/>
          <w:lang w:val="en-US"/>
        </w:rPr>
        <w:t xml:space="preserve">, </w:t>
      </w:r>
      <w:r w:rsidRPr="009B3AFB">
        <w:rPr>
          <w:rFonts w:ascii="Calibri" w:hAnsi="Calibri" w:cs="Calibri"/>
          <w:i/>
          <w:iCs/>
          <w:noProof/>
          <w:sz w:val="24"/>
          <w:lang w:val="en-US"/>
        </w:rPr>
        <w:t>52</w:t>
      </w:r>
      <w:r w:rsidRPr="009B3AFB">
        <w:rPr>
          <w:rFonts w:ascii="Calibri" w:hAnsi="Calibri" w:cs="Calibri"/>
          <w:noProof/>
          <w:sz w:val="24"/>
          <w:lang w:val="en-US"/>
        </w:rPr>
        <w:t>(4), 644–654. https://doi.org/10.1007/s00248-006-9083-3</w:t>
      </w:r>
    </w:p>
    <w:p w14:paraId="4032E04D"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Stolpovsky, K., Martinez-Lavanchy, P., Heipieper, H. J., Van Cappellen, P., &amp; Thullner, M. (2011). Incorporating dormancy in dynamic microbial community models. </w:t>
      </w:r>
      <w:r w:rsidRPr="009B3AFB">
        <w:rPr>
          <w:rFonts w:ascii="Calibri" w:hAnsi="Calibri" w:cs="Calibri"/>
          <w:i/>
          <w:iCs/>
          <w:noProof/>
          <w:sz w:val="24"/>
          <w:lang w:val="en-US"/>
        </w:rPr>
        <w:t>Ecological Modelling</w:t>
      </w:r>
      <w:r w:rsidRPr="009B3AFB">
        <w:rPr>
          <w:rFonts w:ascii="Calibri" w:hAnsi="Calibri" w:cs="Calibri"/>
          <w:noProof/>
          <w:sz w:val="24"/>
          <w:lang w:val="en-US"/>
        </w:rPr>
        <w:t xml:space="preserve">, </w:t>
      </w:r>
      <w:r w:rsidRPr="009B3AFB">
        <w:rPr>
          <w:rFonts w:ascii="Calibri" w:hAnsi="Calibri" w:cs="Calibri"/>
          <w:i/>
          <w:iCs/>
          <w:noProof/>
          <w:sz w:val="24"/>
          <w:lang w:val="en-US"/>
        </w:rPr>
        <w:t>222</w:t>
      </w:r>
      <w:r w:rsidRPr="009B3AFB">
        <w:rPr>
          <w:rFonts w:ascii="Calibri" w:hAnsi="Calibri" w:cs="Calibri"/>
          <w:noProof/>
          <w:sz w:val="24"/>
          <w:lang w:val="en-US"/>
        </w:rPr>
        <w:t>(17), 3092–3102. https://doi.org/10.1016/j.ecolmodel.2011.07.006</w:t>
      </w:r>
    </w:p>
    <w:p w14:paraId="7AD3C6A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Stragier, P., &amp; Losick, R. (1996). Molecular genetics of sporulation in Bacillus subtilis. </w:t>
      </w:r>
      <w:r w:rsidRPr="009B3AFB">
        <w:rPr>
          <w:rFonts w:ascii="Calibri" w:hAnsi="Calibri" w:cs="Calibri"/>
          <w:i/>
          <w:iCs/>
          <w:noProof/>
          <w:sz w:val="24"/>
          <w:lang w:val="en-US"/>
        </w:rPr>
        <w:t>Annual Review of Genetics</w:t>
      </w:r>
      <w:r w:rsidRPr="009B3AFB">
        <w:rPr>
          <w:rFonts w:ascii="Calibri" w:hAnsi="Calibri" w:cs="Calibri"/>
          <w:noProof/>
          <w:sz w:val="24"/>
          <w:lang w:val="en-US"/>
        </w:rPr>
        <w:t xml:space="preserve">, </w:t>
      </w:r>
      <w:r w:rsidRPr="009B3AFB">
        <w:rPr>
          <w:rFonts w:ascii="Calibri" w:hAnsi="Calibri" w:cs="Calibri"/>
          <w:i/>
          <w:iCs/>
          <w:noProof/>
          <w:sz w:val="24"/>
          <w:lang w:val="en-US"/>
        </w:rPr>
        <w:t>30</w:t>
      </w:r>
      <w:r w:rsidRPr="009B3AFB">
        <w:rPr>
          <w:rFonts w:ascii="Calibri" w:hAnsi="Calibri" w:cs="Calibri"/>
          <w:noProof/>
          <w:sz w:val="24"/>
          <w:lang w:val="en-US"/>
        </w:rPr>
        <w:t>, 297–341. https://doi.org/10.1146/annurev.genet.30.1.297</w:t>
      </w:r>
    </w:p>
    <w:p w14:paraId="29792653"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9B3AFB">
        <w:rPr>
          <w:rFonts w:ascii="Calibri" w:hAnsi="Calibri" w:cs="Calibri"/>
          <w:i/>
          <w:iCs/>
          <w:noProof/>
          <w:sz w:val="24"/>
          <w:lang w:val="en-US"/>
        </w:rPr>
        <w:t>Frontiers in Microbiology</w:t>
      </w:r>
      <w:r w:rsidRPr="009B3AFB">
        <w:rPr>
          <w:rFonts w:ascii="Calibri" w:hAnsi="Calibri" w:cs="Calibri"/>
          <w:noProof/>
          <w:sz w:val="24"/>
          <w:lang w:val="en-US"/>
        </w:rPr>
        <w:t xml:space="preserve">, </w:t>
      </w:r>
      <w:r w:rsidRPr="009B3AFB">
        <w:rPr>
          <w:rFonts w:ascii="Calibri" w:hAnsi="Calibri" w:cs="Calibri"/>
          <w:i/>
          <w:iCs/>
          <w:noProof/>
          <w:sz w:val="24"/>
          <w:lang w:val="en-US"/>
        </w:rPr>
        <w:t>6</w:t>
      </w:r>
      <w:r w:rsidRPr="009B3AFB">
        <w:rPr>
          <w:rFonts w:ascii="Calibri" w:hAnsi="Calibri" w:cs="Calibri"/>
          <w:noProof/>
          <w:sz w:val="24"/>
          <w:lang w:val="en-US"/>
        </w:rPr>
        <w:t>(SEP), 1–9. https://doi.org/10.3389/fmicb.2015.01067</w:t>
      </w:r>
    </w:p>
    <w:p w14:paraId="27C00B68"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Takeuchi, N., Kohshima, S., &amp; Seko, K. (2001). Structure, Formation, and Darkening Process of Albedo-reducing Material (Cryoconite) on a Himalayan Glacier: A Granular Algal Mat Growing on the Glacier. </w:t>
      </w:r>
      <w:r w:rsidRPr="009B3AFB">
        <w:rPr>
          <w:rFonts w:ascii="Calibri" w:hAnsi="Calibri" w:cs="Calibri"/>
          <w:i/>
          <w:iCs/>
          <w:noProof/>
          <w:sz w:val="24"/>
          <w:lang w:val="en-US"/>
        </w:rPr>
        <w:t>Arctic, Antarctic, and Alpine Research</w:t>
      </w:r>
      <w:r w:rsidRPr="009B3AFB">
        <w:rPr>
          <w:rFonts w:ascii="Calibri" w:hAnsi="Calibri" w:cs="Calibri"/>
          <w:noProof/>
          <w:sz w:val="24"/>
          <w:lang w:val="en-US"/>
        </w:rPr>
        <w:t xml:space="preserve">, </w:t>
      </w:r>
      <w:r w:rsidRPr="009B3AFB">
        <w:rPr>
          <w:rFonts w:ascii="Calibri" w:hAnsi="Calibri" w:cs="Calibri"/>
          <w:i/>
          <w:iCs/>
          <w:noProof/>
          <w:sz w:val="24"/>
          <w:lang w:val="en-US"/>
        </w:rPr>
        <w:t>33</w:t>
      </w:r>
      <w:r w:rsidRPr="009B3AFB">
        <w:rPr>
          <w:rFonts w:ascii="Calibri" w:hAnsi="Calibri" w:cs="Calibri"/>
          <w:noProof/>
          <w:sz w:val="24"/>
          <w:lang w:val="en-US"/>
        </w:rPr>
        <w:t>(2), 115–122. https://doi.org/10.1080/15230430.2001.12003413</w:t>
      </w:r>
    </w:p>
    <w:p w14:paraId="0D8252AD"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Telling, J., Stibal, M., Anesio, A. M., Tranter, M., Nias, I., Cook, J., … Hodson, A. (2012). Microbial nitrogen cycling on the Greenland Ice Sheet. </w:t>
      </w:r>
      <w:r w:rsidRPr="009B3AFB">
        <w:rPr>
          <w:rFonts w:ascii="Calibri" w:hAnsi="Calibri" w:cs="Calibri"/>
          <w:i/>
          <w:iCs/>
          <w:noProof/>
          <w:sz w:val="24"/>
          <w:lang w:val="en-US"/>
        </w:rPr>
        <w:t>Biogeosciences</w:t>
      </w:r>
      <w:r w:rsidRPr="009B3AFB">
        <w:rPr>
          <w:rFonts w:ascii="Calibri" w:hAnsi="Calibri" w:cs="Calibri"/>
          <w:noProof/>
          <w:sz w:val="24"/>
          <w:lang w:val="en-US"/>
        </w:rPr>
        <w:t xml:space="preserve">, </w:t>
      </w:r>
      <w:r w:rsidRPr="009B3AFB">
        <w:rPr>
          <w:rFonts w:ascii="Calibri" w:hAnsi="Calibri" w:cs="Calibri"/>
          <w:i/>
          <w:iCs/>
          <w:noProof/>
          <w:sz w:val="24"/>
          <w:lang w:val="en-US"/>
        </w:rPr>
        <w:t>9</w:t>
      </w:r>
      <w:r w:rsidRPr="009B3AFB">
        <w:rPr>
          <w:rFonts w:ascii="Calibri" w:hAnsi="Calibri" w:cs="Calibri"/>
          <w:noProof/>
          <w:sz w:val="24"/>
          <w:lang w:val="en-US"/>
        </w:rPr>
        <w:t>(7), 2431–2442. https://doi.org/10.5194/bg-9-2431-2012</w:t>
      </w:r>
    </w:p>
    <w:p w14:paraId="5BAA6BAC"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Telling, Jon, Anesio, A. M., Tranter, M., Irvine-Fynn, T., Hodson, A., Butler, C., &amp; Wadham, J. (2011). Nitrogen fixation on Arctic glaciers, Svalbard. </w:t>
      </w:r>
      <w:r w:rsidRPr="009B3AFB">
        <w:rPr>
          <w:rFonts w:ascii="Calibri" w:hAnsi="Calibri" w:cs="Calibri"/>
          <w:i/>
          <w:iCs/>
          <w:noProof/>
          <w:sz w:val="24"/>
          <w:lang w:val="en-US"/>
        </w:rPr>
        <w:t>Journal of Geophysical Research: Biogeosciences</w:t>
      </w:r>
      <w:r w:rsidRPr="009B3AFB">
        <w:rPr>
          <w:rFonts w:ascii="Calibri" w:hAnsi="Calibri" w:cs="Calibri"/>
          <w:noProof/>
          <w:sz w:val="24"/>
          <w:lang w:val="en-US"/>
        </w:rPr>
        <w:t xml:space="preserve">, </w:t>
      </w:r>
      <w:r w:rsidRPr="009B3AFB">
        <w:rPr>
          <w:rFonts w:ascii="Calibri" w:hAnsi="Calibri" w:cs="Calibri"/>
          <w:i/>
          <w:iCs/>
          <w:noProof/>
          <w:sz w:val="24"/>
          <w:lang w:val="en-US"/>
        </w:rPr>
        <w:t>116</w:t>
      </w:r>
      <w:r w:rsidRPr="009B3AFB">
        <w:rPr>
          <w:rFonts w:ascii="Calibri" w:hAnsi="Calibri" w:cs="Calibri"/>
          <w:noProof/>
          <w:sz w:val="24"/>
          <w:lang w:val="en-US"/>
        </w:rPr>
        <w:t>(3), 2–9. https://doi.org/10.1029/2010JG001632</w:t>
      </w:r>
    </w:p>
    <w:p w14:paraId="33F1817F"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Van Der Gast, C. J., Jefferson, B., Reid, E., Robinson, T., Bailey, M. J., Judd, S. J., &amp; Thompson, I. P. (2006). Bacterial diversity is determined by volume in membrane bioreactors. </w:t>
      </w:r>
      <w:r w:rsidRPr="009B3AFB">
        <w:rPr>
          <w:rFonts w:ascii="Calibri" w:hAnsi="Calibri" w:cs="Calibri"/>
          <w:i/>
          <w:iCs/>
          <w:noProof/>
          <w:sz w:val="24"/>
          <w:lang w:val="en-US"/>
        </w:rPr>
        <w:t>Environmental Microbiology</w:t>
      </w:r>
      <w:r w:rsidRPr="009B3AFB">
        <w:rPr>
          <w:rFonts w:ascii="Calibri" w:hAnsi="Calibri" w:cs="Calibri"/>
          <w:noProof/>
          <w:sz w:val="24"/>
          <w:lang w:val="en-US"/>
        </w:rPr>
        <w:t xml:space="preserve">, </w:t>
      </w:r>
      <w:r w:rsidRPr="009B3AFB">
        <w:rPr>
          <w:rFonts w:ascii="Calibri" w:hAnsi="Calibri" w:cs="Calibri"/>
          <w:i/>
          <w:iCs/>
          <w:noProof/>
          <w:sz w:val="24"/>
          <w:lang w:val="en-US"/>
        </w:rPr>
        <w:t>8</w:t>
      </w:r>
      <w:r w:rsidRPr="009B3AFB">
        <w:rPr>
          <w:rFonts w:ascii="Calibri" w:hAnsi="Calibri" w:cs="Calibri"/>
          <w:noProof/>
          <w:sz w:val="24"/>
          <w:lang w:val="en-US"/>
        </w:rPr>
        <w:t>(6), 1048–1055. https://doi.org/10.1111/j.1462-2920.2006.00996.x</w:t>
      </w:r>
    </w:p>
    <w:p w14:paraId="5301C113"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Van Der Gast, C. J., Lilley, A. K., Ager, D., &amp; Thompson, I. P. (2005). Island size and bacterial diversity in an archipelago of engineering machines. </w:t>
      </w:r>
      <w:r w:rsidRPr="009B3AFB">
        <w:rPr>
          <w:rFonts w:ascii="Calibri" w:hAnsi="Calibri" w:cs="Calibri"/>
          <w:i/>
          <w:iCs/>
          <w:noProof/>
          <w:sz w:val="24"/>
          <w:lang w:val="en-US"/>
        </w:rPr>
        <w:t>Environmental Microbiology</w:t>
      </w:r>
      <w:r w:rsidRPr="009B3AFB">
        <w:rPr>
          <w:rFonts w:ascii="Calibri" w:hAnsi="Calibri" w:cs="Calibri"/>
          <w:noProof/>
          <w:sz w:val="24"/>
          <w:lang w:val="en-US"/>
        </w:rPr>
        <w:t xml:space="preserve">, </w:t>
      </w:r>
      <w:r w:rsidRPr="009B3AFB">
        <w:rPr>
          <w:rFonts w:ascii="Calibri" w:hAnsi="Calibri" w:cs="Calibri"/>
          <w:i/>
          <w:iCs/>
          <w:noProof/>
          <w:sz w:val="24"/>
          <w:lang w:val="en-US"/>
        </w:rPr>
        <w:t>7</w:t>
      </w:r>
      <w:r w:rsidRPr="009B3AFB">
        <w:rPr>
          <w:rFonts w:ascii="Calibri" w:hAnsi="Calibri" w:cs="Calibri"/>
          <w:noProof/>
          <w:sz w:val="24"/>
          <w:lang w:val="en-US"/>
        </w:rPr>
        <w:t>(8), 1220–1226. https://doi.org/10.1111/j.1462-2920.2005.00802.x</w:t>
      </w:r>
    </w:p>
    <w:p w14:paraId="0558CAE0"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Ward, D. M., Weller, R., &amp; Bateson, M. M. (1990). 16S rRNA sequences reveal numerous uncultured inhabitants in a well-studied natural community. </w:t>
      </w:r>
      <w:r w:rsidRPr="009B3AFB">
        <w:rPr>
          <w:rFonts w:ascii="Calibri" w:hAnsi="Calibri" w:cs="Calibri"/>
          <w:i/>
          <w:iCs/>
          <w:noProof/>
          <w:sz w:val="24"/>
          <w:lang w:val="en-US"/>
        </w:rPr>
        <w:t>Nature (London)</w:t>
      </w:r>
      <w:r w:rsidRPr="009B3AFB">
        <w:rPr>
          <w:rFonts w:ascii="Calibri" w:hAnsi="Calibri" w:cs="Calibri"/>
          <w:noProof/>
          <w:sz w:val="24"/>
          <w:lang w:val="en-US"/>
        </w:rPr>
        <w:t xml:space="preserve">, </w:t>
      </w:r>
      <w:r w:rsidRPr="009B3AFB">
        <w:rPr>
          <w:rFonts w:ascii="Calibri" w:hAnsi="Calibri" w:cs="Calibri"/>
          <w:i/>
          <w:iCs/>
          <w:noProof/>
          <w:sz w:val="24"/>
          <w:lang w:val="en-US"/>
        </w:rPr>
        <w:t>345</w:t>
      </w:r>
      <w:r w:rsidRPr="009B3AFB">
        <w:rPr>
          <w:rFonts w:ascii="Calibri" w:hAnsi="Calibri" w:cs="Calibri"/>
          <w:noProof/>
          <w:sz w:val="24"/>
          <w:lang w:val="en-US"/>
        </w:rPr>
        <w:t>(6270), 63–65. Retrieved from http://dx.doi.org/10.1038/345063a0</w:t>
      </w:r>
    </w:p>
    <w:p w14:paraId="3A6BA61A"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Warren, B. H., Simberloff, D., Ricklefs, R. E., Aguilée, R., Condamine, F. L., Gravel, D., … Thébaud, C. (2015). Islands as model systems in ecology and evolution: Prospects fifty years after MacArthur-Wilson. </w:t>
      </w:r>
      <w:r w:rsidRPr="009B3AFB">
        <w:rPr>
          <w:rFonts w:ascii="Calibri" w:hAnsi="Calibri" w:cs="Calibri"/>
          <w:i/>
          <w:iCs/>
          <w:noProof/>
          <w:sz w:val="24"/>
          <w:lang w:val="en-US"/>
        </w:rPr>
        <w:t>Ecology Letters</w:t>
      </w:r>
      <w:r w:rsidRPr="009B3AFB">
        <w:rPr>
          <w:rFonts w:ascii="Calibri" w:hAnsi="Calibri" w:cs="Calibri"/>
          <w:noProof/>
          <w:sz w:val="24"/>
          <w:lang w:val="en-US"/>
        </w:rPr>
        <w:t xml:space="preserve">, </w:t>
      </w:r>
      <w:r w:rsidRPr="009B3AFB">
        <w:rPr>
          <w:rFonts w:ascii="Calibri" w:hAnsi="Calibri" w:cs="Calibri"/>
          <w:i/>
          <w:iCs/>
          <w:noProof/>
          <w:sz w:val="24"/>
          <w:lang w:val="en-US"/>
        </w:rPr>
        <w:t>18</w:t>
      </w:r>
      <w:r w:rsidRPr="009B3AFB">
        <w:rPr>
          <w:rFonts w:ascii="Calibri" w:hAnsi="Calibri" w:cs="Calibri"/>
          <w:noProof/>
          <w:sz w:val="24"/>
          <w:lang w:val="en-US"/>
        </w:rPr>
        <w:t>(2), 200–217. https://doi.org/10.1111/ele.12398</w:t>
      </w:r>
    </w:p>
    <w:p w14:paraId="4ED00C29"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Webster-Brown, J. G., Hawes, I., Jungblut, A. D., Wood, S. A., &amp; Christenson, H. K. (2015). The effects of entombment on water chemistry and bacterial assemblages in closed cryoconite holes on Antarctic glaciers. </w:t>
      </w:r>
      <w:r w:rsidRPr="009B3AFB">
        <w:rPr>
          <w:rFonts w:ascii="Calibri" w:hAnsi="Calibri" w:cs="Calibri"/>
          <w:i/>
          <w:iCs/>
          <w:noProof/>
          <w:sz w:val="24"/>
          <w:lang w:val="en-US"/>
        </w:rPr>
        <w:t>FEMS Microbiology Ecology</w:t>
      </w:r>
      <w:r w:rsidRPr="009B3AFB">
        <w:rPr>
          <w:rFonts w:ascii="Calibri" w:hAnsi="Calibri" w:cs="Calibri"/>
          <w:noProof/>
          <w:sz w:val="24"/>
          <w:lang w:val="en-US"/>
        </w:rPr>
        <w:t xml:space="preserve">, </w:t>
      </w:r>
      <w:r w:rsidRPr="009B3AFB">
        <w:rPr>
          <w:rFonts w:ascii="Calibri" w:hAnsi="Calibri" w:cs="Calibri"/>
          <w:i/>
          <w:iCs/>
          <w:noProof/>
          <w:sz w:val="24"/>
          <w:lang w:val="en-US"/>
        </w:rPr>
        <w:t>91</w:t>
      </w:r>
      <w:r w:rsidRPr="009B3AFB">
        <w:rPr>
          <w:rFonts w:ascii="Calibri" w:hAnsi="Calibri" w:cs="Calibri"/>
          <w:noProof/>
          <w:sz w:val="24"/>
          <w:lang w:val="en-US"/>
        </w:rPr>
        <w:t>(12), 1–14. https://doi.org/10.1093/femsec/fiv144</w:t>
      </w:r>
    </w:p>
    <w:p w14:paraId="1E6F5D2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Wharton, R. A., McKay, C. P., Simmons, G. M., &amp; Parker, B. C. (1985). Cryoconite Holes on Glaciers. </w:t>
      </w:r>
      <w:r w:rsidRPr="009B3AFB">
        <w:rPr>
          <w:rFonts w:ascii="Calibri" w:hAnsi="Calibri" w:cs="Calibri"/>
          <w:i/>
          <w:iCs/>
          <w:noProof/>
          <w:sz w:val="24"/>
          <w:lang w:val="en-US"/>
        </w:rPr>
        <w:t>Bioscience</w:t>
      </w:r>
      <w:r w:rsidRPr="009B3AFB">
        <w:rPr>
          <w:rFonts w:ascii="Calibri" w:hAnsi="Calibri" w:cs="Calibri"/>
          <w:noProof/>
          <w:sz w:val="24"/>
          <w:lang w:val="en-US"/>
        </w:rPr>
        <w:t xml:space="preserve">, </w:t>
      </w:r>
      <w:r w:rsidRPr="009B3AFB">
        <w:rPr>
          <w:rFonts w:ascii="Calibri" w:hAnsi="Calibri" w:cs="Calibri"/>
          <w:i/>
          <w:iCs/>
          <w:noProof/>
          <w:sz w:val="24"/>
          <w:lang w:val="en-US"/>
        </w:rPr>
        <w:t>35</w:t>
      </w:r>
      <w:r w:rsidRPr="009B3AFB">
        <w:rPr>
          <w:rFonts w:ascii="Calibri" w:hAnsi="Calibri" w:cs="Calibri"/>
          <w:noProof/>
          <w:sz w:val="24"/>
          <w:lang w:val="en-US"/>
        </w:rPr>
        <w:t>(8), 499–503. https://doi.org/10.2307/1309818</w:t>
      </w:r>
    </w:p>
    <w:p w14:paraId="3154ABD5"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Wolfe, A. J. (2005). The Acetate Switch. </w:t>
      </w:r>
      <w:r w:rsidRPr="009B3AFB">
        <w:rPr>
          <w:rFonts w:ascii="Calibri" w:hAnsi="Calibri" w:cs="Calibri"/>
          <w:i/>
          <w:iCs/>
          <w:noProof/>
          <w:sz w:val="24"/>
          <w:lang w:val="en-US"/>
        </w:rPr>
        <w:t>Microbiology and Molecular Biology Reviews</w:t>
      </w:r>
      <w:r w:rsidRPr="009B3AFB">
        <w:rPr>
          <w:rFonts w:ascii="Calibri" w:hAnsi="Calibri" w:cs="Calibri"/>
          <w:noProof/>
          <w:sz w:val="24"/>
          <w:lang w:val="en-US"/>
        </w:rPr>
        <w:t xml:space="preserve">, </w:t>
      </w:r>
      <w:r w:rsidRPr="009B3AFB">
        <w:rPr>
          <w:rFonts w:ascii="Calibri" w:hAnsi="Calibri" w:cs="Calibri"/>
          <w:i/>
          <w:iCs/>
          <w:noProof/>
          <w:sz w:val="24"/>
          <w:lang w:val="en-US"/>
        </w:rPr>
        <w:t>69</w:t>
      </w:r>
      <w:r w:rsidRPr="009B3AFB">
        <w:rPr>
          <w:rFonts w:ascii="Calibri" w:hAnsi="Calibri" w:cs="Calibri"/>
          <w:noProof/>
          <w:sz w:val="24"/>
          <w:lang w:val="en-US"/>
        </w:rPr>
        <w:t>(1), 12–50. https://doi.org/10.1128/mmbr.69.1.12-50.2005</w:t>
      </w:r>
    </w:p>
    <w:p w14:paraId="1850D2FD"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Zawierucha, K., Kolicka, M., Takeuchi, N., &amp; Kaczmarek, L. (2015). What animals can live in cryoconite holes? A faunal review. </w:t>
      </w:r>
      <w:r w:rsidRPr="009B3AFB">
        <w:rPr>
          <w:rFonts w:ascii="Calibri" w:hAnsi="Calibri" w:cs="Calibri"/>
          <w:i/>
          <w:iCs/>
          <w:noProof/>
          <w:sz w:val="24"/>
          <w:lang w:val="en-US"/>
        </w:rPr>
        <w:t>Journal of Zoology</w:t>
      </w:r>
      <w:r w:rsidRPr="009B3AFB">
        <w:rPr>
          <w:rFonts w:ascii="Calibri" w:hAnsi="Calibri" w:cs="Calibri"/>
          <w:noProof/>
          <w:sz w:val="24"/>
          <w:lang w:val="en-US"/>
        </w:rPr>
        <w:t xml:space="preserve">, </w:t>
      </w:r>
      <w:r w:rsidRPr="009B3AFB">
        <w:rPr>
          <w:rFonts w:ascii="Calibri" w:hAnsi="Calibri" w:cs="Calibri"/>
          <w:i/>
          <w:iCs/>
          <w:noProof/>
          <w:sz w:val="24"/>
          <w:lang w:val="en-US"/>
        </w:rPr>
        <w:t>295</w:t>
      </w:r>
      <w:r w:rsidRPr="009B3AFB">
        <w:rPr>
          <w:rFonts w:ascii="Calibri" w:hAnsi="Calibri" w:cs="Calibri"/>
          <w:noProof/>
          <w:sz w:val="24"/>
          <w:lang w:val="en-US"/>
        </w:rPr>
        <w:t xml:space="preserve">(3), 159–169. </w:t>
      </w:r>
      <w:r w:rsidRPr="009B3AFB">
        <w:rPr>
          <w:rFonts w:ascii="Calibri" w:hAnsi="Calibri" w:cs="Calibri"/>
          <w:noProof/>
          <w:sz w:val="24"/>
          <w:lang w:val="en-US"/>
        </w:rPr>
        <w:lastRenderedPageBreak/>
        <w:t>https://doi.org/10.1111/jzo.12195</w:t>
      </w:r>
    </w:p>
    <w:p w14:paraId="6FBAE7C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Zawierucha, Krzysztof, Ostrowska, M., &amp; Kolicka, M. (2017). Applicability of cryoconite consortia of microorganisms and glacier-dwelling animals in astrobiological studies. </w:t>
      </w:r>
      <w:r w:rsidRPr="009B3AFB">
        <w:rPr>
          <w:rFonts w:ascii="Calibri" w:hAnsi="Calibri" w:cs="Calibri"/>
          <w:i/>
          <w:iCs/>
          <w:noProof/>
          <w:sz w:val="24"/>
          <w:lang w:val="en-US"/>
        </w:rPr>
        <w:t>Contemporary Trends in Geoscience</w:t>
      </w:r>
      <w:r w:rsidRPr="009B3AFB">
        <w:rPr>
          <w:rFonts w:ascii="Calibri" w:hAnsi="Calibri" w:cs="Calibri"/>
          <w:noProof/>
          <w:sz w:val="24"/>
          <w:lang w:val="en-US"/>
        </w:rPr>
        <w:t xml:space="preserve">, </w:t>
      </w:r>
      <w:r w:rsidRPr="009B3AFB">
        <w:rPr>
          <w:rFonts w:ascii="Calibri" w:hAnsi="Calibri" w:cs="Calibri"/>
          <w:i/>
          <w:iCs/>
          <w:noProof/>
          <w:sz w:val="24"/>
          <w:lang w:val="en-US"/>
        </w:rPr>
        <w:t>6</w:t>
      </w:r>
      <w:r w:rsidRPr="009B3AFB">
        <w:rPr>
          <w:rFonts w:ascii="Calibri" w:hAnsi="Calibri" w:cs="Calibri"/>
          <w:noProof/>
          <w:sz w:val="24"/>
          <w:lang w:val="en-US"/>
        </w:rPr>
        <w:t>(1), 1–10. https://doi.org/10.1515/ctg-2017-0001</w:t>
      </w:r>
    </w:p>
    <w:p w14:paraId="7059F1FD"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Zawierucha, Krzysztof, Vonnahme, T. R., Devetter, M., Kolicka, M., Ostrowska, M., Chmielewski, S., &amp; Kosicki, J. Z. (2016). Area, depth and elevation of cryoconite holes in the Arctic do not influence Tardigrada densities. </w:t>
      </w:r>
      <w:r w:rsidRPr="009B3AFB">
        <w:rPr>
          <w:rFonts w:ascii="Calibri" w:hAnsi="Calibri" w:cs="Calibri"/>
          <w:i/>
          <w:iCs/>
          <w:noProof/>
          <w:sz w:val="24"/>
          <w:lang w:val="en-US"/>
        </w:rPr>
        <w:t>Polish Polar Research</w:t>
      </w:r>
      <w:r w:rsidRPr="009B3AFB">
        <w:rPr>
          <w:rFonts w:ascii="Calibri" w:hAnsi="Calibri" w:cs="Calibri"/>
          <w:noProof/>
          <w:sz w:val="24"/>
          <w:lang w:val="en-US"/>
        </w:rPr>
        <w:t xml:space="preserve">, </w:t>
      </w:r>
      <w:r w:rsidRPr="009B3AFB">
        <w:rPr>
          <w:rFonts w:ascii="Calibri" w:hAnsi="Calibri" w:cs="Calibri"/>
          <w:i/>
          <w:iCs/>
          <w:noProof/>
          <w:sz w:val="24"/>
          <w:lang w:val="en-US"/>
        </w:rPr>
        <w:t>37</w:t>
      </w:r>
      <w:r w:rsidRPr="009B3AFB">
        <w:rPr>
          <w:rFonts w:ascii="Calibri" w:hAnsi="Calibri" w:cs="Calibri"/>
          <w:noProof/>
          <w:sz w:val="24"/>
          <w:lang w:val="en-US"/>
        </w:rPr>
        <w:t>(2), 325–334. https://doi.org/10.1515/popore-2016-0009</w:t>
      </w:r>
    </w:p>
    <w:p w14:paraId="45A5622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Zha, J., &amp; Zhuang, Q. (2019). Microbial dormancy and its impacts on Arctic terrestrial ecosystem carbon budget. </w:t>
      </w:r>
      <w:r w:rsidRPr="009B3AFB">
        <w:rPr>
          <w:rFonts w:ascii="Calibri" w:hAnsi="Calibri" w:cs="Calibri"/>
          <w:i/>
          <w:iCs/>
          <w:noProof/>
          <w:sz w:val="24"/>
          <w:lang w:val="en-US"/>
        </w:rPr>
        <w:t>Biogeoscience</w:t>
      </w:r>
      <w:r w:rsidRPr="009B3AFB">
        <w:rPr>
          <w:rFonts w:ascii="Calibri" w:hAnsi="Calibri" w:cs="Calibri"/>
          <w:noProof/>
          <w:sz w:val="24"/>
          <w:lang w:val="en-US"/>
        </w:rPr>
        <w:t>.</w:t>
      </w:r>
    </w:p>
    <w:p w14:paraId="74B2897E"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lang w:val="en-US"/>
        </w:rPr>
      </w:pPr>
      <w:r w:rsidRPr="009B3AFB">
        <w:rPr>
          <w:rFonts w:ascii="Calibri" w:hAnsi="Calibri" w:cs="Calibri"/>
          <w:noProof/>
          <w:sz w:val="24"/>
          <w:lang w:val="en-US"/>
        </w:rPr>
        <w:t xml:space="preserve">Zhou, J. (2017). Stochastic Community Assembly : Does It Matter in Microbial Ecology? </w:t>
      </w:r>
      <w:r w:rsidRPr="009B3AFB">
        <w:rPr>
          <w:rFonts w:ascii="Calibri" w:hAnsi="Calibri" w:cs="Calibri"/>
          <w:i/>
          <w:iCs/>
          <w:noProof/>
          <w:sz w:val="24"/>
          <w:lang w:val="en-US"/>
        </w:rPr>
        <w:t>Microbiology and Molecular Biology Reviews</w:t>
      </w:r>
      <w:r w:rsidRPr="009B3AFB">
        <w:rPr>
          <w:rFonts w:ascii="Calibri" w:hAnsi="Calibri" w:cs="Calibri"/>
          <w:noProof/>
          <w:sz w:val="24"/>
          <w:lang w:val="en-US"/>
        </w:rPr>
        <w:t xml:space="preserve">, </w:t>
      </w:r>
      <w:r w:rsidRPr="009B3AFB">
        <w:rPr>
          <w:rFonts w:ascii="Calibri" w:hAnsi="Calibri" w:cs="Calibri"/>
          <w:i/>
          <w:iCs/>
          <w:noProof/>
          <w:sz w:val="24"/>
          <w:lang w:val="en-US"/>
        </w:rPr>
        <w:t>81</w:t>
      </w:r>
      <w:r w:rsidRPr="009B3AFB">
        <w:rPr>
          <w:rFonts w:ascii="Calibri" w:hAnsi="Calibri" w:cs="Calibri"/>
          <w:noProof/>
          <w:sz w:val="24"/>
          <w:lang w:val="en-US"/>
        </w:rPr>
        <w:t>(4), 1–32.</w:t>
      </w:r>
    </w:p>
    <w:p w14:paraId="00518A22" w14:textId="77777777" w:rsidR="009B3AFB" w:rsidRPr="009B3AFB" w:rsidRDefault="009B3AFB" w:rsidP="009B3AFB">
      <w:pPr>
        <w:widowControl w:val="0"/>
        <w:autoSpaceDE w:val="0"/>
        <w:autoSpaceDN w:val="0"/>
        <w:adjustRightInd w:val="0"/>
        <w:spacing w:after="0" w:line="240" w:lineRule="auto"/>
        <w:ind w:left="480" w:hanging="480"/>
        <w:rPr>
          <w:rFonts w:ascii="Calibri" w:hAnsi="Calibri" w:cs="Calibri"/>
          <w:noProof/>
          <w:sz w:val="24"/>
        </w:rPr>
      </w:pPr>
      <w:r w:rsidRPr="009B3AFB">
        <w:rPr>
          <w:rFonts w:ascii="Calibri" w:hAnsi="Calibri" w:cs="Calibri"/>
          <w:noProof/>
          <w:sz w:val="24"/>
          <w:lang w:val="en-US"/>
        </w:rPr>
        <w:t xml:space="preserve">Zwart, J. A., Hanson, Z. J., Vanderwall, J., Bolster, D., Hamlet, A., &amp; Jones, S. E. (2018). Spatially Explicit, Regional-Scale Simulation of Lake Carbon Fluxes. </w:t>
      </w:r>
      <w:r w:rsidRPr="009B3AFB">
        <w:rPr>
          <w:rFonts w:ascii="Calibri" w:hAnsi="Calibri" w:cs="Calibri"/>
          <w:i/>
          <w:iCs/>
          <w:noProof/>
          <w:sz w:val="24"/>
          <w:lang w:val="en-US"/>
        </w:rPr>
        <w:t>Global Biogeochemical Cycles</w:t>
      </w:r>
      <w:r w:rsidRPr="009B3AFB">
        <w:rPr>
          <w:rFonts w:ascii="Calibri" w:hAnsi="Calibri" w:cs="Calibri"/>
          <w:noProof/>
          <w:sz w:val="24"/>
          <w:lang w:val="en-US"/>
        </w:rPr>
        <w:t xml:space="preserve">, </w:t>
      </w:r>
      <w:r w:rsidRPr="009B3AFB">
        <w:rPr>
          <w:rFonts w:ascii="Calibri" w:hAnsi="Calibri" w:cs="Calibri"/>
          <w:i/>
          <w:iCs/>
          <w:noProof/>
          <w:sz w:val="24"/>
          <w:lang w:val="en-US"/>
        </w:rPr>
        <w:t>32</w:t>
      </w:r>
      <w:r w:rsidRPr="009B3AFB">
        <w:rPr>
          <w:rFonts w:ascii="Calibri" w:hAnsi="Calibri" w:cs="Calibri"/>
          <w:noProof/>
          <w:sz w:val="24"/>
          <w:lang w:val="en-US"/>
        </w:rPr>
        <w:t>(9), 1276–1293. https://doi.org/10.1002/2017GB005843</w:t>
      </w:r>
    </w:p>
    <w:p w14:paraId="70AC0B46" w14:textId="50855AF9" w:rsidR="003F7686" w:rsidRDefault="003F7686" w:rsidP="009B3AFB">
      <w:pPr>
        <w:widowControl w:val="0"/>
        <w:autoSpaceDE w:val="0"/>
        <w:autoSpaceDN w:val="0"/>
        <w:adjustRightInd w:val="0"/>
        <w:spacing w:after="0" w:line="240" w:lineRule="auto"/>
        <w:ind w:left="480" w:hanging="480"/>
      </w:pPr>
      <w:r>
        <w:fldChar w:fldCharType="end"/>
      </w:r>
    </w:p>
    <w:p w14:paraId="012FB9C4" w14:textId="1FBF2286" w:rsidR="00BD29D5" w:rsidRDefault="00BD29D5"/>
    <w:p w14:paraId="029C2C33" w14:textId="77777777" w:rsidR="00BD29D5" w:rsidRDefault="00BD29D5"/>
    <w:p w14:paraId="6FF1866E" w14:textId="77777777" w:rsidR="00BD29D5" w:rsidRDefault="00BD29D5"/>
    <w:p w14:paraId="66710F2E" w14:textId="77777777" w:rsidR="00BD29D5" w:rsidRDefault="00BD29D5"/>
    <w:p w14:paraId="636130F5" w14:textId="22A0190C" w:rsidR="00BD29D5" w:rsidRDefault="00BD29D5"/>
    <w:p w14:paraId="72EDA65E" w14:textId="77777777" w:rsidR="00BD29D5" w:rsidRDefault="00BD29D5"/>
    <w:p w14:paraId="433272DA" w14:textId="016CDA95" w:rsidR="00BD29D5" w:rsidRDefault="00BD29D5"/>
    <w:p w14:paraId="480A413F" w14:textId="77777777" w:rsidR="00BD29D5" w:rsidRDefault="00BD29D5"/>
    <w:p w14:paraId="7AFE46B2" w14:textId="07EB0C56" w:rsidR="00BD29D5" w:rsidRDefault="00BD29D5"/>
    <w:p w14:paraId="5F44E17C" w14:textId="77777777" w:rsidR="00BD29D5" w:rsidRDefault="00BD29D5"/>
    <w:sectPr w:rsidR="00BD29D5" w:rsidSect="00BF7219">
      <w:pgSz w:w="11901" w:h="1681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737658"/>
    <w:multiLevelType w:val="hybridMultilevel"/>
    <w:tmpl w:val="B53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B36C8"/>
    <w:multiLevelType w:val="hybridMultilevel"/>
    <w:tmpl w:val="A8B4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1E498E"/>
    <w:multiLevelType w:val="hybridMultilevel"/>
    <w:tmpl w:val="3524F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05920"/>
    <w:multiLevelType w:val="hybridMultilevel"/>
    <w:tmpl w:val="C59A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D5"/>
    <w:rsid w:val="00015019"/>
    <w:rsid w:val="0002779D"/>
    <w:rsid w:val="00031FC6"/>
    <w:rsid w:val="00042E61"/>
    <w:rsid w:val="00077E9D"/>
    <w:rsid w:val="00091F0B"/>
    <w:rsid w:val="000A098B"/>
    <w:rsid w:val="000C1359"/>
    <w:rsid w:val="000D13C5"/>
    <w:rsid w:val="000D6CED"/>
    <w:rsid w:val="000E25FC"/>
    <w:rsid w:val="00145BF8"/>
    <w:rsid w:val="00156F7C"/>
    <w:rsid w:val="00163435"/>
    <w:rsid w:val="00172AD3"/>
    <w:rsid w:val="00174C55"/>
    <w:rsid w:val="001948AB"/>
    <w:rsid w:val="00194AE8"/>
    <w:rsid w:val="001B545D"/>
    <w:rsid w:val="001B6FE6"/>
    <w:rsid w:val="001C0ACE"/>
    <w:rsid w:val="001C3C84"/>
    <w:rsid w:val="001E315E"/>
    <w:rsid w:val="001F0DC1"/>
    <w:rsid w:val="001F1949"/>
    <w:rsid w:val="00223805"/>
    <w:rsid w:val="00235302"/>
    <w:rsid w:val="0024356F"/>
    <w:rsid w:val="002443DE"/>
    <w:rsid w:val="00290BCE"/>
    <w:rsid w:val="002B365D"/>
    <w:rsid w:val="002C2DB9"/>
    <w:rsid w:val="002D4857"/>
    <w:rsid w:val="003342FA"/>
    <w:rsid w:val="00340B1F"/>
    <w:rsid w:val="00343238"/>
    <w:rsid w:val="00344455"/>
    <w:rsid w:val="00346F05"/>
    <w:rsid w:val="0035763B"/>
    <w:rsid w:val="00370CA2"/>
    <w:rsid w:val="003772A3"/>
    <w:rsid w:val="00383D63"/>
    <w:rsid w:val="00385540"/>
    <w:rsid w:val="0039176E"/>
    <w:rsid w:val="00391E89"/>
    <w:rsid w:val="00395179"/>
    <w:rsid w:val="003A2951"/>
    <w:rsid w:val="003C7EF2"/>
    <w:rsid w:val="003D16E4"/>
    <w:rsid w:val="003F7686"/>
    <w:rsid w:val="00400A4C"/>
    <w:rsid w:val="00406715"/>
    <w:rsid w:val="004253B1"/>
    <w:rsid w:val="00442A17"/>
    <w:rsid w:val="00442CCE"/>
    <w:rsid w:val="004446C9"/>
    <w:rsid w:val="004503AF"/>
    <w:rsid w:val="00454F1C"/>
    <w:rsid w:val="004616C1"/>
    <w:rsid w:val="004716E4"/>
    <w:rsid w:val="0048344C"/>
    <w:rsid w:val="0048575B"/>
    <w:rsid w:val="00496397"/>
    <w:rsid w:val="004A00D1"/>
    <w:rsid w:val="004A560C"/>
    <w:rsid w:val="004C0544"/>
    <w:rsid w:val="004C176B"/>
    <w:rsid w:val="004C1C63"/>
    <w:rsid w:val="004C4B3A"/>
    <w:rsid w:val="004D5D58"/>
    <w:rsid w:val="004D7054"/>
    <w:rsid w:val="004E0E92"/>
    <w:rsid w:val="004E6AF6"/>
    <w:rsid w:val="004E7A51"/>
    <w:rsid w:val="004E7AD7"/>
    <w:rsid w:val="00511661"/>
    <w:rsid w:val="005155B5"/>
    <w:rsid w:val="00515BE4"/>
    <w:rsid w:val="00517149"/>
    <w:rsid w:val="00522439"/>
    <w:rsid w:val="005272E1"/>
    <w:rsid w:val="00552C3E"/>
    <w:rsid w:val="00581894"/>
    <w:rsid w:val="005A3E2A"/>
    <w:rsid w:val="005A663C"/>
    <w:rsid w:val="005D0D13"/>
    <w:rsid w:val="005D0EE6"/>
    <w:rsid w:val="005E2ABB"/>
    <w:rsid w:val="005F2A18"/>
    <w:rsid w:val="006024CB"/>
    <w:rsid w:val="006316BF"/>
    <w:rsid w:val="00637D30"/>
    <w:rsid w:val="00652550"/>
    <w:rsid w:val="0065572F"/>
    <w:rsid w:val="0066775C"/>
    <w:rsid w:val="00672860"/>
    <w:rsid w:val="00674612"/>
    <w:rsid w:val="006840D6"/>
    <w:rsid w:val="0069319A"/>
    <w:rsid w:val="00695FD1"/>
    <w:rsid w:val="00697AA5"/>
    <w:rsid w:val="006A0F37"/>
    <w:rsid w:val="006A1FF4"/>
    <w:rsid w:val="006A29D3"/>
    <w:rsid w:val="006B4CF7"/>
    <w:rsid w:val="006C0848"/>
    <w:rsid w:val="006D37E6"/>
    <w:rsid w:val="006D58CF"/>
    <w:rsid w:val="006F7B0F"/>
    <w:rsid w:val="007072E4"/>
    <w:rsid w:val="00711ED8"/>
    <w:rsid w:val="007220D2"/>
    <w:rsid w:val="00723501"/>
    <w:rsid w:val="007574D4"/>
    <w:rsid w:val="0076091C"/>
    <w:rsid w:val="007925D0"/>
    <w:rsid w:val="00795C2E"/>
    <w:rsid w:val="007A495C"/>
    <w:rsid w:val="007A6D13"/>
    <w:rsid w:val="007D4117"/>
    <w:rsid w:val="007E20EB"/>
    <w:rsid w:val="00802B6A"/>
    <w:rsid w:val="00815747"/>
    <w:rsid w:val="00815A1A"/>
    <w:rsid w:val="00834B85"/>
    <w:rsid w:val="008367A0"/>
    <w:rsid w:val="008403F1"/>
    <w:rsid w:val="00840BA6"/>
    <w:rsid w:val="008571A1"/>
    <w:rsid w:val="008734BE"/>
    <w:rsid w:val="00880B4D"/>
    <w:rsid w:val="008A30A8"/>
    <w:rsid w:val="008A3A49"/>
    <w:rsid w:val="008B1E20"/>
    <w:rsid w:val="008D73B3"/>
    <w:rsid w:val="008E4323"/>
    <w:rsid w:val="008F6434"/>
    <w:rsid w:val="009076EB"/>
    <w:rsid w:val="009145E4"/>
    <w:rsid w:val="00916041"/>
    <w:rsid w:val="00934D05"/>
    <w:rsid w:val="00942082"/>
    <w:rsid w:val="00950FE2"/>
    <w:rsid w:val="0095426E"/>
    <w:rsid w:val="00963C89"/>
    <w:rsid w:val="00980E1E"/>
    <w:rsid w:val="0099013F"/>
    <w:rsid w:val="00990DE6"/>
    <w:rsid w:val="00996DE5"/>
    <w:rsid w:val="009970B8"/>
    <w:rsid w:val="009B3AFB"/>
    <w:rsid w:val="009C0799"/>
    <w:rsid w:val="009C19F8"/>
    <w:rsid w:val="009C439A"/>
    <w:rsid w:val="009C536D"/>
    <w:rsid w:val="009E1E2A"/>
    <w:rsid w:val="009F2531"/>
    <w:rsid w:val="009F56D6"/>
    <w:rsid w:val="009F6B68"/>
    <w:rsid w:val="00A121DE"/>
    <w:rsid w:val="00A130EB"/>
    <w:rsid w:val="00A14E1C"/>
    <w:rsid w:val="00A24835"/>
    <w:rsid w:val="00A2532C"/>
    <w:rsid w:val="00A57BC7"/>
    <w:rsid w:val="00A611E1"/>
    <w:rsid w:val="00A70595"/>
    <w:rsid w:val="00A71F4F"/>
    <w:rsid w:val="00A810DA"/>
    <w:rsid w:val="00A91E0E"/>
    <w:rsid w:val="00A97A24"/>
    <w:rsid w:val="00AA7CA2"/>
    <w:rsid w:val="00AB32C1"/>
    <w:rsid w:val="00AC5675"/>
    <w:rsid w:val="00AC69FF"/>
    <w:rsid w:val="00AF200B"/>
    <w:rsid w:val="00AF5D56"/>
    <w:rsid w:val="00B1062D"/>
    <w:rsid w:val="00B47365"/>
    <w:rsid w:val="00B63A19"/>
    <w:rsid w:val="00B66739"/>
    <w:rsid w:val="00B73AA2"/>
    <w:rsid w:val="00BA5EB4"/>
    <w:rsid w:val="00BC5785"/>
    <w:rsid w:val="00BD29D5"/>
    <w:rsid w:val="00BE2CE4"/>
    <w:rsid w:val="00BF7219"/>
    <w:rsid w:val="00C01BD0"/>
    <w:rsid w:val="00C162D8"/>
    <w:rsid w:val="00C54A07"/>
    <w:rsid w:val="00C610DD"/>
    <w:rsid w:val="00C76172"/>
    <w:rsid w:val="00C80174"/>
    <w:rsid w:val="00C9580E"/>
    <w:rsid w:val="00CA6816"/>
    <w:rsid w:val="00CA71D4"/>
    <w:rsid w:val="00CC3B48"/>
    <w:rsid w:val="00D158EE"/>
    <w:rsid w:val="00D2487B"/>
    <w:rsid w:val="00D309A9"/>
    <w:rsid w:val="00D41C35"/>
    <w:rsid w:val="00D448C9"/>
    <w:rsid w:val="00D55135"/>
    <w:rsid w:val="00D57310"/>
    <w:rsid w:val="00D626D7"/>
    <w:rsid w:val="00D66A0F"/>
    <w:rsid w:val="00D74F30"/>
    <w:rsid w:val="00D765CB"/>
    <w:rsid w:val="00DA2F02"/>
    <w:rsid w:val="00DB482F"/>
    <w:rsid w:val="00DC2233"/>
    <w:rsid w:val="00DC25BE"/>
    <w:rsid w:val="00DC528E"/>
    <w:rsid w:val="00DE0549"/>
    <w:rsid w:val="00DE3B79"/>
    <w:rsid w:val="00DE5D83"/>
    <w:rsid w:val="00DF63B4"/>
    <w:rsid w:val="00E0278D"/>
    <w:rsid w:val="00E077E7"/>
    <w:rsid w:val="00E14940"/>
    <w:rsid w:val="00E33F38"/>
    <w:rsid w:val="00E35088"/>
    <w:rsid w:val="00E42044"/>
    <w:rsid w:val="00E42748"/>
    <w:rsid w:val="00E54291"/>
    <w:rsid w:val="00E706FA"/>
    <w:rsid w:val="00E70D25"/>
    <w:rsid w:val="00E7107C"/>
    <w:rsid w:val="00E80BB1"/>
    <w:rsid w:val="00EA1464"/>
    <w:rsid w:val="00EA72C5"/>
    <w:rsid w:val="00EC3F46"/>
    <w:rsid w:val="00ED378C"/>
    <w:rsid w:val="00ED4710"/>
    <w:rsid w:val="00ED509B"/>
    <w:rsid w:val="00F1361B"/>
    <w:rsid w:val="00F14D8F"/>
    <w:rsid w:val="00F211BB"/>
    <w:rsid w:val="00F21C2D"/>
    <w:rsid w:val="00F248FB"/>
    <w:rsid w:val="00F268C3"/>
    <w:rsid w:val="00F36744"/>
    <w:rsid w:val="00F8365B"/>
    <w:rsid w:val="00F847CD"/>
    <w:rsid w:val="00F86254"/>
    <w:rsid w:val="00FA1E8B"/>
    <w:rsid w:val="00FB1A0C"/>
    <w:rsid w:val="00FC5E74"/>
    <w:rsid w:val="00FF0F61"/>
    <w:rsid w:val="00FF68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090F"/>
  <w14:defaultImageDpi w14:val="32767"/>
  <w15:chartTrackingRefBased/>
  <w15:docId w15:val="{07663A09-5B8C-A341-976A-D92100D9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GB"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F68C8"/>
  </w:style>
  <w:style w:type="paragraph" w:styleId="Heading1">
    <w:name w:val="heading 1"/>
    <w:basedOn w:val="Normal"/>
    <w:next w:val="Normal"/>
    <w:link w:val="Heading1Char"/>
    <w:uiPriority w:val="9"/>
    <w:qFormat/>
    <w:rsid w:val="00FF68C8"/>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F68C8"/>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FF68C8"/>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FF68C8"/>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F68C8"/>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F68C8"/>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F68C8"/>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F68C8"/>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F68C8"/>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8C8"/>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F68C8"/>
    <w:rPr>
      <w:caps/>
      <w:color w:val="833C0B" w:themeColor="accent2" w:themeShade="80"/>
      <w:spacing w:val="15"/>
      <w:sz w:val="24"/>
      <w:szCs w:val="24"/>
    </w:rPr>
  </w:style>
  <w:style w:type="character" w:customStyle="1" w:styleId="Heading3Char">
    <w:name w:val="Heading 3 Char"/>
    <w:basedOn w:val="DefaultParagraphFont"/>
    <w:link w:val="Heading3"/>
    <w:uiPriority w:val="9"/>
    <w:rsid w:val="00FF68C8"/>
    <w:rPr>
      <w:caps/>
      <w:color w:val="823B0B" w:themeColor="accent2" w:themeShade="7F"/>
      <w:sz w:val="24"/>
      <w:szCs w:val="24"/>
    </w:rPr>
  </w:style>
  <w:style w:type="paragraph" w:styleId="TOCHeading">
    <w:name w:val="TOC Heading"/>
    <w:basedOn w:val="Heading1"/>
    <w:next w:val="Normal"/>
    <w:uiPriority w:val="39"/>
    <w:unhideWhenUsed/>
    <w:qFormat/>
    <w:rsid w:val="00FF68C8"/>
    <w:pPr>
      <w:outlineLvl w:val="9"/>
    </w:pPr>
  </w:style>
  <w:style w:type="paragraph" w:styleId="TOC1">
    <w:name w:val="toc 1"/>
    <w:basedOn w:val="Normal"/>
    <w:next w:val="Normal"/>
    <w:autoRedefine/>
    <w:uiPriority w:val="39"/>
    <w:unhideWhenUsed/>
    <w:rsid w:val="002C2DB9"/>
    <w:pPr>
      <w:spacing w:before="120"/>
    </w:pPr>
    <w:rPr>
      <w:b/>
      <w:bCs/>
      <w:i/>
      <w:iCs/>
    </w:rPr>
  </w:style>
  <w:style w:type="paragraph" w:styleId="TOC2">
    <w:name w:val="toc 2"/>
    <w:basedOn w:val="Normal"/>
    <w:next w:val="Normal"/>
    <w:autoRedefine/>
    <w:uiPriority w:val="39"/>
    <w:unhideWhenUsed/>
    <w:rsid w:val="002C2DB9"/>
    <w:pPr>
      <w:spacing w:before="120"/>
      <w:ind w:left="240"/>
    </w:pPr>
    <w:rPr>
      <w:b/>
      <w:bCs/>
    </w:rPr>
  </w:style>
  <w:style w:type="paragraph" w:styleId="TOC3">
    <w:name w:val="toc 3"/>
    <w:basedOn w:val="Normal"/>
    <w:next w:val="Normal"/>
    <w:autoRedefine/>
    <w:uiPriority w:val="39"/>
    <w:unhideWhenUsed/>
    <w:rsid w:val="002C2DB9"/>
    <w:pPr>
      <w:ind w:left="480"/>
    </w:pPr>
    <w:rPr>
      <w:sz w:val="20"/>
      <w:szCs w:val="20"/>
    </w:rPr>
  </w:style>
  <w:style w:type="character" w:styleId="Hyperlink">
    <w:name w:val="Hyperlink"/>
    <w:basedOn w:val="DefaultParagraphFont"/>
    <w:uiPriority w:val="99"/>
    <w:unhideWhenUsed/>
    <w:rsid w:val="002C2DB9"/>
    <w:rPr>
      <w:color w:val="0563C1" w:themeColor="hyperlink"/>
      <w:u w:val="single"/>
    </w:rPr>
  </w:style>
  <w:style w:type="paragraph" w:styleId="TOC4">
    <w:name w:val="toc 4"/>
    <w:basedOn w:val="Normal"/>
    <w:next w:val="Normal"/>
    <w:autoRedefine/>
    <w:uiPriority w:val="39"/>
    <w:semiHidden/>
    <w:unhideWhenUsed/>
    <w:rsid w:val="002C2DB9"/>
    <w:pPr>
      <w:ind w:left="720"/>
    </w:pPr>
    <w:rPr>
      <w:sz w:val="20"/>
      <w:szCs w:val="20"/>
    </w:rPr>
  </w:style>
  <w:style w:type="paragraph" w:styleId="TOC5">
    <w:name w:val="toc 5"/>
    <w:basedOn w:val="Normal"/>
    <w:next w:val="Normal"/>
    <w:autoRedefine/>
    <w:uiPriority w:val="39"/>
    <w:semiHidden/>
    <w:unhideWhenUsed/>
    <w:rsid w:val="002C2DB9"/>
    <w:pPr>
      <w:ind w:left="960"/>
    </w:pPr>
    <w:rPr>
      <w:sz w:val="20"/>
      <w:szCs w:val="20"/>
    </w:rPr>
  </w:style>
  <w:style w:type="paragraph" w:styleId="TOC6">
    <w:name w:val="toc 6"/>
    <w:basedOn w:val="Normal"/>
    <w:next w:val="Normal"/>
    <w:autoRedefine/>
    <w:uiPriority w:val="39"/>
    <w:semiHidden/>
    <w:unhideWhenUsed/>
    <w:rsid w:val="002C2DB9"/>
    <w:pPr>
      <w:ind w:left="1200"/>
    </w:pPr>
    <w:rPr>
      <w:sz w:val="20"/>
      <w:szCs w:val="20"/>
    </w:rPr>
  </w:style>
  <w:style w:type="paragraph" w:styleId="TOC7">
    <w:name w:val="toc 7"/>
    <w:basedOn w:val="Normal"/>
    <w:next w:val="Normal"/>
    <w:autoRedefine/>
    <w:uiPriority w:val="39"/>
    <w:semiHidden/>
    <w:unhideWhenUsed/>
    <w:rsid w:val="002C2DB9"/>
    <w:pPr>
      <w:ind w:left="1440"/>
    </w:pPr>
    <w:rPr>
      <w:sz w:val="20"/>
      <w:szCs w:val="20"/>
    </w:rPr>
  </w:style>
  <w:style w:type="paragraph" w:styleId="TOC8">
    <w:name w:val="toc 8"/>
    <w:basedOn w:val="Normal"/>
    <w:next w:val="Normal"/>
    <w:autoRedefine/>
    <w:uiPriority w:val="39"/>
    <w:semiHidden/>
    <w:unhideWhenUsed/>
    <w:rsid w:val="002C2DB9"/>
    <w:pPr>
      <w:ind w:left="1680"/>
    </w:pPr>
    <w:rPr>
      <w:sz w:val="20"/>
      <w:szCs w:val="20"/>
    </w:rPr>
  </w:style>
  <w:style w:type="paragraph" w:styleId="TOC9">
    <w:name w:val="toc 9"/>
    <w:basedOn w:val="Normal"/>
    <w:next w:val="Normal"/>
    <w:autoRedefine/>
    <w:uiPriority w:val="39"/>
    <w:semiHidden/>
    <w:unhideWhenUsed/>
    <w:rsid w:val="002C2DB9"/>
    <w:pPr>
      <w:ind w:left="1920"/>
    </w:pPr>
    <w:rPr>
      <w:sz w:val="20"/>
      <w:szCs w:val="20"/>
    </w:rPr>
  </w:style>
  <w:style w:type="paragraph" w:styleId="ListParagraph">
    <w:name w:val="List Paragraph"/>
    <w:basedOn w:val="Normal"/>
    <w:uiPriority w:val="34"/>
    <w:qFormat/>
    <w:rsid w:val="00FF68C8"/>
    <w:pPr>
      <w:ind w:left="720"/>
      <w:contextualSpacing/>
    </w:pPr>
  </w:style>
  <w:style w:type="paragraph" w:styleId="Revision">
    <w:name w:val="Revision"/>
    <w:hidden/>
    <w:uiPriority w:val="99"/>
    <w:semiHidden/>
    <w:rsid w:val="00BF7219"/>
  </w:style>
  <w:style w:type="character" w:customStyle="1" w:styleId="Heading4Char">
    <w:name w:val="Heading 4 Char"/>
    <w:basedOn w:val="DefaultParagraphFont"/>
    <w:link w:val="Heading4"/>
    <w:uiPriority w:val="9"/>
    <w:semiHidden/>
    <w:rsid w:val="00FF68C8"/>
    <w:rPr>
      <w:caps/>
      <w:color w:val="823B0B" w:themeColor="accent2" w:themeShade="7F"/>
      <w:spacing w:val="10"/>
    </w:rPr>
  </w:style>
  <w:style w:type="character" w:customStyle="1" w:styleId="Heading5Char">
    <w:name w:val="Heading 5 Char"/>
    <w:basedOn w:val="DefaultParagraphFont"/>
    <w:link w:val="Heading5"/>
    <w:uiPriority w:val="9"/>
    <w:semiHidden/>
    <w:rsid w:val="00FF68C8"/>
    <w:rPr>
      <w:caps/>
      <w:color w:val="823B0B" w:themeColor="accent2" w:themeShade="7F"/>
      <w:spacing w:val="10"/>
    </w:rPr>
  </w:style>
  <w:style w:type="character" w:customStyle="1" w:styleId="Heading6Char">
    <w:name w:val="Heading 6 Char"/>
    <w:basedOn w:val="DefaultParagraphFont"/>
    <w:link w:val="Heading6"/>
    <w:uiPriority w:val="9"/>
    <w:semiHidden/>
    <w:rsid w:val="00FF68C8"/>
    <w:rPr>
      <w:caps/>
      <w:color w:val="C45911" w:themeColor="accent2" w:themeShade="BF"/>
      <w:spacing w:val="10"/>
    </w:rPr>
  </w:style>
  <w:style w:type="character" w:customStyle="1" w:styleId="Heading7Char">
    <w:name w:val="Heading 7 Char"/>
    <w:basedOn w:val="DefaultParagraphFont"/>
    <w:link w:val="Heading7"/>
    <w:uiPriority w:val="9"/>
    <w:semiHidden/>
    <w:rsid w:val="00FF68C8"/>
    <w:rPr>
      <w:i/>
      <w:iCs/>
      <w:caps/>
      <w:color w:val="C45911" w:themeColor="accent2" w:themeShade="BF"/>
      <w:spacing w:val="10"/>
    </w:rPr>
  </w:style>
  <w:style w:type="character" w:customStyle="1" w:styleId="Heading8Char">
    <w:name w:val="Heading 8 Char"/>
    <w:basedOn w:val="DefaultParagraphFont"/>
    <w:link w:val="Heading8"/>
    <w:uiPriority w:val="9"/>
    <w:semiHidden/>
    <w:rsid w:val="00FF68C8"/>
    <w:rPr>
      <w:caps/>
      <w:spacing w:val="10"/>
      <w:sz w:val="20"/>
      <w:szCs w:val="20"/>
    </w:rPr>
  </w:style>
  <w:style w:type="character" w:customStyle="1" w:styleId="Heading9Char">
    <w:name w:val="Heading 9 Char"/>
    <w:basedOn w:val="DefaultParagraphFont"/>
    <w:link w:val="Heading9"/>
    <w:uiPriority w:val="9"/>
    <w:semiHidden/>
    <w:rsid w:val="00FF68C8"/>
    <w:rPr>
      <w:i/>
      <w:iCs/>
      <w:caps/>
      <w:spacing w:val="10"/>
      <w:sz w:val="20"/>
      <w:szCs w:val="20"/>
    </w:rPr>
  </w:style>
  <w:style w:type="paragraph" w:styleId="Caption">
    <w:name w:val="caption"/>
    <w:basedOn w:val="Normal"/>
    <w:next w:val="Normal"/>
    <w:uiPriority w:val="35"/>
    <w:semiHidden/>
    <w:unhideWhenUsed/>
    <w:qFormat/>
    <w:rsid w:val="00FF68C8"/>
    <w:rPr>
      <w:caps/>
      <w:spacing w:val="10"/>
      <w:sz w:val="18"/>
      <w:szCs w:val="18"/>
    </w:rPr>
  </w:style>
  <w:style w:type="paragraph" w:styleId="Title">
    <w:name w:val="Title"/>
    <w:basedOn w:val="Normal"/>
    <w:next w:val="Normal"/>
    <w:link w:val="TitleChar"/>
    <w:uiPriority w:val="10"/>
    <w:qFormat/>
    <w:rsid w:val="00FF68C8"/>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F68C8"/>
    <w:rPr>
      <w:caps/>
      <w:color w:val="833C0B" w:themeColor="accent2" w:themeShade="80"/>
      <w:spacing w:val="50"/>
      <w:sz w:val="44"/>
      <w:szCs w:val="44"/>
    </w:rPr>
  </w:style>
  <w:style w:type="paragraph" w:styleId="Subtitle">
    <w:name w:val="Subtitle"/>
    <w:basedOn w:val="Normal"/>
    <w:next w:val="Normal"/>
    <w:link w:val="SubtitleChar"/>
    <w:uiPriority w:val="11"/>
    <w:qFormat/>
    <w:rsid w:val="00FF68C8"/>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F68C8"/>
    <w:rPr>
      <w:caps/>
      <w:spacing w:val="20"/>
      <w:sz w:val="18"/>
      <w:szCs w:val="18"/>
    </w:rPr>
  </w:style>
  <w:style w:type="character" w:styleId="Strong">
    <w:name w:val="Strong"/>
    <w:uiPriority w:val="22"/>
    <w:qFormat/>
    <w:rsid w:val="00FF68C8"/>
    <w:rPr>
      <w:b/>
      <w:bCs/>
      <w:color w:val="C45911" w:themeColor="accent2" w:themeShade="BF"/>
      <w:spacing w:val="5"/>
    </w:rPr>
  </w:style>
  <w:style w:type="character" w:styleId="Emphasis">
    <w:name w:val="Emphasis"/>
    <w:uiPriority w:val="20"/>
    <w:qFormat/>
    <w:rsid w:val="00FF68C8"/>
    <w:rPr>
      <w:caps/>
      <w:spacing w:val="5"/>
      <w:sz w:val="20"/>
      <w:szCs w:val="20"/>
    </w:rPr>
  </w:style>
  <w:style w:type="paragraph" w:styleId="NoSpacing">
    <w:name w:val="No Spacing"/>
    <w:basedOn w:val="Normal"/>
    <w:link w:val="NoSpacingChar"/>
    <w:uiPriority w:val="1"/>
    <w:qFormat/>
    <w:rsid w:val="00FF68C8"/>
    <w:pPr>
      <w:spacing w:after="0" w:line="240" w:lineRule="auto"/>
    </w:pPr>
  </w:style>
  <w:style w:type="character" w:customStyle="1" w:styleId="NoSpacingChar">
    <w:name w:val="No Spacing Char"/>
    <w:basedOn w:val="DefaultParagraphFont"/>
    <w:link w:val="NoSpacing"/>
    <w:uiPriority w:val="1"/>
    <w:rsid w:val="00FF68C8"/>
  </w:style>
  <w:style w:type="paragraph" w:styleId="Quote">
    <w:name w:val="Quote"/>
    <w:basedOn w:val="Normal"/>
    <w:next w:val="Normal"/>
    <w:link w:val="QuoteChar"/>
    <w:uiPriority w:val="29"/>
    <w:qFormat/>
    <w:rsid w:val="00FF68C8"/>
    <w:rPr>
      <w:i/>
      <w:iCs/>
    </w:rPr>
  </w:style>
  <w:style w:type="character" w:customStyle="1" w:styleId="QuoteChar">
    <w:name w:val="Quote Char"/>
    <w:basedOn w:val="DefaultParagraphFont"/>
    <w:link w:val="Quote"/>
    <w:uiPriority w:val="29"/>
    <w:rsid w:val="00FF68C8"/>
    <w:rPr>
      <w:i/>
      <w:iCs/>
    </w:rPr>
  </w:style>
  <w:style w:type="paragraph" w:styleId="IntenseQuote">
    <w:name w:val="Intense Quote"/>
    <w:basedOn w:val="Normal"/>
    <w:next w:val="Normal"/>
    <w:link w:val="IntenseQuoteChar"/>
    <w:uiPriority w:val="30"/>
    <w:qFormat/>
    <w:rsid w:val="00FF68C8"/>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F68C8"/>
    <w:rPr>
      <w:caps/>
      <w:color w:val="823B0B" w:themeColor="accent2" w:themeShade="7F"/>
      <w:spacing w:val="5"/>
      <w:sz w:val="20"/>
      <w:szCs w:val="20"/>
    </w:rPr>
  </w:style>
  <w:style w:type="character" w:styleId="SubtleEmphasis">
    <w:name w:val="Subtle Emphasis"/>
    <w:uiPriority w:val="19"/>
    <w:qFormat/>
    <w:rsid w:val="00FF68C8"/>
    <w:rPr>
      <w:i/>
      <w:iCs/>
    </w:rPr>
  </w:style>
  <w:style w:type="character" w:styleId="IntenseEmphasis">
    <w:name w:val="Intense Emphasis"/>
    <w:uiPriority w:val="21"/>
    <w:qFormat/>
    <w:rsid w:val="00FF68C8"/>
    <w:rPr>
      <w:i/>
      <w:iCs/>
      <w:caps/>
      <w:spacing w:val="10"/>
      <w:sz w:val="20"/>
      <w:szCs w:val="20"/>
    </w:rPr>
  </w:style>
  <w:style w:type="character" w:styleId="SubtleReference">
    <w:name w:val="Subtle Reference"/>
    <w:basedOn w:val="DefaultParagraphFont"/>
    <w:uiPriority w:val="31"/>
    <w:qFormat/>
    <w:rsid w:val="00FF68C8"/>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F68C8"/>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F68C8"/>
    <w:rPr>
      <w:caps/>
      <w:color w:val="823B0B" w:themeColor="accent2" w:themeShade="7F"/>
      <w:spacing w:val="5"/>
      <w:u w:color="823B0B" w:themeColor="accent2" w:themeShade="7F"/>
    </w:rPr>
  </w:style>
  <w:style w:type="table" w:styleId="TableGrid">
    <w:name w:val="Table Grid"/>
    <w:basedOn w:val="TableNormal"/>
    <w:uiPriority w:val="39"/>
    <w:rsid w:val="00E07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077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4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6728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6519">
      <w:bodyDiv w:val="1"/>
      <w:marLeft w:val="0"/>
      <w:marRight w:val="0"/>
      <w:marTop w:val="0"/>
      <w:marBottom w:val="0"/>
      <w:divBdr>
        <w:top w:val="none" w:sz="0" w:space="0" w:color="auto"/>
        <w:left w:val="none" w:sz="0" w:space="0" w:color="auto"/>
        <w:bottom w:val="none" w:sz="0" w:space="0" w:color="auto"/>
        <w:right w:val="none" w:sz="0" w:space="0" w:color="auto"/>
      </w:divBdr>
    </w:div>
    <w:div w:id="107504721">
      <w:bodyDiv w:val="1"/>
      <w:marLeft w:val="0"/>
      <w:marRight w:val="0"/>
      <w:marTop w:val="0"/>
      <w:marBottom w:val="0"/>
      <w:divBdr>
        <w:top w:val="none" w:sz="0" w:space="0" w:color="auto"/>
        <w:left w:val="none" w:sz="0" w:space="0" w:color="auto"/>
        <w:bottom w:val="none" w:sz="0" w:space="0" w:color="auto"/>
        <w:right w:val="none" w:sz="0" w:space="0" w:color="auto"/>
      </w:divBdr>
    </w:div>
    <w:div w:id="156768574">
      <w:bodyDiv w:val="1"/>
      <w:marLeft w:val="0"/>
      <w:marRight w:val="0"/>
      <w:marTop w:val="0"/>
      <w:marBottom w:val="0"/>
      <w:divBdr>
        <w:top w:val="none" w:sz="0" w:space="0" w:color="auto"/>
        <w:left w:val="none" w:sz="0" w:space="0" w:color="auto"/>
        <w:bottom w:val="none" w:sz="0" w:space="0" w:color="auto"/>
        <w:right w:val="none" w:sz="0" w:space="0" w:color="auto"/>
      </w:divBdr>
    </w:div>
    <w:div w:id="186213330">
      <w:bodyDiv w:val="1"/>
      <w:marLeft w:val="0"/>
      <w:marRight w:val="0"/>
      <w:marTop w:val="0"/>
      <w:marBottom w:val="0"/>
      <w:divBdr>
        <w:top w:val="none" w:sz="0" w:space="0" w:color="auto"/>
        <w:left w:val="none" w:sz="0" w:space="0" w:color="auto"/>
        <w:bottom w:val="none" w:sz="0" w:space="0" w:color="auto"/>
        <w:right w:val="none" w:sz="0" w:space="0" w:color="auto"/>
      </w:divBdr>
    </w:div>
    <w:div w:id="191650079">
      <w:bodyDiv w:val="1"/>
      <w:marLeft w:val="0"/>
      <w:marRight w:val="0"/>
      <w:marTop w:val="0"/>
      <w:marBottom w:val="0"/>
      <w:divBdr>
        <w:top w:val="none" w:sz="0" w:space="0" w:color="auto"/>
        <w:left w:val="none" w:sz="0" w:space="0" w:color="auto"/>
        <w:bottom w:val="none" w:sz="0" w:space="0" w:color="auto"/>
        <w:right w:val="none" w:sz="0" w:space="0" w:color="auto"/>
      </w:divBdr>
    </w:div>
    <w:div w:id="242229873">
      <w:bodyDiv w:val="1"/>
      <w:marLeft w:val="0"/>
      <w:marRight w:val="0"/>
      <w:marTop w:val="0"/>
      <w:marBottom w:val="0"/>
      <w:divBdr>
        <w:top w:val="none" w:sz="0" w:space="0" w:color="auto"/>
        <w:left w:val="none" w:sz="0" w:space="0" w:color="auto"/>
        <w:bottom w:val="none" w:sz="0" w:space="0" w:color="auto"/>
        <w:right w:val="none" w:sz="0" w:space="0" w:color="auto"/>
      </w:divBdr>
    </w:div>
    <w:div w:id="257980786">
      <w:bodyDiv w:val="1"/>
      <w:marLeft w:val="0"/>
      <w:marRight w:val="0"/>
      <w:marTop w:val="0"/>
      <w:marBottom w:val="0"/>
      <w:divBdr>
        <w:top w:val="none" w:sz="0" w:space="0" w:color="auto"/>
        <w:left w:val="none" w:sz="0" w:space="0" w:color="auto"/>
        <w:bottom w:val="none" w:sz="0" w:space="0" w:color="auto"/>
        <w:right w:val="none" w:sz="0" w:space="0" w:color="auto"/>
      </w:divBdr>
    </w:div>
    <w:div w:id="489441641">
      <w:bodyDiv w:val="1"/>
      <w:marLeft w:val="0"/>
      <w:marRight w:val="0"/>
      <w:marTop w:val="0"/>
      <w:marBottom w:val="0"/>
      <w:divBdr>
        <w:top w:val="none" w:sz="0" w:space="0" w:color="auto"/>
        <w:left w:val="none" w:sz="0" w:space="0" w:color="auto"/>
        <w:bottom w:val="none" w:sz="0" w:space="0" w:color="auto"/>
        <w:right w:val="none" w:sz="0" w:space="0" w:color="auto"/>
      </w:divBdr>
    </w:div>
    <w:div w:id="632296951">
      <w:bodyDiv w:val="1"/>
      <w:marLeft w:val="0"/>
      <w:marRight w:val="0"/>
      <w:marTop w:val="0"/>
      <w:marBottom w:val="0"/>
      <w:divBdr>
        <w:top w:val="none" w:sz="0" w:space="0" w:color="auto"/>
        <w:left w:val="none" w:sz="0" w:space="0" w:color="auto"/>
        <w:bottom w:val="none" w:sz="0" w:space="0" w:color="auto"/>
        <w:right w:val="none" w:sz="0" w:space="0" w:color="auto"/>
      </w:divBdr>
    </w:div>
    <w:div w:id="799222601">
      <w:bodyDiv w:val="1"/>
      <w:marLeft w:val="0"/>
      <w:marRight w:val="0"/>
      <w:marTop w:val="0"/>
      <w:marBottom w:val="0"/>
      <w:divBdr>
        <w:top w:val="none" w:sz="0" w:space="0" w:color="auto"/>
        <w:left w:val="none" w:sz="0" w:space="0" w:color="auto"/>
        <w:bottom w:val="none" w:sz="0" w:space="0" w:color="auto"/>
        <w:right w:val="none" w:sz="0" w:space="0" w:color="auto"/>
      </w:divBdr>
    </w:div>
    <w:div w:id="807553415">
      <w:bodyDiv w:val="1"/>
      <w:marLeft w:val="0"/>
      <w:marRight w:val="0"/>
      <w:marTop w:val="0"/>
      <w:marBottom w:val="0"/>
      <w:divBdr>
        <w:top w:val="none" w:sz="0" w:space="0" w:color="auto"/>
        <w:left w:val="none" w:sz="0" w:space="0" w:color="auto"/>
        <w:bottom w:val="none" w:sz="0" w:space="0" w:color="auto"/>
        <w:right w:val="none" w:sz="0" w:space="0" w:color="auto"/>
      </w:divBdr>
    </w:div>
    <w:div w:id="845168357">
      <w:bodyDiv w:val="1"/>
      <w:marLeft w:val="0"/>
      <w:marRight w:val="0"/>
      <w:marTop w:val="0"/>
      <w:marBottom w:val="0"/>
      <w:divBdr>
        <w:top w:val="none" w:sz="0" w:space="0" w:color="auto"/>
        <w:left w:val="none" w:sz="0" w:space="0" w:color="auto"/>
        <w:bottom w:val="none" w:sz="0" w:space="0" w:color="auto"/>
        <w:right w:val="none" w:sz="0" w:space="0" w:color="auto"/>
      </w:divBdr>
    </w:div>
    <w:div w:id="961036411">
      <w:bodyDiv w:val="1"/>
      <w:marLeft w:val="0"/>
      <w:marRight w:val="0"/>
      <w:marTop w:val="0"/>
      <w:marBottom w:val="0"/>
      <w:divBdr>
        <w:top w:val="none" w:sz="0" w:space="0" w:color="auto"/>
        <w:left w:val="none" w:sz="0" w:space="0" w:color="auto"/>
        <w:bottom w:val="none" w:sz="0" w:space="0" w:color="auto"/>
        <w:right w:val="none" w:sz="0" w:space="0" w:color="auto"/>
      </w:divBdr>
    </w:div>
    <w:div w:id="1181045110">
      <w:bodyDiv w:val="1"/>
      <w:marLeft w:val="0"/>
      <w:marRight w:val="0"/>
      <w:marTop w:val="0"/>
      <w:marBottom w:val="0"/>
      <w:divBdr>
        <w:top w:val="none" w:sz="0" w:space="0" w:color="auto"/>
        <w:left w:val="none" w:sz="0" w:space="0" w:color="auto"/>
        <w:bottom w:val="none" w:sz="0" w:space="0" w:color="auto"/>
        <w:right w:val="none" w:sz="0" w:space="0" w:color="auto"/>
      </w:divBdr>
    </w:div>
    <w:div w:id="1489205290">
      <w:bodyDiv w:val="1"/>
      <w:marLeft w:val="0"/>
      <w:marRight w:val="0"/>
      <w:marTop w:val="0"/>
      <w:marBottom w:val="0"/>
      <w:divBdr>
        <w:top w:val="none" w:sz="0" w:space="0" w:color="auto"/>
        <w:left w:val="none" w:sz="0" w:space="0" w:color="auto"/>
        <w:bottom w:val="none" w:sz="0" w:space="0" w:color="auto"/>
        <w:right w:val="none" w:sz="0" w:space="0" w:color="auto"/>
      </w:divBdr>
    </w:div>
    <w:div w:id="1569418680">
      <w:bodyDiv w:val="1"/>
      <w:marLeft w:val="0"/>
      <w:marRight w:val="0"/>
      <w:marTop w:val="0"/>
      <w:marBottom w:val="0"/>
      <w:divBdr>
        <w:top w:val="none" w:sz="0" w:space="0" w:color="auto"/>
        <w:left w:val="none" w:sz="0" w:space="0" w:color="auto"/>
        <w:bottom w:val="none" w:sz="0" w:space="0" w:color="auto"/>
        <w:right w:val="none" w:sz="0" w:space="0" w:color="auto"/>
      </w:divBdr>
    </w:div>
    <w:div w:id="1597906696">
      <w:bodyDiv w:val="1"/>
      <w:marLeft w:val="0"/>
      <w:marRight w:val="0"/>
      <w:marTop w:val="0"/>
      <w:marBottom w:val="0"/>
      <w:divBdr>
        <w:top w:val="none" w:sz="0" w:space="0" w:color="auto"/>
        <w:left w:val="none" w:sz="0" w:space="0" w:color="auto"/>
        <w:bottom w:val="none" w:sz="0" w:space="0" w:color="auto"/>
        <w:right w:val="none" w:sz="0" w:space="0" w:color="auto"/>
      </w:divBdr>
    </w:div>
    <w:div w:id="1607427339">
      <w:bodyDiv w:val="1"/>
      <w:marLeft w:val="0"/>
      <w:marRight w:val="0"/>
      <w:marTop w:val="0"/>
      <w:marBottom w:val="0"/>
      <w:divBdr>
        <w:top w:val="none" w:sz="0" w:space="0" w:color="auto"/>
        <w:left w:val="none" w:sz="0" w:space="0" w:color="auto"/>
        <w:bottom w:val="none" w:sz="0" w:space="0" w:color="auto"/>
        <w:right w:val="none" w:sz="0" w:space="0" w:color="auto"/>
      </w:divBdr>
    </w:div>
    <w:div w:id="1773816717">
      <w:bodyDiv w:val="1"/>
      <w:marLeft w:val="0"/>
      <w:marRight w:val="0"/>
      <w:marTop w:val="0"/>
      <w:marBottom w:val="0"/>
      <w:divBdr>
        <w:top w:val="none" w:sz="0" w:space="0" w:color="auto"/>
        <w:left w:val="none" w:sz="0" w:space="0" w:color="auto"/>
        <w:bottom w:val="none" w:sz="0" w:space="0" w:color="auto"/>
        <w:right w:val="none" w:sz="0" w:space="0" w:color="auto"/>
      </w:divBdr>
    </w:div>
    <w:div w:id="1878934278">
      <w:bodyDiv w:val="1"/>
      <w:marLeft w:val="0"/>
      <w:marRight w:val="0"/>
      <w:marTop w:val="0"/>
      <w:marBottom w:val="0"/>
      <w:divBdr>
        <w:top w:val="none" w:sz="0" w:space="0" w:color="auto"/>
        <w:left w:val="none" w:sz="0" w:space="0" w:color="auto"/>
        <w:bottom w:val="none" w:sz="0" w:space="0" w:color="auto"/>
        <w:right w:val="none" w:sz="0" w:space="0" w:color="auto"/>
      </w:divBdr>
    </w:div>
    <w:div w:id="1901747402">
      <w:bodyDiv w:val="1"/>
      <w:marLeft w:val="0"/>
      <w:marRight w:val="0"/>
      <w:marTop w:val="0"/>
      <w:marBottom w:val="0"/>
      <w:divBdr>
        <w:top w:val="none" w:sz="0" w:space="0" w:color="auto"/>
        <w:left w:val="none" w:sz="0" w:space="0" w:color="auto"/>
        <w:bottom w:val="none" w:sz="0" w:space="0" w:color="auto"/>
        <w:right w:val="none" w:sz="0" w:space="0" w:color="auto"/>
      </w:divBdr>
    </w:div>
    <w:div w:id="1965692235">
      <w:bodyDiv w:val="1"/>
      <w:marLeft w:val="0"/>
      <w:marRight w:val="0"/>
      <w:marTop w:val="0"/>
      <w:marBottom w:val="0"/>
      <w:divBdr>
        <w:top w:val="none" w:sz="0" w:space="0" w:color="auto"/>
        <w:left w:val="none" w:sz="0" w:space="0" w:color="auto"/>
        <w:bottom w:val="none" w:sz="0" w:space="0" w:color="auto"/>
        <w:right w:val="none" w:sz="0" w:space="0" w:color="auto"/>
      </w:divBdr>
    </w:div>
    <w:div w:id="1966546438">
      <w:bodyDiv w:val="1"/>
      <w:marLeft w:val="0"/>
      <w:marRight w:val="0"/>
      <w:marTop w:val="0"/>
      <w:marBottom w:val="0"/>
      <w:divBdr>
        <w:top w:val="none" w:sz="0" w:space="0" w:color="auto"/>
        <w:left w:val="none" w:sz="0" w:space="0" w:color="auto"/>
        <w:bottom w:val="none" w:sz="0" w:space="0" w:color="auto"/>
        <w:right w:val="none" w:sz="0" w:space="0" w:color="auto"/>
      </w:divBdr>
    </w:div>
    <w:div w:id="1978606554">
      <w:bodyDiv w:val="1"/>
      <w:marLeft w:val="0"/>
      <w:marRight w:val="0"/>
      <w:marTop w:val="0"/>
      <w:marBottom w:val="0"/>
      <w:divBdr>
        <w:top w:val="none" w:sz="0" w:space="0" w:color="auto"/>
        <w:left w:val="none" w:sz="0" w:space="0" w:color="auto"/>
        <w:bottom w:val="none" w:sz="0" w:space="0" w:color="auto"/>
        <w:right w:val="none" w:sz="0" w:space="0" w:color="auto"/>
      </w:divBdr>
    </w:div>
    <w:div w:id="210464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E2C5C0-55E8-B444-A490-0E22688A1127}" type="doc">
      <dgm:prSet loTypeId="urn:microsoft.com/office/officeart/2009/layout/CircleArrowProcess" loCatId="" qsTypeId="urn:microsoft.com/office/officeart/2005/8/quickstyle/simple1" qsCatId="simple" csTypeId="urn:microsoft.com/office/officeart/2005/8/colors/accent1_2" csCatId="accent1" phldr="1"/>
      <dgm:spPr/>
      <dgm:t>
        <a:bodyPr/>
        <a:lstStyle/>
        <a:p>
          <a:endParaRPr lang="en-US"/>
        </a:p>
      </dgm:t>
    </dgm:pt>
    <dgm:pt modelId="{11D26D67-13FD-984A-94A1-D63EAA50DA79}">
      <dgm:prSet phldrT="[Text]" custT="1"/>
      <dgm:spPr/>
      <dgm:t>
        <a:bodyPr/>
        <a:lstStyle/>
        <a:p>
          <a:r>
            <a:rPr lang="en-US" sz="1000"/>
            <a:t>Island Biogeographic Patterns</a:t>
          </a:r>
        </a:p>
      </dgm:t>
    </dgm:pt>
    <dgm:pt modelId="{3DCAAAED-3246-CE4C-9A81-ECA23236BC4C}" type="parTrans" cxnId="{CF71F336-0122-0F4B-890B-4EA2818CBE64}">
      <dgm:prSet/>
      <dgm:spPr/>
      <dgm:t>
        <a:bodyPr/>
        <a:lstStyle/>
        <a:p>
          <a:endParaRPr lang="en-US" sz="1000"/>
        </a:p>
      </dgm:t>
    </dgm:pt>
    <dgm:pt modelId="{2F6E3A7B-F16D-6846-9478-BDCA6120D163}" type="sibTrans" cxnId="{CF71F336-0122-0F4B-890B-4EA2818CBE64}">
      <dgm:prSet/>
      <dgm:spPr/>
      <dgm:t>
        <a:bodyPr/>
        <a:lstStyle/>
        <a:p>
          <a:endParaRPr lang="en-US" sz="1000"/>
        </a:p>
      </dgm:t>
    </dgm:pt>
    <dgm:pt modelId="{A07147E0-90BE-5240-9AB3-5A03EEFCA93A}">
      <dgm:prSet phldrT="[Text]" custT="1"/>
      <dgm:spPr/>
      <dgm:t>
        <a:bodyPr/>
        <a:lstStyle/>
        <a:p>
          <a:r>
            <a:rPr lang="en-US" sz="1000"/>
            <a:t>Assembly Mechanisms</a:t>
          </a:r>
        </a:p>
      </dgm:t>
    </dgm:pt>
    <dgm:pt modelId="{5C861068-9133-B54C-9C22-8F0304D3CD1C}" type="parTrans" cxnId="{D00E0682-47CC-3248-8439-4B39FD62E91E}">
      <dgm:prSet/>
      <dgm:spPr/>
      <dgm:t>
        <a:bodyPr/>
        <a:lstStyle/>
        <a:p>
          <a:endParaRPr lang="en-US" sz="1000"/>
        </a:p>
      </dgm:t>
    </dgm:pt>
    <dgm:pt modelId="{C2B4382D-A45A-BF42-A9F3-18983BF12F9E}" type="sibTrans" cxnId="{D00E0682-47CC-3248-8439-4B39FD62E91E}">
      <dgm:prSet/>
      <dgm:spPr/>
      <dgm:t>
        <a:bodyPr/>
        <a:lstStyle/>
        <a:p>
          <a:endParaRPr lang="en-US" sz="1000"/>
        </a:p>
      </dgm:t>
    </dgm:pt>
    <dgm:pt modelId="{74DB68EE-AEAA-ED4E-BA15-BCB2533B7440}">
      <dgm:prSet phldrT="[Text]" custT="1"/>
      <dgm:spPr/>
      <dgm:t>
        <a:bodyPr/>
        <a:lstStyle/>
        <a:p>
          <a:r>
            <a:rPr lang="en-US" sz="1000"/>
            <a:t>Community Structure</a:t>
          </a:r>
        </a:p>
      </dgm:t>
    </dgm:pt>
    <dgm:pt modelId="{08B6524A-5672-174C-96C9-2723E49AB842}" type="parTrans" cxnId="{0A93A9CE-B0E1-3049-8158-E4731259DF9A}">
      <dgm:prSet/>
      <dgm:spPr/>
      <dgm:t>
        <a:bodyPr/>
        <a:lstStyle/>
        <a:p>
          <a:endParaRPr lang="en-US" sz="1000"/>
        </a:p>
      </dgm:t>
    </dgm:pt>
    <dgm:pt modelId="{1411B979-473B-6E4F-8307-B5C3F4293934}" type="sibTrans" cxnId="{0A93A9CE-B0E1-3049-8158-E4731259DF9A}">
      <dgm:prSet/>
      <dgm:spPr/>
      <dgm:t>
        <a:bodyPr/>
        <a:lstStyle/>
        <a:p>
          <a:endParaRPr lang="en-US" sz="1000"/>
        </a:p>
      </dgm:t>
    </dgm:pt>
    <dgm:pt modelId="{82044D3D-DCD2-E04D-B047-3CD300D86502}">
      <dgm:prSet custT="1"/>
      <dgm:spPr/>
      <dgm:t>
        <a:bodyPr/>
        <a:lstStyle/>
        <a:p>
          <a:r>
            <a:rPr lang="en-US" sz="1000"/>
            <a:t>Community Function</a:t>
          </a:r>
        </a:p>
      </dgm:t>
    </dgm:pt>
    <dgm:pt modelId="{C7BF5861-7F20-9A4B-8F5A-03E5B35D01B7}" type="parTrans" cxnId="{A493B9D9-A710-3D45-8018-FF3FF32098BC}">
      <dgm:prSet/>
      <dgm:spPr/>
      <dgm:t>
        <a:bodyPr/>
        <a:lstStyle/>
        <a:p>
          <a:endParaRPr lang="en-US" sz="1000"/>
        </a:p>
      </dgm:t>
    </dgm:pt>
    <dgm:pt modelId="{012877AB-4736-6946-ACB5-77D27AC08F0F}" type="sibTrans" cxnId="{A493B9D9-A710-3D45-8018-FF3FF32098BC}">
      <dgm:prSet/>
      <dgm:spPr/>
      <dgm:t>
        <a:bodyPr/>
        <a:lstStyle/>
        <a:p>
          <a:endParaRPr lang="en-US" sz="1000"/>
        </a:p>
      </dgm:t>
    </dgm:pt>
    <dgm:pt modelId="{E8F9D40E-3BC8-F742-AC57-51951044905C}">
      <dgm:prSet custT="1"/>
      <dgm:spPr/>
      <dgm:t>
        <a:bodyPr/>
        <a:lstStyle/>
        <a:p>
          <a:r>
            <a:rPr lang="en-US" sz="1000"/>
            <a:t>Dormancy Change with Temperature</a:t>
          </a:r>
        </a:p>
      </dgm:t>
    </dgm:pt>
    <dgm:pt modelId="{66677274-AD99-E649-BFD7-59AC7C1BEE7E}" type="parTrans" cxnId="{DFF48695-0EBC-0A44-94B1-11213AC8FD1E}">
      <dgm:prSet/>
      <dgm:spPr/>
      <dgm:t>
        <a:bodyPr/>
        <a:lstStyle/>
        <a:p>
          <a:endParaRPr lang="en-US" sz="1000"/>
        </a:p>
      </dgm:t>
    </dgm:pt>
    <dgm:pt modelId="{5DCAD2FE-2CC5-8F45-A2D9-DFBAD23D905B}" type="sibTrans" cxnId="{DFF48695-0EBC-0A44-94B1-11213AC8FD1E}">
      <dgm:prSet/>
      <dgm:spPr/>
      <dgm:t>
        <a:bodyPr/>
        <a:lstStyle/>
        <a:p>
          <a:endParaRPr lang="en-US" sz="1000"/>
        </a:p>
      </dgm:t>
    </dgm:pt>
    <dgm:pt modelId="{63CDCBAD-D25F-FA45-867D-C49578CC1086}">
      <dgm:prSet custT="1"/>
      <dgm:spPr/>
      <dgm:t>
        <a:bodyPr/>
        <a:lstStyle/>
        <a:p>
          <a:r>
            <a:rPr lang="en-US" sz="1000"/>
            <a:t>Species Interaction Network and Biogeochemical Predictions</a:t>
          </a:r>
        </a:p>
      </dgm:t>
    </dgm:pt>
    <dgm:pt modelId="{0A40A2CF-2C62-A74D-8783-D97769BA98FB}" type="parTrans" cxnId="{374E45B7-D09E-0B44-AA3F-2A2F0ECFD0B1}">
      <dgm:prSet/>
      <dgm:spPr/>
      <dgm:t>
        <a:bodyPr/>
        <a:lstStyle/>
        <a:p>
          <a:endParaRPr lang="en-US" sz="1000"/>
        </a:p>
      </dgm:t>
    </dgm:pt>
    <dgm:pt modelId="{11078D04-091D-D248-A713-F91B3B871480}" type="sibTrans" cxnId="{374E45B7-D09E-0B44-AA3F-2A2F0ECFD0B1}">
      <dgm:prSet/>
      <dgm:spPr/>
      <dgm:t>
        <a:bodyPr/>
        <a:lstStyle/>
        <a:p>
          <a:endParaRPr lang="en-US" sz="1000"/>
        </a:p>
      </dgm:t>
    </dgm:pt>
    <dgm:pt modelId="{4C1E6B6B-7004-6A40-9B5B-C9DA4183884E}">
      <dgm:prSet custT="1"/>
      <dgm:spPr/>
      <dgm:t>
        <a:bodyPr/>
        <a:lstStyle/>
        <a:p>
          <a:r>
            <a:rPr lang="en-US" sz="1000"/>
            <a:t>Icy Worlds</a:t>
          </a:r>
        </a:p>
      </dgm:t>
    </dgm:pt>
    <dgm:pt modelId="{CCF36565-A8DA-8E46-A4D5-5BDACB5581E4}" type="parTrans" cxnId="{9DF99D98-EAF9-D547-BE2A-29C2527EC079}">
      <dgm:prSet/>
      <dgm:spPr/>
      <dgm:t>
        <a:bodyPr/>
        <a:lstStyle/>
        <a:p>
          <a:endParaRPr lang="en-US" sz="1000"/>
        </a:p>
      </dgm:t>
    </dgm:pt>
    <dgm:pt modelId="{456ACB2A-2C3C-2643-A185-2B1CAAA26E7C}" type="sibTrans" cxnId="{9DF99D98-EAF9-D547-BE2A-29C2527EC079}">
      <dgm:prSet/>
      <dgm:spPr/>
      <dgm:t>
        <a:bodyPr/>
        <a:lstStyle/>
        <a:p>
          <a:endParaRPr lang="en-US" sz="1000"/>
        </a:p>
      </dgm:t>
    </dgm:pt>
    <dgm:pt modelId="{598DD01E-44B6-A04B-9AE8-1679DC639F0B}" type="pres">
      <dgm:prSet presAssocID="{4CE2C5C0-55E8-B444-A490-0E22688A1127}" presName="Name0" presStyleCnt="0">
        <dgm:presLayoutVars>
          <dgm:chMax val="7"/>
          <dgm:chPref val="7"/>
          <dgm:dir/>
          <dgm:animLvl val="lvl"/>
        </dgm:presLayoutVars>
      </dgm:prSet>
      <dgm:spPr/>
    </dgm:pt>
    <dgm:pt modelId="{863A3F52-3167-1144-AA19-F2764DBC6681}" type="pres">
      <dgm:prSet presAssocID="{11D26D67-13FD-984A-94A1-D63EAA50DA79}" presName="Accent1" presStyleCnt="0"/>
      <dgm:spPr/>
    </dgm:pt>
    <dgm:pt modelId="{C70BAA1E-E5F2-3A42-BD2F-070AB6CF56CD}" type="pres">
      <dgm:prSet presAssocID="{11D26D67-13FD-984A-94A1-D63EAA50DA79}" presName="Accent" presStyleLbl="node1" presStyleIdx="0" presStyleCnt="7"/>
      <dgm:spPr/>
    </dgm:pt>
    <dgm:pt modelId="{5B15641B-E977-294D-BE89-44AFA78F9B59}" type="pres">
      <dgm:prSet presAssocID="{11D26D67-13FD-984A-94A1-D63EAA50DA79}" presName="Parent1" presStyleLbl="revTx" presStyleIdx="0" presStyleCnt="7">
        <dgm:presLayoutVars>
          <dgm:chMax val="1"/>
          <dgm:chPref val="1"/>
          <dgm:bulletEnabled val="1"/>
        </dgm:presLayoutVars>
      </dgm:prSet>
      <dgm:spPr/>
    </dgm:pt>
    <dgm:pt modelId="{114FF276-2CA6-F449-B741-5AEE6B75BDFF}" type="pres">
      <dgm:prSet presAssocID="{A07147E0-90BE-5240-9AB3-5A03EEFCA93A}" presName="Accent2" presStyleCnt="0"/>
      <dgm:spPr/>
    </dgm:pt>
    <dgm:pt modelId="{ADF3ACF0-48D0-1745-BA3C-DAAE9219FD9B}" type="pres">
      <dgm:prSet presAssocID="{A07147E0-90BE-5240-9AB3-5A03EEFCA93A}" presName="Accent" presStyleLbl="node1" presStyleIdx="1" presStyleCnt="7"/>
      <dgm:spPr/>
    </dgm:pt>
    <dgm:pt modelId="{29116AFB-66D5-A541-A150-BD5268D2FB75}" type="pres">
      <dgm:prSet presAssocID="{A07147E0-90BE-5240-9AB3-5A03EEFCA93A}" presName="Parent2" presStyleLbl="revTx" presStyleIdx="1" presStyleCnt="7">
        <dgm:presLayoutVars>
          <dgm:chMax val="1"/>
          <dgm:chPref val="1"/>
          <dgm:bulletEnabled val="1"/>
        </dgm:presLayoutVars>
      </dgm:prSet>
      <dgm:spPr/>
    </dgm:pt>
    <dgm:pt modelId="{B40148AE-19EC-224A-B22E-5079E5DA28D6}" type="pres">
      <dgm:prSet presAssocID="{74DB68EE-AEAA-ED4E-BA15-BCB2533B7440}" presName="Accent3" presStyleCnt="0"/>
      <dgm:spPr/>
    </dgm:pt>
    <dgm:pt modelId="{E135548A-CC06-0942-960F-6C8E03D27306}" type="pres">
      <dgm:prSet presAssocID="{74DB68EE-AEAA-ED4E-BA15-BCB2533B7440}" presName="Accent" presStyleLbl="node1" presStyleIdx="2" presStyleCnt="7"/>
      <dgm:spPr/>
    </dgm:pt>
    <dgm:pt modelId="{3B2D963D-6722-F642-8B60-39EF0409A5F6}" type="pres">
      <dgm:prSet presAssocID="{74DB68EE-AEAA-ED4E-BA15-BCB2533B7440}" presName="Parent3" presStyleLbl="revTx" presStyleIdx="2" presStyleCnt="7">
        <dgm:presLayoutVars>
          <dgm:chMax val="1"/>
          <dgm:chPref val="1"/>
          <dgm:bulletEnabled val="1"/>
        </dgm:presLayoutVars>
      </dgm:prSet>
      <dgm:spPr/>
    </dgm:pt>
    <dgm:pt modelId="{79B5A6FF-065F-F14F-8992-DE825FCA9140}" type="pres">
      <dgm:prSet presAssocID="{82044D3D-DCD2-E04D-B047-3CD300D86502}" presName="Accent4" presStyleCnt="0"/>
      <dgm:spPr/>
    </dgm:pt>
    <dgm:pt modelId="{94B525B5-06CA-3D47-AAAE-FCFA8411A22B}" type="pres">
      <dgm:prSet presAssocID="{82044D3D-DCD2-E04D-B047-3CD300D86502}" presName="Accent" presStyleLbl="node1" presStyleIdx="3" presStyleCnt="7"/>
      <dgm:spPr/>
    </dgm:pt>
    <dgm:pt modelId="{55770BC9-F6C5-4542-9CC2-18EED23AAA50}" type="pres">
      <dgm:prSet presAssocID="{82044D3D-DCD2-E04D-B047-3CD300D86502}" presName="Parent4" presStyleLbl="revTx" presStyleIdx="3" presStyleCnt="7">
        <dgm:presLayoutVars>
          <dgm:chMax val="1"/>
          <dgm:chPref val="1"/>
          <dgm:bulletEnabled val="1"/>
        </dgm:presLayoutVars>
      </dgm:prSet>
      <dgm:spPr/>
    </dgm:pt>
    <dgm:pt modelId="{EECBE335-6A1A-0F4E-9480-A0AD492A0548}" type="pres">
      <dgm:prSet presAssocID="{E8F9D40E-3BC8-F742-AC57-51951044905C}" presName="Accent5" presStyleCnt="0"/>
      <dgm:spPr/>
    </dgm:pt>
    <dgm:pt modelId="{2B896F71-4F7F-134E-96FA-F205CCD67912}" type="pres">
      <dgm:prSet presAssocID="{E8F9D40E-3BC8-F742-AC57-51951044905C}" presName="Accent" presStyleLbl="node1" presStyleIdx="4" presStyleCnt="7"/>
      <dgm:spPr/>
    </dgm:pt>
    <dgm:pt modelId="{0228E43B-91D1-7C4A-8D07-000981C6F497}" type="pres">
      <dgm:prSet presAssocID="{E8F9D40E-3BC8-F742-AC57-51951044905C}" presName="Parent5" presStyleLbl="revTx" presStyleIdx="4" presStyleCnt="7">
        <dgm:presLayoutVars>
          <dgm:chMax val="1"/>
          <dgm:chPref val="1"/>
          <dgm:bulletEnabled val="1"/>
        </dgm:presLayoutVars>
      </dgm:prSet>
      <dgm:spPr/>
    </dgm:pt>
    <dgm:pt modelId="{55CAD591-EFFD-F84A-97C6-F3FC69176CBF}" type="pres">
      <dgm:prSet presAssocID="{63CDCBAD-D25F-FA45-867D-C49578CC1086}" presName="Accent6" presStyleCnt="0"/>
      <dgm:spPr/>
    </dgm:pt>
    <dgm:pt modelId="{72CE8C3F-71E6-6B43-BC61-F900E8722493}" type="pres">
      <dgm:prSet presAssocID="{63CDCBAD-D25F-FA45-867D-C49578CC1086}" presName="Accent" presStyleLbl="node1" presStyleIdx="5" presStyleCnt="7"/>
      <dgm:spPr/>
    </dgm:pt>
    <dgm:pt modelId="{BFFD0BC7-A2CF-964E-B768-286543AEA9EF}" type="pres">
      <dgm:prSet presAssocID="{63CDCBAD-D25F-FA45-867D-C49578CC1086}" presName="Parent6" presStyleLbl="revTx" presStyleIdx="5" presStyleCnt="7">
        <dgm:presLayoutVars>
          <dgm:chMax val="1"/>
          <dgm:chPref val="1"/>
          <dgm:bulletEnabled val="1"/>
        </dgm:presLayoutVars>
      </dgm:prSet>
      <dgm:spPr/>
    </dgm:pt>
    <dgm:pt modelId="{CA9C9212-7DC5-BD44-95BA-6C0A1D7CE988}" type="pres">
      <dgm:prSet presAssocID="{4C1E6B6B-7004-6A40-9B5B-C9DA4183884E}" presName="Accent7" presStyleCnt="0"/>
      <dgm:spPr/>
    </dgm:pt>
    <dgm:pt modelId="{88A8216A-537A-454F-92FF-C0B99EEC3CFC}" type="pres">
      <dgm:prSet presAssocID="{4C1E6B6B-7004-6A40-9B5B-C9DA4183884E}" presName="Accent" presStyleLbl="node1" presStyleIdx="6" presStyleCnt="7"/>
      <dgm:spPr/>
    </dgm:pt>
    <dgm:pt modelId="{1B9BB09E-CB21-814A-82E4-446C74254C2A}" type="pres">
      <dgm:prSet presAssocID="{4C1E6B6B-7004-6A40-9B5B-C9DA4183884E}" presName="Parent7" presStyleLbl="revTx" presStyleIdx="6" presStyleCnt="7">
        <dgm:presLayoutVars>
          <dgm:chMax val="1"/>
          <dgm:chPref val="1"/>
          <dgm:bulletEnabled val="1"/>
        </dgm:presLayoutVars>
      </dgm:prSet>
      <dgm:spPr/>
    </dgm:pt>
  </dgm:ptLst>
  <dgm:cxnLst>
    <dgm:cxn modelId="{8AF81C12-718A-6E48-B26D-2B1FAECD8339}" type="presOf" srcId="{4CE2C5C0-55E8-B444-A490-0E22688A1127}" destId="{598DD01E-44B6-A04B-9AE8-1679DC639F0B}" srcOrd="0" destOrd="0" presId="urn:microsoft.com/office/officeart/2009/layout/CircleArrowProcess"/>
    <dgm:cxn modelId="{9EE4F721-27AD-F742-949D-B5D0D98E7D76}" type="presOf" srcId="{74DB68EE-AEAA-ED4E-BA15-BCB2533B7440}" destId="{3B2D963D-6722-F642-8B60-39EF0409A5F6}" srcOrd="0" destOrd="0" presId="urn:microsoft.com/office/officeart/2009/layout/CircleArrowProcess"/>
    <dgm:cxn modelId="{CF71F336-0122-0F4B-890B-4EA2818CBE64}" srcId="{4CE2C5C0-55E8-B444-A490-0E22688A1127}" destId="{11D26D67-13FD-984A-94A1-D63EAA50DA79}" srcOrd="0" destOrd="0" parTransId="{3DCAAAED-3246-CE4C-9A81-ECA23236BC4C}" sibTransId="{2F6E3A7B-F16D-6846-9478-BDCA6120D163}"/>
    <dgm:cxn modelId="{91CC9E49-9D9F-D546-A666-05CD238A3B78}" type="presOf" srcId="{82044D3D-DCD2-E04D-B047-3CD300D86502}" destId="{55770BC9-F6C5-4542-9CC2-18EED23AAA50}" srcOrd="0" destOrd="0" presId="urn:microsoft.com/office/officeart/2009/layout/CircleArrowProcess"/>
    <dgm:cxn modelId="{F151236E-709A-394B-8C8B-2EB97BF781CE}" type="presOf" srcId="{E8F9D40E-3BC8-F742-AC57-51951044905C}" destId="{0228E43B-91D1-7C4A-8D07-000981C6F497}" srcOrd="0" destOrd="0" presId="urn:microsoft.com/office/officeart/2009/layout/CircleArrowProcess"/>
    <dgm:cxn modelId="{D00E0682-47CC-3248-8439-4B39FD62E91E}" srcId="{4CE2C5C0-55E8-B444-A490-0E22688A1127}" destId="{A07147E0-90BE-5240-9AB3-5A03EEFCA93A}" srcOrd="1" destOrd="0" parTransId="{5C861068-9133-B54C-9C22-8F0304D3CD1C}" sibTransId="{C2B4382D-A45A-BF42-A9F3-18983BF12F9E}"/>
    <dgm:cxn modelId="{9EA46A89-6696-FF42-9BF0-D1D7D60079D1}" type="presOf" srcId="{63CDCBAD-D25F-FA45-867D-C49578CC1086}" destId="{BFFD0BC7-A2CF-964E-B768-286543AEA9EF}" srcOrd="0" destOrd="0" presId="urn:microsoft.com/office/officeart/2009/layout/CircleArrowProcess"/>
    <dgm:cxn modelId="{DFF48695-0EBC-0A44-94B1-11213AC8FD1E}" srcId="{4CE2C5C0-55E8-B444-A490-0E22688A1127}" destId="{E8F9D40E-3BC8-F742-AC57-51951044905C}" srcOrd="4" destOrd="0" parTransId="{66677274-AD99-E649-BFD7-59AC7C1BEE7E}" sibTransId="{5DCAD2FE-2CC5-8F45-A2D9-DFBAD23D905B}"/>
    <dgm:cxn modelId="{9DF99D98-EAF9-D547-BE2A-29C2527EC079}" srcId="{4CE2C5C0-55E8-B444-A490-0E22688A1127}" destId="{4C1E6B6B-7004-6A40-9B5B-C9DA4183884E}" srcOrd="6" destOrd="0" parTransId="{CCF36565-A8DA-8E46-A4D5-5BDACB5581E4}" sibTransId="{456ACB2A-2C3C-2643-A185-2B1CAAA26E7C}"/>
    <dgm:cxn modelId="{A281D399-37CF-8745-98DC-00BD8804962B}" type="presOf" srcId="{4C1E6B6B-7004-6A40-9B5B-C9DA4183884E}" destId="{1B9BB09E-CB21-814A-82E4-446C74254C2A}" srcOrd="0" destOrd="0" presId="urn:microsoft.com/office/officeart/2009/layout/CircleArrowProcess"/>
    <dgm:cxn modelId="{7ED7B5AF-F84F-9A44-B20F-28999675ED56}" type="presOf" srcId="{A07147E0-90BE-5240-9AB3-5A03EEFCA93A}" destId="{29116AFB-66D5-A541-A150-BD5268D2FB75}" srcOrd="0" destOrd="0" presId="urn:microsoft.com/office/officeart/2009/layout/CircleArrowProcess"/>
    <dgm:cxn modelId="{374E45B7-D09E-0B44-AA3F-2A2F0ECFD0B1}" srcId="{4CE2C5C0-55E8-B444-A490-0E22688A1127}" destId="{63CDCBAD-D25F-FA45-867D-C49578CC1086}" srcOrd="5" destOrd="0" parTransId="{0A40A2CF-2C62-A74D-8783-D97769BA98FB}" sibTransId="{11078D04-091D-D248-A713-F91B3B871480}"/>
    <dgm:cxn modelId="{0A93A9CE-B0E1-3049-8158-E4731259DF9A}" srcId="{4CE2C5C0-55E8-B444-A490-0E22688A1127}" destId="{74DB68EE-AEAA-ED4E-BA15-BCB2533B7440}" srcOrd="2" destOrd="0" parTransId="{08B6524A-5672-174C-96C9-2723E49AB842}" sibTransId="{1411B979-473B-6E4F-8307-B5C3F4293934}"/>
    <dgm:cxn modelId="{A493B9D9-A710-3D45-8018-FF3FF32098BC}" srcId="{4CE2C5C0-55E8-B444-A490-0E22688A1127}" destId="{82044D3D-DCD2-E04D-B047-3CD300D86502}" srcOrd="3" destOrd="0" parTransId="{C7BF5861-7F20-9A4B-8F5A-03E5B35D01B7}" sibTransId="{012877AB-4736-6946-ACB5-77D27AC08F0F}"/>
    <dgm:cxn modelId="{787814EA-C779-C041-AE35-44228F38A743}" type="presOf" srcId="{11D26D67-13FD-984A-94A1-D63EAA50DA79}" destId="{5B15641B-E977-294D-BE89-44AFA78F9B59}" srcOrd="0" destOrd="0" presId="urn:microsoft.com/office/officeart/2009/layout/CircleArrowProcess"/>
    <dgm:cxn modelId="{D8BA306E-7462-F247-B03A-7BAB420AE2D6}" type="presParOf" srcId="{598DD01E-44B6-A04B-9AE8-1679DC639F0B}" destId="{863A3F52-3167-1144-AA19-F2764DBC6681}" srcOrd="0" destOrd="0" presId="urn:microsoft.com/office/officeart/2009/layout/CircleArrowProcess"/>
    <dgm:cxn modelId="{EED927C7-FE0C-EB43-BB16-55A0AF9DC5BC}" type="presParOf" srcId="{863A3F52-3167-1144-AA19-F2764DBC6681}" destId="{C70BAA1E-E5F2-3A42-BD2F-070AB6CF56CD}" srcOrd="0" destOrd="0" presId="urn:microsoft.com/office/officeart/2009/layout/CircleArrowProcess"/>
    <dgm:cxn modelId="{2AC99E03-BDC9-E246-96BD-C2A5267DB9F7}" type="presParOf" srcId="{598DD01E-44B6-A04B-9AE8-1679DC639F0B}" destId="{5B15641B-E977-294D-BE89-44AFA78F9B59}" srcOrd="1" destOrd="0" presId="urn:microsoft.com/office/officeart/2009/layout/CircleArrowProcess"/>
    <dgm:cxn modelId="{BFCEC00C-C94E-9D43-ABF2-7EEA3AB8F292}" type="presParOf" srcId="{598DD01E-44B6-A04B-9AE8-1679DC639F0B}" destId="{114FF276-2CA6-F449-B741-5AEE6B75BDFF}" srcOrd="2" destOrd="0" presId="urn:microsoft.com/office/officeart/2009/layout/CircleArrowProcess"/>
    <dgm:cxn modelId="{6662998D-FB10-9341-BF26-98BE88A035B8}" type="presParOf" srcId="{114FF276-2CA6-F449-B741-5AEE6B75BDFF}" destId="{ADF3ACF0-48D0-1745-BA3C-DAAE9219FD9B}" srcOrd="0" destOrd="0" presId="urn:microsoft.com/office/officeart/2009/layout/CircleArrowProcess"/>
    <dgm:cxn modelId="{9C2BA80C-7B49-884F-8002-F0C6CFC4897D}" type="presParOf" srcId="{598DD01E-44B6-A04B-9AE8-1679DC639F0B}" destId="{29116AFB-66D5-A541-A150-BD5268D2FB75}" srcOrd="3" destOrd="0" presId="urn:microsoft.com/office/officeart/2009/layout/CircleArrowProcess"/>
    <dgm:cxn modelId="{DA560EBD-C536-ED4F-B0A7-BCCD3C1DD5AC}" type="presParOf" srcId="{598DD01E-44B6-A04B-9AE8-1679DC639F0B}" destId="{B40148AE-19EC-224A-B22E-5079E5DA28D6}" srcOrd="4" destOrd="0" presId="urn:microsoft.com/office/officeart/2009/layout/CircleArrowProcess"/>
    <dgm:cxn modelId="{436CE75B-25BE-8044-9515-0C1FA23D8627}" type="presParOf" srcId="{B40148AE-19EC-224A-B22E-5079E5DA28D6}" destId="{E135548A-CC06-0942-960F-6C8E03D27306}" srcOrd="0" destOrd="0" presId="urn:microsoft.com/office/officeart/2009/layout/CircleArrowProcess"/>
    <dgm:cxn modelId="{1F4F89CF-B953-6541-A9E2-DA4A739BDA8A}" type="presParOf" srcId="{598DD01E-44B6-A04B-9AE8-1679DC639F0B}" destId="{3B2D963D-6722-F642-8B60-39EF0409A5F6}" srcOrd="5" destOrd="0" presId="urn:microsoft.com/office/officeart/2009/layout/CircleArrowProcess"/>
    <dgm:cxn modelId="{78DA8666-2D82-BC48-BEE5-51B68B4A3C68}" type="presParOf" srcId="{598DD01E-44B6-A04B-9AE8-1679DC639F0B}" destId="{79B5A6FF-065F-F14F-8992-DE825FCA9140}" srcOrd="6" destOrd="0" presId="urn:microsoft.com/office/officeart/2009/layout/CircleArrowProcess"/>
    <dgm:cxn modelId="{805CD8E2-2A8F-4D41-A1AA-231C8466E455}" type="presParOf" srcId="{79B5A6FF-065F-F14F-8992-DE825FCA9140}" destId="{94B525B5-06CA-3D47-AAAE-FCFA8411A22B}" srcOrd="0" destOrd="0" presId="urn:microsoft.com/office/officeart/2009/layout/CircleArrowProcess"/>
    <dgm:cxn modelId="{E0392757-906F-3441-AF9E-3763DADCCC48}" type="presParOf" srcId="{598DD01E-44B6-A04B-9AE8-1679DC639F0B}" destId="{55770BC9-F6C5-4542-9CC2-18EED23AAA50}" srcOrd="7" destOrd="0" presId="urn:microsoft.com/office/officeart/2009/layout/CircleArrowProcess"/>
    <dgm:cxn modelId="{F1463C37-71B2-FB41-B0F7-8D44A7E7A04E}" type="presParOf" srcId="{598DD01E-44B6-A04B-9AE8-1679DC639F0B}" destId="{EECBE335-6A1A-0F4E-9480-A0AD492A0548}" srcOrd="8" destOrd="0" presId="urn:microsoft.com/office/officeart/2009/layout/CircleArrowProcess"/>
    <dgm:cxn modelId="{BF0BE018-48E2-6242-9B45-A975E49CAA06}" type="presParOf" srcId="{EECBE335-6A1A-0F4E-9480-A0AD492A0548}" destId="{2B896F71-4F7F-134E-96FA-F205CCD67912}" srcOrd="0" destOrd="0" presId="urn:microsoft.com/office/officeart/2009/layout/CircleArrowProcess"/>
    <dgm:cxn modelId="{1D196ADD-8C66-754B-BCF7-F4BFB44DAA27}" type="presParOf" srcId="{598DD01E-44B6-A04B-9AE8-1679DC639F0B}" destId="{0228E43B-91D1-7C4A-8D07-000981C6F497}" srcOrd="9" destOrd="0" presId="urn:microsoft.com/office/officeart/2009/layout/CircleArrowProcess"/>
    <dgm:cxn modelId="{30B6AE9E-0B76-1A41-93E3-27B94A151EE8}" type="presParOf" srcId="{598DD01E-44B6-A04B-9AE8-1679DC639F0B}" destId="{55CAD591-EFFD-F84A-97C6-F3FC69176CBF}" srcOrd="10" destOrd="0" presId="urn:microsoft.com/office/officeart/2009/layout/CircleArrowProcess"/>
    <dgm:cxn modelId="{22021782-FDF2-0148-BC6D-1A3DB9E2A99A}" type="presParOf" srcId="{55CAD591-EFFD-F84A-97C6-F3FC69176CBF}" destId="{72CE8C3F-71E6-6B43-BC61-F900E8722493}" srcOrd="0" destOrd="0" presId="urn:microsoft.com/office/officeart/2009/layout/CircleArrowProcess"/>
    <dgm:cxn modelId="{4485574C-5C93-B343-AB8D-1A6F862D5E22}" type="presParOf" srcId="{598DD01E-44B6-A04B-9AE8-1679DC639F0B}" destId="{BFFD0BC7-A2CF-964E-B768-286543AEA9EF}" srcOrd="11" destOrd="0" presId="urn:microsoft.com/office/officeart/2009/layout/CircleArrowProcess"/>
    <dgm:cxn modelId="{97EB3102-AFC9-C740-8C1C-E8CAEF7A8F59}" type="presParOf" srcId="{598DD01E-44B6-A04B-9AE8-1679DC639F0B}" destId="{CA9C9212-7DC5-BD44-95BA-6C0A1D7CE988}" srcOrd="12" destOrd="0" presId="urn:microsoft.com/office/officeart/2009/layout/CircleArrowProcess"/>
    <dgm:cxn modelId="{43A116A6-4609-2D44-B8F7-935C80608673}" type="presParOf" srcId="{CA9C9212-7DC5-BD44-95BA-6C0A1D7CE988}" destId="{88A8216A-537A-454F-92FF-C0B99EEC3CFC}" srcOrd="0" destOrd="0" presId="urn:microsoft.com/office/officeart/2009/layout/CircleArrowProcess"/>
    <dgm:cxn modelId="{472CCB16-BCFA-5746-A870-38C9EFA405EA}" type="presParOf" srcId="{598DD01E-44B6-A04B-9AE8-1679DC639F0B}" destId="{1B9BB09E-CB21-814A-82E4-446C74254C2A}" srcOrd="13" destOrd="0" presId="urn:microsoft.com/office/officeart/2009/layout/CircleArrowProcess"/>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0BAA1E-E5F2-3A42-BD2F-070AB6CF56CD}">
      <dsp:nvSpPr>
        <dsp:cNvPr id="0" name=""/>
        <dsp:cNvSpPr/>
      </dsp:nvSpPr>
      <dsp:spPr>
        <a:xfrm>
          <a:off x="2246122" y="0"/>
          <a:ext cx="1763459" cy="1763613"/>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15641B-E977-294D-BE89-44AFA78F9B59}">
      <dsp:nvSpPr>
        <dsp:cNvPr id="0" name=""/>
        <dsp:cNvSpPr/>
      </dsp:nvSpPr>
      <dsp:spPr>
        <a:xfrm>
          <a:off x="2635466" y="638576"/>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Island Biogeographic Patterns</a:t>
          </a:r>
        </a:p>
      </dsp:txBody>
      <dsp:txXfrm>
        <a:off x="2635466" y="638576"/>
        <a:ext cx="984110" cy="491865"/>
      </dsp:txXfrm>
    </dsp:sp>
    <dsp:sp modelId="{ADF3ACF0-48D0-1745-BA3C-DAAE9219FD9B}">
      <dsp:nvSpPr>
        <dsp:cNvPr id="0" name=""/>
        <dsp:cNvSpPr/>
      </dsp:nvSpPr>
      <dsp:spPr>
        <a:xfrm>
          <a:off x="1756217" y="1013073"/>
          <a:ext cx="1763459" cy="1763613"/>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116AFB-66D5-A541-A150-BD5268D2FB75}">
      <dsp:nvSpPr>
        <dsp:cNvPr id="0" name=""/>
        <dsp:cNvSpPr/>
      </dsp:nvSpPr>
      <dsp:spPr>
        <a:xfrm>
          <a:off x="2143576" y="1653966"/>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Assembly Mechanisms</a:t>
          </a:r>
        </a:p>
      </dsp:txBody>
      <dsp:txXfrm>
        <a:off x="2143576" y="1653966"/>
        <a:ext cx="984110" cy="491865"/>
      </dsp:txXfrm>
    </dsp:sp>
    <dsp:sp modelId="{E135548A-CC06-0942-960F-6C8E03D27306}">
      <dsp:nvSpPr>
        <dsp:cNvPr id="0" name=""/>
        <dsp:cNvSpPr/>
      </dsp:nvSpPr>
      <dsp:spPr>
        <a:xfrm>
          <a:off x="2246122" y="2030780"/>
          <a:ext cx="1763459" cy="1763613"/>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2D963D-6722-F642-8B60-39EF0409A5F6}">
      <dsp:nvSpPr>
        <dsp:cNvPr id="0" name=""/>
        <dsp:cNvSpPr/>
      </dsp:nvSpPr>
      <dsp:spPr>
        <a:xfrm>
          <a:off x="2635466" y="2669357"/>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Community Structure</a:t>
          </a:r>
        </a:p>
      </dsp:txBody>
      <dsp:txXfrm>
        <a:off x="2635466" y="2669357"/>
        <a:ext cx="984110" cy="491865"/>
      </dsp:txXfrm>
    </dsp:sp>
    <dsp:sp modelId="{94B525B5-06CA-3D47-AAAE-FCFA8411A22B}">
      <dsp:nvSpPr>
        <dsp:cNvPr id="0" name=""/>
        <dsp:cNvSpPr/>
      </dsp:nvSpPr>
      <dsp:spPr>
        <a:xfrm>
          <a:off x="1756217" y="3046171"/>
          <a:ext cx="1763459" cy="1763613"/>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770BC9-F6C5-4542-9CC2-18EED23AAA50}">
      <dsp:nvSpPr>
        <dsp:cNvPr id="0" name=""/>
        <dsp:cNvSpPr/>
      </dsp:nvSpPr>
      <dsp:spPr>
        <a:xfrm>
          <a:off x="2143576" y="3684747"/>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Community Function</a:t>
          </a:r>
        </a:p>
      </dsp:txBody>
      <dsp:txXfrm>
        <a:off x="2143576" y="3684747"/>
        <a:ext cx="984110" cy="491865"/>
      </dsp:txXfrm>
    </dsp:sp>
    <dsp:sp modelId="{2B896F71-4F7F-134E-96FA-F205CCD67912}">
      <dsp:nvSpPr>
        <dsp:cNvPr id="0" name=""/>
        <dsp:cNvSpPr/>
      </dsp:nvSpPr>
      <dsp:spPr>
        <a:xfrm>
          <a:off x="2246122" y="4060017"/>
          <a:ext cx="1763459" cy="1763613"/>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28E43B-91D1-7C4A-8D07-000981C6F497}">
      <dsp:nvSpPr>
        <dsp:cNvPr id="0" name=""/>
        <dsp:cNvSpPr/>
      </dsp:nvSpPr>
      <dsp:spPr>
        <a:xfrm>
          <a:off x="2635466" y="4698593"/>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Dormancy Change with Temperature</a:t>
          </a:r>
        </a:p>
      </dsp:txBody>
      <dsp:txXfrm>
        <a:off x="2635466" y="4698593"/>
        <a:ext cx="984110" cy="491865"/>
      </dsp:txXfrm>
    </dsp:sp>
    <dsp:sp modelId="{72CE8C3F-71E6-6B43-BC61-F900E8722493}">
      <dsp:nvSpPr>
        <dsp:cNvPr id="0" name=""/>
        <dsp:cNvSpPr/>
      </dsp:nvSpPr>
      <dsp:spPr>
        <a:xfrm>
          <a:off x="1756217" y="5075407"/>
          <a:ext cx="1763459" cy="1763613"/>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FD0BC7-A2CF-964E-B768-286543AEA9EF}">
      <dsp:nvSpPr>
        <dsp:cNvPr id="0" name=""/>
        <dsp:cNvSpPr/>
      </dsp:nvSpPr>
      <dsp:spPr>
        <a:xfrm>
          <a:off x="2143576" y="5713983"/>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Species Interaction Network and Biogeochemical Predictions</a:t>
          </a:r>
        </a:p>
      </dsp:txBody>
      <dsp:txXfrm>
        <a:off x="2143576" y="5713983"/>
        <a:ext cx="984110" cy="491865"/>
      </dsp:txXfrm>
    </dsp:sp>
    <dsp:sp modelId="{88A8216A-537A-454F-92FF-C0B99EEC3CFC}">
      <dsp:nvSpPr>
        <dsp:cNvPr id="0" name=""/>
        <dsp:cNvSpPr/>
      </dsp:nvSpPr>
      <dsp:spPr>
        <a:xfrm>
          <a:off x="2371493" y="6205849"/>
          <a:ext cx="1515033" cy="1515750"/>
        </a:xfrm>
        <a:prstGeom prst="blockArc">
          <a:avLst>
            <a:gd name="adj1" fmla="val 13500000"/>
            <a:gd name="adj2" fmla="val 10800000"/>
            <a:gd name="adj3" fmla="val 1274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B9BB09E-CB21-814A-82E4-446C74254C2A}">
      <dsp:nvSpPr>
        <dsp:cNvPr id="0" name=""/>
        <dsp:cNvSpPr/>
      </dsp:nvSpPr>
      <dsp:spPr>
        <a:xfrm>
          <a:off x="2635466" y="6729374"/>
          <a:ext cx="984110" cy="4918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Icy Worlds</a:t>
          </a:r>
        </a:p>
      </dsp:txBody>
      <dsp:txXfrm>
        <a:off x="2635466" y="6729374"/>
        <a:ext cx="984110" cy="491865"/>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E0014-6FC1-0143-BFDE-D50EEA6C6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32</Pages>
  <Words>56102</Words>
  <Characters>319783</Characters>
  <Application>Microsoft Office Word</Application>
  <DocSecurity>0</DocSecurity>
  <Lines>2664</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108</cp:revision>
  <dcterms:created xsi:type="dcterms:W3CDTF">2020-12-03T14:18:00Z</dcterms:created>
  <dcterms:modified xsi:type="dcterms:W3CDTF">2020-12-17T09:56:00Z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