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91805A" w14:textId="78AA85BC" w:rsidR="005D32D0" w:rsidRDefault="008A7033">
      <w:r>
        <w:t>Methods</w:t>
      </w:r>
    </w:p>
    <w:p w14:paraId="40D97063" w14:textId="70B95FCD" w:rsidR="008A7033" w:rsidRDefault="008A7033"/>
    <w:p w14:paraId="129D3383" w14:textId="6A704F19" w:rsidR="008A7033" w:rsidRDefault="008A7033">
      <w:r>
        <w:t>Stage One</w:t>
      </w:r>
    </w:p>
    <w:p w14:paraId="71976398" w14:textId="35645F14" w:rsidR="008A7033" w:rsidRDefault="008A7033">
      <w:r>
        <w:t>Stage Two</w:t>
      </w:r>
    </w:p>
    <w:p w14:paraId="66A049D2" w14:textId="3CFC94A2" w:rsidR="008A7033" w:rsidRDefault="008A7033">
      <w:r>
        <w:t>Stage Three</w:t>
      </w:r>
    </w:p>
    <w:p w14:paraId="40DEE78A" w14:textId="77777777" w:rsidR="00975ECE" w:rsidRDefault="00975ECE"/>
    <w:p w14:paraId="2B3649D6" w14:textId="4265670F" w:rsidR="008A7033" w:rsidRDefault="008A7033">
      <w:r>
        <w:t>Stage Four – SARS/DDRs/Functional Redundancy</w:t>
      </w:r>
    </w:p>
    <w:p w14:paraId="472F80B1" w14:textId="77777777" w:rsidR="00975ECE" w:rsidRDefault="00975ECE"/>
    <w:p w14:paraId="0F94AE27" w14:textId="2F39F95C" w:rsidR="008A7033" w:rsidRDefault="008A7033">
      <w:r>
        <w:t xml:space="preserve">Functional redundancy modifies species-area relationship for freshwater phytoplankton </w:t>
      </w:r>
      <w:r>
        <w:fldChar w:fldCharType="begin" w:fldLock="1"/>
      </w:r>
      <w: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2017)"},"properties":{"noteIndex":0},"schema":"https://github.com/citation-style-language/schema/raw/master/csl-citation.json"}</w:instrText>
      </w:r>
      <w:r>
        <w:fldChar w:fldCharType="separate"/>
      </w:r>
      <w:r w:rsidRPr="008A7033">
        <w:rPr>
          <w:noProof/>
        </w:rPr>
        <w:t>(Várbíró et al., 2017)</w:t>
      </w:r>
      <w:r>
        <w:fldChar w:fldCharType="end"/>
      </w:r>
    </w:p>
    <w:p w14:paraId="5060EFED" w14:textId="0F786494" w:rsidR="008A7033" w:rsidRDefault="009F27F9" w:rsidP="008A7033">
      <w:pPr>
        <w:pStyle w:val="ListParagraph"/>
        <w:numPr>
          <w:ilvl w:val="0"/>
          <w:numId w:val="1"/>
        </w:numPr>
      </w:pPr>
      <w:r>
        <w:t xml:space="preserve">Samples: </w:t>
      </w:r>
      <w:r w:rsidR="008A7033">
        <w:t>312 samples taken from 64 ponds along north/south transect (some for phytoplankton analysis, some for water chemistry analysis)</w:t>
      </w:r>
    </w:p>
    <w:p w14:paraId="59CB7DFC" w14:textId="76F33130" w:rsidR="008A7033" w:rsidRDefault="009F27F9" w:rsidP="008A7033">
      <w:pPr>
        <w:pStyle w:val="ListParagraph"/>
        <w:numPr>
          <w:ilvl w:val="0"/>
          <w:numId w:val="1"/>
        </w:numPr>
      </w:pPr>
      <w:r>
        <w:t xml:space="preserve">Water body measures: </w:t>
      </w:r>
      <w:r w:rsidR="008A7033">
        <w:t>Size, volume, depth and index of basic permanency recorded</w:t>
      </w:r>
    </w:p>
    <w:p w14:paraId="7B89A133" w14:textId="45C760B4" w:rsidR="008A7033" w:rsidRDefault="009F27F9" w:rsidP="008A7033">
      <w:pPr>
        <w:pStyle w:val="ListParagraph"/>
        <w:numPr>
          <w:ilvl w:val="0"/>
          <w:numId w:val="1"/>
        </w:numPr>
      </w:pPr>
      <w:r>
        <w:t xml:space="preserve">Taxa identification: </w:t>
      </w:r>
      <w:r w:rsidR="008A7033">
        <w:t xml:space="preserve">Phytoplankton identified and quantified using light microscopic investigation </w:t>
      </w:r>
    </w:p>
    <w:p w14:paraId="0869F8AB" w14:textId="34B88BB3" w:rsidR="008A7033" w:rsidRDefault="008A7033" w:rsidP="008A7033">
      <w:pPr>
        <w:pStyle w:val="ListParagraph"/>
        <w:numPr>
          <w:ilvl w:val="0"/>
          <w:numId w:val="1"/>
        </w:numPr>
      </w:pPr>
      <w:r>
        <w:t>Measurement of physical and chemical variables: Temperature, electrical conductivity (temp compensated), pH (temp compensated), total phosphorus</w:t>
      </w:r>
    </w:p>
    <w:p w14:paraId="26D41C95" w14:textId="03DD45BD" w:rsidR="008A7033" w:rsidRDefault="008A7033" w:rsidP="008A7033">
      <w:pPr>
        <w:pStyle w:val="ListParagraph"/>
        <w:numPr>
          <w:ilvl w:val="0"/>
          <w:numId w:val="1"/>
        </w:numPr>
      </w:pPr>
      <w:r>
        <w:t>Assignment to functional groups based on morphology</w:t>
      </w:r>
    </w:p>
    <w:p w14:paraId="715B1A40" w14:textId="77777777" w:rsidR="009F27F9" w:rsidRDefault="008A7033" w:rsidP="008A7033">
      <w:pPr>
        <w:pStyle w:val="ListParagraph"/>
        <w:numPr>
          <w:ilvl w:val="0"/>
          <w:numId w:val="1"/>
        </w:numPr>
      </w:pPr>
      <w:r>
        <w:t xml:space="preserve">Statistical analysis: Sample level and water body level. Sample level analysis, </w:t>
      </w:r>
      <w:r w:rsidRPr="009F27F9">
        <w:rPr>
          <w:b/>
        </w:rPr>
        <w:t xml:space="preserve">actual environmental data </w:t>
      </w:r>
      <w:r>
        <w:t xml:space="preserve">and </w:t>
      </w:r>
      <w:r w:rsidRPr="009F27F9">
        <w:rPr>
          <w:b/>
        </w:rPr>
        <w:t>observed species richness</w:t>
      </w:r>
      <w:r>
        <w:t xml:space="preserve"> used. Water body level analysis </w:t>
      </w:r>
      <w:r w:rsidRPr="009F27F9">
        <w:rPr>
          <w:b/>
        </w:rPr>
        <w:t>means of enviro variables</w:t>
      </w:r>
      <w:r>
        <w:t xml:space="preserve"> and </w:t>
      </w:r>
      <w:r w:rsidRPr="009F27F9">
        <w:rPr>
          <w:b/>
        </w:rPr>
        <w:t>estimated richness</w:t>
      </w:r>
      <w:r>
        <w:t xml:space="preserve"> values used. Richness values from </w:t>
      </w:r>
      <w:r w:rsidRPr="009F27F9">
        <w:rPr>
          <w:b/>
        </w:rPr>
        <w:t>Chao’s sample-based extrapolation curves</w:t>
      </w:r>
      <w:r>
        <w:t xml:space="preserve">. </w:t>
      </w:r>
    </w:p>
    <w:p w14:paraId="5AC91F4D" w14:textId="0B709B60" w:rsidR="008A7033" w:rsidRDefault="008A7033" w:rsidP="009F27F9">
      <w:pPr>
        <w:pStyle w:val="ListParagraph"/>
      </w:pPr>
      <w:r>
        <w:t>“</w:t>
      </w:r>
      <w:r w:rsidRPr="009F27F9">
        <w:rPr>
          <w:b/>
        </w:rPr>
        <w:t>Principal component analysis (PCA)</w:t>
      </w:r>
      <w:r>
        <w:t xml:space="preserve"> used to explore best combinations of variables in decreasing order of explained total dispersion to assess relationship between variables (size-related and chemical properties of water bodies) and objects (sample-based and lake-based richness values).</w:t>
      </w:r>
      <w:r w:rsidR="009F27F9">
        <w:t xml:space="preserve"> </w:t>
      </w:r>
      <w:r w:rsidR="009F27F9" w:rsidRPr="009F27F9">
        <w:t xml:space="preserve">As the first PCA axis was strongly correlated with log area, in the second‐step richness values (both at the level of samples and lakes) were plotted against the area of the water bodies. Because the relationships were apparently nonlinear, we fit a </w:t>
      </w:r>
      <w:r w:rsidR="009F27F9" w:rsidRPr="009F27F9">
        <w:rPr>
          <w:b/>
        </w:rPr>
        <w:t xml:space="preserve">Lorentzian three‐parameter peak regression model </w:t>
      </w:r>
      <w:r w:rsidR="009F27F9" w:rsidRPr="009F27F9">
        <w:t>to the. To identify the potential breakpoints where obvious changes in the slopes of response curves occur, piecewise regression was used</w:t>
      </w:r>
      <w:r w:rsidR="009F27F9">
        <w:t>.</w:t>
      </w:r>
      <w:r w:rsidR="009F27F9" w:rsidRPr="009F27F9">
        <w:t xml:space="preserve"> </w:t>
      </w:r>
      <w:r w:rsidR="009F27F9" w:rsidRPr="009F27F9">
        <w:rPr>
          <w:b/>
        </w:rPr>
        <w:t>Ordinary least squares</w:t>
      </w:r>
      <w:r w:rsidR="009F27F9" w:rsidRPr="009F27F9">
        <w:t xml:space="preserve"> method was used to construct the regression line for the range where the increasing tendency in species density was observed. This range was defined by the break points of the broken stick regression.</w:t>
      </w:r>
      <w:r w:rsidR="009F27F9">
        <w:t>”</w:t>
      </w:r>
    </w:p>
    <w:p w14:paraId="7A056B91" w14:textId="77777777" w:rsidR="00975ECE" w:rsidRDefault="00975ECE" w:rsidP="009F27F9">
      <w:pPr>
        <w:pStyle w:val="ListParagraph"/>
      </w:pPr>
    </w:p>
    <w:p w14:paraId="46A86A76" w14:textId="129371F4" w:rsidR="008A7033" w:rsidRDefault="008A7033">
      <w:r>
        <w:t>Stage Five</w:t>
      </w:r>
      <w:r w:rsidR="0067077D">
        <w:t xml:space="preserve"> – Neutral and Non-neutral community assembly mechanisms</w:t>
      </w:r>
    </w:p>
    <w:p w14:paraId="3D875264" w14:textId="77777777" w:rsidR="00975ECE" w:rsidRDefault="00975ECE"/>
    <w:p w14:paraId="2D3FCAED" w14:textId="6CA764D1" w:rsidR="0067077D" w:rsidRDefault="00975ECE">
      <w:r w:rsidRPr="00975ECE">
        <w:t>﻿Species Sorting and Neutral Theory Analyses Reveal Archaeal and Bacterial Communities Are Assembled Differently in Hot Springs</w:t>
      </w:r>
      <w:r>
        <w:t xml:space="preserve"> (Li &amp; Ma, 2020)</w:t>
      </w:r>
    </w:p>
    <w:p w14:paraId="6CD3A454" w14:textId="457CB9A1" w:rsidR="00975ECE" w:rsidRDefault="00975ECE" w:rsidP="00975ECE">
      <w:pPr>
        <w:pStyle w:val="ListParagraph"/>
        <w:numPr>
          <w:ilvl w:val="0"/>
          <w:numId w:val="2"/>
        </w:numPr>
      </w:pPr>
      <w:r>
        <w:t xml:space="preserve">Samples: 165 </w:t>
      </w:r>
      <w:proofErr w:type="spellStart"/>
      <w:r>
        <w:t>microbione</w:t>
      </w:r>
      <w:proofErr w:type="spellEnd"/>
      <w:r>
        <w:t xml:space="preserve"> samples from sediment, soil and mat</w:t>
      </w:r>
    </w:p>
    <w:p w14:paraId="5CEA3E03" w14:textId="2860546C" w:rsidR="00975ECE" w:rsidRDefault="00975ECE" w:rsidP="00975ECE">
      <w:pPr>
        <w:pStyle w:val="ListParagraph"/>
        <w:numPr>
          <w:ilvl w:val="0"/>
          <w:numId w:val="2"/>
        </w:numPr>
      </w:pPr>
      <w:r>
        <w:t>Physical and chemical variables: temperature, pH</w:t>
      </w:r>
    </w:p>
    <w:p w14:paraId="2C29E9F4" w14:textId="3C239750" w:rsidR="00975ECE" w:rsidRDefault="00975ECE" w:rsidP="00975ECE">
      <w:pPr>
        <w:pStyle w:val="ListParagraph"/>
        <w:numPr>
          <w:ilvl w:val="0"/>
          <w:numId w:val="2"/>
        </w:numPr>
      </w:pPr>
      <w:r>
        <w:t>Taxa identification: 16S rRNA OUT tables generated from sequences</w:t>
      </w:r>
    </w:p>
    <w:p w14:paraId="0687EE00" w14:textId="77777777" w:rsidR="00975ECE" w:rsidRDefault="00975ECE" w:rsidP="00975ECE">
      <w:pPr>
        <w:pStyle w:val="ListParagraph"/>
        <w:numPr>
          <w:ilvl w:val="0"/>
          <w:numId w:val="2"/>
        </w:numPr>
      </w:pPr>
      <w:r>
        <w:t xml:space="preserve">Community assembly analysis: </w:t>
      </w:r>
    </w:p>
    <w:p w14:paraId="1AAD4673" w14:textId="77777777" w:rsidR="00975ECE" w:rsidRDefault="00975ECE" w:rsidP="00975ECE">
      <w:pPr>
        <w:pStyle w:val="ListParagraph"/>
      </w:pPr>
      <w:r>
        <w:t>Species Sorting Model – i.e. selection, species distributions defined by biotic and abiotic conditions. “</w:t>
      </w:r>
      <w:r>
        <w:t>﻿Species sorting analysis aims to determine the influence</w:t>
      </w:r>
    </w:p>
    <w:p w14:paraId="46D03239" w14:textId="59E8E539" w:rsidR="00975ECE" w:rsidRDefault="00975ECE" w:rsidP="00975ECE">
      <w:pPr>
        <w:pStyle w:val="ListParagraph"/>
      </w:pPr>
      <w:r>
        <w:t xml:space="preserve">of environmental factors on the composition and assembly of ecological communities. We utilized the RDA function in the Vegan R-package (Livingston et al., </w:t>
      </w:r>
      <w:r>
        <w:lastRenderedPageBreak/>
        <w:t>2012) to perform the redundancy analysis (RDA), which quantifies the effect of each environmental factor as well as their combinations on the population abundance of each species in the community (Legendre and Legendre, 2012).</w:t>
      </w:r>
      <w:r>
        <w:t>”</w:t>
      </w:r>
    </w:p>
    <w:p w14:paraId="56AE9997" w14:textId="78EFF6CE" w:rsidR="005F4940" w:rsidRDefault="005F4940" w:rsidP="00975ECE">
      <w:pPr>
        <w:pStyle w:val="ListParagraph"/>
      </w:pPr>
      <w:r>
        <w:t>= the percentage of community changes explained by environmental factors.</w:t>
      </w:r>
    </w:p>
    <w:p w14:paraId="1CC3F359" w14:textId="28DC36F9" w:rsidR="00975ECE" w:rsidRDefault="00975ECE" w:rsidP="00975ECE">
      <w:pPr>
        <w:pStyle w:val="ListParagraph"/>
      </w:pPr>
      <w:r>
        <w:t>Hubbell’s Neutral Theory of Biodiversity – “</w:t>
      </w:r>
      <w:r w:rsidRPr="00975ECE">
        <w:t xml:space="preserve">﻿Here we use </w:t>
      </w:r>
      <w:r w:rsidRPr="00975ECE">
        <w:rPr>
          <w:b/>
        </w:rPr>
        <w:t>Etienne (2005, 2007) sampling formulae and “Exact” test of neutrality</w:t>
      </w:r>
      <w:r w:rsidRPr="00975ECE">
        <w:t>, i.e., the statistical procedures to fit the neutral theory model and perform statistical tests between the model prediction and the actual SAD presented in the microbiome datasets, i.e., the OTU table or Y used for species sorting analysis introduced in the previous section.</w:t>
      </w:r>
      <w:r>
        <w:t xml:space="preserve">” </w:t>
      </w:r>
    </w:p>
    <w:p w14:paraId="2335A4EF" w14:textId="3C2B55B1" w:rsidR="005F4940" w:rsidRDefault="005F4940" w:rsidP="00975ECE">
      <w:pPr>
        <w:pStyle w:val="ListParagraph"/>
      </w:pPr>
      <w:r>
        <w:t>= the percentage of community changes explained by neutral processes</w:t>
      </w:r>
    </w:p>
    <w:p w14:paraId="65833BBE" w14:textId="7697DD0F" w:rsidR="005F4940" w:rsidRDefault="005F4940" w:rsidP="00975ECE">
      <w:pPr>
        <w:pStyle w:val="ListParagraph"/>
      </w:pPr>
    </w:p>
    <w:p w14:paraId="3B087E03" w14:textId="2E4E96A5" w:rsidR="005F4940" w:rsidRDefault="005F4940" w:rsidP="00975ECE">
      <w:pPr>
        <w:pStyle w:val="ListParagraph"/>
      </w:pPr>
      <w:r>
        <w:t>PRO: ONLY REQUIRES DATA ON COMMUNITY DIVERSITY AND ENVIRONMENTAL FACTORS</w:t>
      </w:r>
    </w:p>
    <w:p w14:paraId="17F5FF5A" w14:textId="27F3E1B5" w:rsidR="005F4940" w:rsidRDefault="005F4940" w:rsidP="00975ECE">
      <w:pPr>
        <w:pStyle w:val="ListParagraph"/>
      </w:pPr>
      <w:r>
        <w:t>CON: NOT SPATIALLY EXPLICIT</w:t>
      </w:r>
    </w:p>
    <w:p w14:paraId="52269A0B" w14:textId="2DF0882A" w:rsidR="005F4940" w:rsidRDefault="005F4940" w:rsidP="00975ECE">
      <w:pPr>
        <w:pStyle w:val="ListParagraph"/>
      </w:pPr>
    </w:p>
    <w:p w14:paraId="7FA489DF" w14:textId="5944652A" w:rsidR="005F4940" w:rsidRDefault="005F4940" w:rsidP="00975ECE">
      <w:pPr>
        <w:pStyle w:val="ListParagraph"/>
      </w:pPr>
      <w:r>
        <w:t>Stochastic Community Assembly: Does it matter for microbes? (Zhou, 2017)</w:t>
      </w:r>
    </w:p>
    <w:p w14:paraId="2FE9D580" w14:textId="0F7017D5" w:rsidR="005F4940" w:rsidRDefault="005F4940" w:rsidP="00975ECE">
      <w:pPr>
        <w:pStyle w:val="ListParagraph"/>
      </w:pPr>
      <w:r>
        <w:t>Approaches to Infer stochasticity</w:t>
      </w:r>
    </w:p>
    <w:p w14:paraId="4BC8190F" w14:textId="18B193AD" w:rsidR="005F4940" w:rsidRDefault="005F4940" w:rsidP="00975ECE">
      <w:pPr>
        <w:pStyle w:val="ListParagraph"/>
      </w:pPr>
      <w:r>
        <w:t xml:space="preserve">1) Multivariate analysis – statistical approach to examine the relative importance of environmental control (i.e. selection) </w:t>
      </w:r>
      <w:r w:rsidR="00F43F25">
        <w:t xml:space="preserve">and dispersal limitation. </w:t>
      </w:r>
    </w:p>
    <w:p w14:paraId="6F7B0646" w14:textId="5CAD35E9" w:rsidR="00F43F25" w:rsidRDefault="00F43F25" w:rsidP="00975ECE">
      <w:pPr>
        <w:pStyle w:val="ListParagraph"/>
      </w:pPr>
      <w:r>
        <w:t xml:space="preserve">A – </w:t>
      </w:r>
      <w:r w:rsidRPr="00F43F25">
        <w:t>﻿</w:t>
      </w:r>
      <w:r>
        <w:t>“D</w:t>
      </w:r>
      <w:r w:rsidRPr="00F43F25">
        <w:t>irect comparisons of community structure differences between and within treatments (or different groups of comm</w:t>
      </w:r>
      <w:r>
        <w:t>u</w:t>
      </w:r>
      <w:r w:rsidRPr="00F43F25">
        <w:t xml:space="preserve">nities in distinct environments), such as </w:t>
      </w:r>
      <w:r w:rsidRPr="00F43F25">
        <w:rPr>
          <w:b/>
        </w:rPr>
        <w:t>permutational multivariate analysis of variance</w:t>
      </w:r>
      <w:r w:rsidRPr="00F43F25">
        <w:t xml:space="preserve"> (PERMANOVA or Adonis) (148), </w:t>
      </w:r>
      <w:r w:rsidRPr="00F43F25">
        <w:rPr>
          <w:b/>
        </w:rPr>
        <w:t>analysis of similarities</w:t>
      </w:r>
      <w:r w:rsidRPr="00F43F25">
        <w:t xml:space="preserve"> (149), </w:t>
      </w:r>
      <w:r w:rsidRPr="00F43F25">
        <w:rPr>
          <w:b/>
        </w:rPr>
        <w:t xml:space="preserve">permutational analysis of multivariate dispersions (PERMDISP) </w:t>
      </w:r>
      <w:r w:rsidRPr="00F43F25">
        <w:t xml:space="preserve">(150), as well as more visualized ordination methods, e.g., </w:t>
      </w:r>
      <w:r w:rsidRPr="00F43F25">
        <w:rPr>
          <w:b/>
        </w:rPr>
        <w:t>principal-coordinates analysis (</w:t>
      </w:r>
      <w:proofErr w:type="spellStart"/>
      <w:r w:rsidRPr="00F43F25">
        <w:rPr>
          <w:b/>
        </w:rPr>
        <w:t>PCoA</w:t>
      </w:r>
      <w:proofErr w:type="spellEnd"/>
      <w:r w:rsidRPr="00F43F25">
        <w:rPr>
          <w:b/>
        </w:rPr>
        <w:t xml:space="preserve">), nonmetric multidimensional scaling (NMDS), principal-component (PC) analysis (PCA), and detrended correspondence analysis (DCA) </w:t>
      </w:r>
      <w:r w:rsidRPr="00F43F25">
        <w:t>(e.g.,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w:t>
      </w:r>
      <w:r>
        <w:t>”</w:t>
      </w:r>
    </w:p>
    <w:p w14:paraId="0A249DEF" w14:textId="77777777" w:rsidR="005F4940" w:rsidRDefault="005F4940" w:rsidP="00975ECE">
      <w:pPr>
        <w:pStyle w:val="ListParagraph"/>
      </w:pPr>
      <w:bookmarkStart w:id="0" w:name="_GoBack"/>
      <w:bookmarkEnd w:id="0"/>
    </w:p>
    <w:p w14:paraId="2B3B272E" w14:textId="6101293F" w:rsidR="008A7033" w:rsidRDefault="008A7033">
      <w:r>
        <w:t>Stage Six</w:t>
      </w:r>
    </w:p>
    <w:sectPr w:rsidR="008A7033"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E02A94"/>
    <w:multiLevelType w:val="hybridMultilevel"/>
    <w:tmpl w:val="41189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AC468A"/>
    <w:multiLevelType w:val="hybridMultilevel"/>
    <w:tmpl w:val="9F84F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033"/>
    <w:rsid w:val="00505630"/>
    <w:rsid w:val="00511661"/>
    <w:rsid w:val="005155B5"/>
    <w:rsid w:val="005F4940"/>
    <w:rsid w:val="0067077D"/>
    <w:rsid w:val="007574D4"/>
    <w:rsid w:val="008A7033"/>
    <w:rsid w:val="008F6434"/>
    <w:rsid w:val="00975ECE"/>
    <w:rsid w:val="009F27F9"/>
    <w:rsid w:val="00DB482F"/>
    <w:rsid w:val="00DC528E"/>
    <w:rsid w:val="00F43F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C1FB9"/>
  <w14:defaultImageDpi w14:val="32767"/>
  <w15:chartTrackingRefBased/>
  <w15:docId w15:val="{E10F86D5-1044-B648-A7DA-F1D2193DF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0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99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B6F22-7117-0146-A044-19D7B350A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2</Pages>
  <Words>1265</Words>
  <Characters>6756</Characters>
  <Application>Microsoft Office Word</Application>
  <DocSecurity>0</DocSecurity>
  <Lines>355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2020-11-25T06:17:00Z</dcterms:created>
  <dcterms:modified xsi:type="dcterms:W3CDTF">2020-11-26T06:55:00Z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