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69E71" w14:textId="0052F627" w:rsidR="007C4E65" w:rsidRDefault="007C4E65" w:rsidP="007C4E65">
      <w:bookmarkStart w:id="0" w:name="_Toc58606037"/>
      <w:r w:rsidRPr="00D66A0F">
        <w:rPr>
          <w:rStyle w:val="Heading2Char"/>
        </w:rPr>
        <w:t>Question 1: Do cryoconite holes exhibit classic patterns of island biogeography?</w:t>
      </w:r>
      <w:bookmarkEnd w:id="0"/>
      <w:r>
        <w:t xml:space="preserve"> </w:t>
      </w:r>
    </w:p>
    <w:p w14:paraId="39081FD1" w14:textId="77777777" w:rsidR="00F601D1" w:rsidRPr="00F601D1" w:rsidRDefault="00F601D1" w:rsidP="00F601D1">
      <w:pPr>
        <w:pStyle w:val="ListParagraph"/>
        <w:numPr>
          <w:ilvl w:val="0"/>
          <w:numId w:val="3"/>
        </w:numPr>
        <w:rPr>
          <w:b/>
        </w:rPr>
      </w:pPr>
      <w:r w:rsidRPr="00F601D1">
        <w:rPr>
          <w:b/>
        </w:rPr>
        <w:t xml:space="preserve">Why are islands important as model systems? </w:t>
      </w:r>
    </w:p>
    <w:p w14:paraId="6CB08B58" w14:textId="77777777" w:rsidR="00F601D1" w:rsidRPr="00F601D1" w:rsidRDefault="00F601D1" w:rsidP="00F601D1">
      <w:pPr>
        <w:pStyle w:val="ListParagraph"/>
        <w:numPr>
          <w:ilvl w:val="0"/>
          <w:numId w:val="3"/>
        </w:numPr>
        <w:rPr>
          <w:b/>
        </w:rPr>
      </w:pPr>
      <w:r w:rsidRPr="00F601D1">
        <w:rPr>
          <w:b/>
        </w:rPr>
        <w:t xml:space="preserve">What can we learn from islands about community assembly? </w:t>
      </w:r>
    </w:p>
    <w:p w14:paraId="38A39F26" w14:textId="0F9C2A32" w:rsidR="0053046E" w:rsidRDefault="00F601D1" w:rsidP="0053046E">
      <w:pPr>
        <w:pStyle w:val="ListParagraph"/>
        <w:numPr>
          <w:ilvl w:val="0"/>
          <w:numId w:val="3"/>
        </w:numPr>
        <w:rPr>
          <w:b/>
        </w:rPr>
      </w:pPr>
      <w:r w:rsidRPr="00F601D1">
        <w:rPr>
          <w:b/>
        </w:rPr>
        <w:t>How can we tell if something is like an island?</w:t>
      </w:r>
    </w:p>
    <w:p w14:paraId="73288FFB" w14:textId="0BAE2729" w:rsidR="00DC13AF" w:rsidRDefault="00ED3F74" w:rsidP="00C05A92">
      <w:pPr>
        <w:pStyle w:val="ListParagraph"/>
        <w:numPr>
          <w:ilvl w:val="0"/>
          <w:numId w:val="3"/>
        </w:numPr>
        <w:rPr>
          <w:b/>
        </w:rPr>
      </w:pPr>
      <w:r>
        <w:rPr>
          <w:b/>
        </w:rPr>
        <w:t>Why does it matter if cryoconite holes are island-like?</w:t>
      </w:r>
    </w:p>
    <w:p w14:paraId="3E6C9F63" w14:textId="77CAF391" w:rsidR="00D369B7" w:rsidRDefault="004F0387" w:rsidP="004F0387">
      <w:r>
        <w:t xml:space="preserve">The overarching aim of my research is to understand how </w:t>
      </w:r>
      <w:r w:rsidR="00827671">
        <w:t xml:space="preserve">dormancy impacts </w:t>
      </w:r>
      <w:r>
        <w:t>community assembly in cryoconite holes</w:t>
      </w:r>
      <w:r w:rsidR="00827671">
        <w:t xml:space="preserve"> and thus</w:t>
      </w:r>
      <w:r>
        <w:t xml:space="preserve"> ecosystem functioning in the glacial system, and how this might alter with climate change.</w:t>
      </w:r>
    </w:p>
    <w:p w14:paraId="0D5971BB" w14:textId="1A6C24F4" w:rsidR="007F6369" w:rsidRDefault="004F0387" w:rsidP="004F0387">
      <w:r>
        <w:t xml:space="preserve">There is increasing evidence to suggest that biodiversity stabilises ecosystem functioning as well as the ecosystem services from which we benefit </w:t>
      </w:r>
      <w:r>
        <w:fldChar w:fldCharType="begin" w:fldLock="1"/>
      </w:r>
      <w:r w:rsidR="00BE21D6">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fldChar w:fldCharType="separate"/>
      </w:r>
      <w:r w:rsidRPr="004F0387">
        <w:rPr>
          <w:noProof/>
        </w:rPr>
        <w:t>(Tilman, Isbell, &amp; Cowles, 2014)</w:t>
      </w:r>
      <w:r>
        <w:fldChar w:fldCharType="end"/>
      </w:r>
      <w:r w:rsidR="006974E7">
        <w:t>.</w:t>
      </w:r>
      <w:r w:rsidR="00F57357">
        <w:t xml:space="preserve"> Understanding the impact of </w:t>
      </w:r>
      <m:oMath>
        <m:r>
          <w:rPr>
            <w:rFonts w:ascii="Cambria Math" w:hAnsi="Cambria Math"/>
          </w:rPr>
          <m:t>α</m:t>
        </m:r>
      </m:oMath>
      <w:r w:rsidR="00F57357">
        <w:t>-</w:t>
      </w:r>
      <w:r w:rsidR="00BE21D6">
        <w:t xml:space="preserve"> </w:t>
      </w:r>
      <w:r w:rsidR="00F57357">
        <w:t xml:space="preserve">and </w:t>
      </w:r>
      <m:oMath>
        <m:r>
          <w:rPr>
            <w:rFonts w:ascii="Cambria Math" w:hAnsi="Cambria Math"/>
          </w:rPr>
          <m:t>β</m:t>
        </m:r>
      </m:oMath>
      <w:r w:rsidR="00F57357">
        <w:t xml:space="preserve">-diversity on ecosystem functioning is essential in helping us predict the impacts of climate change, particularly for </w:t>
      </w:r>
      <w:r w:rsidR="00BE21D6">
        <w:t>habitats</w:t>
      </w:r>
      <w:r w:rsidR="00F57357">
        <w:t xml:space="preserve"> subject to </w:t>
      </w:r>
      <w:r w:rsidR="00BE21D6">
        <w:t xml:space="preserve">large environmental changes, such as the warming Arctic </w:t>
      </w:r>
      <w:r w:rsidR="00BE21D6">
        <w:fldChar w:fldCharType="begin" w:fldLock="1"/>
      </w:r>
      <w:r w:rsidR="00421C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00BE21D6">
        <w:fldChar w:fldCharType="separate"/>
      </w:r>
      <w:r w:rsidR="00BE21D6" w:rsidRPr="00BE21D6">
        <w:rPr>
          <w:noProof/>
        </w:rPr>
        <w:t>(Mori, Isbell, &amp; Seidl, 2018)</w:t>
      </w:r>
      <w:r w:rsidR="00BE21D6">
        <w:fldChar w:fldCharType="end"/>
      </w:r>
      <w:r w:rsidR="00BE21D6">
        <w:t>.</w:t>
      </w:r>
      <w:r w:rsidR="00F45761">
        <w:t xml:space="preserve"> </w:t>
      </w:r>
      <m:oMath>
        <m:r>
          <w:rPr>
            <w:rFonts w:ascii="Cambria Math" w:hAnsi="Cambria Math"/>
          </w:rPr>
          <m:t>α</m:t>
        </m:r>
      </m:oMath>
      <w:r w:rsidR="00F45761">
        <w:t>-diversity</w:t>
      </w:r>
      <w:r w:rsidR="00F45761">
        <w:t xml:space="preserve"> is positively correlated with biomass production and ecosystem function </w:t>
      </w:r>
      <w:r w:rsidR="00F45761">
        <w:fldChar w:fldCharType="begin" w:fldLock="1"/>
      </w:r>
      <w:r w:rsidR="007F6369">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00F45761">
        <w:fldChar w:fldCharType="separate"/>
      </w:r>
      <w:r w:rsidR="00F45761" w:rsidRPr="00F45761">
        <w:rPr>
          <w:noProof/>
        </w:rPr>
        <w:t>(Cadotte, 2017)</w:t>
      </w:r>
      <w:r w:rsidR="00F45761">
        <w:fldChar w:fldCharType="end"/>
      </w:r>
      <w:r w:rsidR="007F6369">
        <w:t xml:space="preserve">. </w:t>
      </w:r>
      <m:oMath>
        <m:r>
          <w:rPr>
            <w:rFonts w:ascii="Cambria Math" w:hAnsi="Cambria Math"/>
          </w:rPr>
          <m:t>β</m:t>
        </m:r>
      </m:oMath>
      <w:r w:rsidR="007F6369">
        <w:t>-diversity</w:t>
      </w:r>
      <w:r w:rsidR="007F6369">
        <w:t xml:space="preserve"> is necessary to sustain biodiversity-ecosystem multifunctionality, where no singular assemblage can support all higher functions </w:t>
      </w:r>
      <w:r w:rsidR="007F6369">
        <w:fldChar w:fldCharType="begin" w:fldLock="1"/>
      </w:r>
      <w:r w:rsidR="00233D2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007F6369">
        <w:fldChar w:fldCharType="separate"/>
      </w:r>
      <w:r w:rsidR="007F6369" w:rsidRPr="007F6369">
        <w:rPr>
          <w:noProof/>
        </w:rPr>
        <w:t>(Mori et al., 2018)</w:t>
      </w:r>
      <w:r w:rsidR="007F6369">
        <w:fldChar w:fldCharType="end"/>
      </w:r>
      <w:r w:rsidR="007F6369">
        <w:t xml:space="preserve">. Therefore, understanding the community assembly processes that drive </w:t>
      </w:r>
      <m:oMath>
        <m:r>
          <w:rPr>
            <w:rFonts w:ascii="Cambria Math" w:hAnsi="Cambria Math"/>
          </w:rPr>
          <m:t>α</m:t>
        </m:r>
      </m:oMath>
      <w:r w:rsidR="007F6369">
        <w:t xml:space="preserve">- and </w:t>
      </w:r>
      <m:oMath>
        <m:r>
          <w:rPr>
            <w:rFonts w:ascii="Cambria Math" w:hAnsi="Cambria Math"/>
          </w:rPr>
          <m:t>β</m:t>
        </m:r>
      </m:oMath>
      <w:r w:rsidR="007F6369">
        <w:t>-diversity</w:t>
      </w:r>
      <w:r w:rsidR="007F6369">
        <w:t xml:space="preserve"> are crucial for understanding how ecosystem processes are maintained and how they may change as a result of anthropogenic activity.</w:t>
      </w:r>
    </w:p>
    <w:p w14:paraId="3321094A" w14:textId="590144ED" w:rsidR="004F0387" w:rsidRPr="007F6369" w:rsidRDefault="007F6369" w:rsidP="004F0387">
      <w:r>
        <w:t xml:space="preserve">  </w:t>
      </w:r>
      <w:r w:rsidR="004F0387">
        <w:t>Two types of processes control community assembly: stochastic and deterministic</w:t>
      </w:r>
      <w:r w:rsidR="004F0387">
        <w:t xml:space="preserve"> </w:t>
      </w:r>
      <w:r w:rsidR="004F0387">
        <w:fldChar w:fldCharType="begin" w:fldLock="1"/>
      </w:r>
      <w:r w:rsidR="004F0387">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rsidR="004F0387">
        <w:fldChar w:fldCharType="separate"/>
      </w:r>
      <w:r w:rsidR="004F0387" w:rsidRPr="004F0387">
        <w:rPr>
          <w:noProof/>
        </w:rPr>
        <w:t>(Ning, Deng, Tiedje, &amp; Zhou, 2019)</w:t>
      </w:r>
      <w:r w:rsidR="004F0387">
        <w:fldChar w:fldCharType="end"/>
      </w:r>
      <w:r w:rsidR="004F0387">
        <w:t>.</w:t>
      </w:r>
    </w:p>
    <w:p w14:paraId="794501E2" w14:textId="6DCE00DE" w:rsidR="00DC13AF" w:rsidRDefault="00DC13AF" w:rsidP="0053046E">
      <w:r>
        <w:t>Islands are excellent model systems for a variety of reasons. Their relative small size and isolation means quantifying species diversity, as well as present and historical ranges, is relatively straightforward as compared to continental communities</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AD25FA">
        <w:rPr>
          <w:noProof/>
        </w:rPr>
        <w:t>(Warren et al., 2015)</w:t>
      </w:r>
      <w:r>
        <w:fldChar w:fldCharType="end"/>
      </w:r>
      <w:r>
        <w:t xml:space="preserve">. Moreover, where multiple islands are present, they may serve as natural replicates, allowing us to disentangle the effects of area, isolation and environmental factors on biogeographic patterns </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AD25FA">
        <w:rPr>
          <w:noProof/>
        </w:rPr>
        <w:t>(Warren et al., 2015)</w:t>
      </w:r>
      <w:r>
        <w:fldChar w:fldCharType="end"/>
      </w:r>
      <w:r>
        <w:t xml:space="preserve">. Where </w:t>
      </w:r>
      <w:r w:rsidRPr="00DC13AF">
        <w:rPr>
          <w:i/>
        </w:rPr>
        <w:t>de novo</w:t>
      </w:r>
      <w:r>
        <w:t xml:space="preserve"> islands of varying ages are present, they can represent ecological and evolutionary timeseries </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AD25FA">
        <w:rPr>
          <w:noProof/>
        </w:rPr>
        <w:t>(Warren et al., 2015)</w:t>
      </w:r>
      <w:r>
        <w:fldChar w:fldCharType="end"/>
      </w:r>
      <w:r>
        <w:t xml:space="preserve">. </w:t>
      </w:r>
      <w:r w:rsidR="00421CF0">
        <w:t xml:space="preserve">Multiple islands allow us to explore </w:t>
      </w:r>
      <m:oMath>
        <m:r>
          <w:rPr>
            <w:rFonts w:ascii="Cambria Math" w:hAnsi="Cambria Math"/>
          </w:rPr>
          <m:t>β</m:t>
        </m:r>
      </m:oMath>
      <w:r w:rsidR="00421CF0">
        <w:t xml:space="preserve">-diversity </w:t>
      </w:r>
      <w:r w:rsidR="00421CF0">
        <w:t xml:space="preserve">(diversity between local assemblages) which has a crucial yet understudied role in sustaining ecosystem function </w:t>
      </w:r>
      <w:r w:rsidR="00421CF0">
        <w:fldChar w:fldCharType="begin" w:fldLock="1"/>
      </w:r>
      <w:r w:rsidR="00F45761">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00421CF0">
        <w:fldChar w:fldCharType="separate"/>
      </w:r>
      <w:r w:rsidR="00421CF0" w:rsidRPr="00421CF0">
        <w:rPr>
          <w:noProof/>
        </w:rPr>
        <w:t>(Mori et al., 2018)</w:t>
      </w:r>
      <w:r w:rsidR="00421CF0">
        <w:fldChar w:fldCharType="end"/>
      </w:r>
      <w:r w:rsidR="00421CF0">
        <w:t xml:space="preserve">. </w:t>
      </w:r>
      <w:r>
        <w:t xml:space="preserve">Due to these unique traits of island as model systems, we can explore community assembly in terms of arrival history, relative-species abundance and speciation </w:t>
      </w:r>
      <w:r>
        <w:fldChar w:fldCharType="begin" w:fldLock="1"/>
      </w:r>
      <w:r w:rsidR="004E4785">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E62143">
        <w:rPr>
          <w:noProof/>
        </w:rPr>
        <w:t>(Warren et al., 2015)</w:t>
      </w:r>
      <w:r>
        <w:fldChar w:fldCharType="end"/>
      </w:r>
      <w:r>
        <w:t xml:space="preserve">. Moreover, the small size and isolation of islands can help us understand the how community assembly impacts community functioning. Island systems allow us to exclude confounding factors in our investigations of community assembly and ecosystem functioning.  </w:t>
      </w:r>
    </w:p>
    <w:p w14:paraId="3C55734B" w14:textId="56A5009A" w:rsidR="00E34416" w:rsidRDefault="00DC13AF" w:rsidP="0053046E">
      <w:r>
        <w:t xml:space="preserve">  </w:t>
      </w:r>
      <w:r w:rsidR="00E34416" w:rsidRPr="00E34416">
        <w:t>Island patterns of biodiversity have been described since the 18</w:t>
      </w:r>
      <w:r w:rsidR="00E34416" w:rsidRPr="00E34416">
        <w:rPr>
          <w:vertAlign w:val="superscript"/>
        </w:rPr>
        <w:t>th</w:t>
      </w:r>
      <w:r w:rsidR="00E34416" w:rsidRPr="00E34416">
        <w:t xml:space="preserve"> century through the work of German naturalists Johann Reinhold Forster and Johann Georg Adam Forster </w:t>
      </w:r>
      <w:r w:rsidR="00E34416" w:rsidRPr="00E34416">
        <w:fldChar w:fldCharType="begin" w:fldLock="1"/>
      </w:r>
      <w:r w:rsidR="00E34416">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00E34416" w:rsidRPr="00E34416">
        <w:fldChar w:fldCharType="separate"/>
      </w:r>
      <w:r w:rsidR="00E34416" w:rsidRPr="00E34416">
        <w:rPr>
          <w:noProof/>
        </w:rPr>
        <w:t>(Lomolino &amp; Brown, 2009; Triantis, Guilhaumon, &amp; Whittaker, 2012)</w:t>
      </w:r>
      <w:r w:rsidR="00E34416" w:rsidRPr="00E34416">
        <w:fldChar w:fldCharType="end"/>
      </w:r>
      <w:r w:rsidR="00E34416">
        <w:t>. In the 19</w:t>
      </w:r>
      <w:r w:rsidR="00E34416" w:rsidRPr="00E34416">
        <w:rPr>
          <w:vertAlign w:val="superscript"/>
        </w:rPr>
        <w:t>th</w:t>
      </w:r>
      <w:r w:rsidR="00E34416">
        <w:t xml:space="preserve"> century Charles Darwin and Alfred Russell Wallace used island systems to develop their theories of evolution and natural selection, an antidote to previous assumption</w:t>
      </w:r>
      <w:r w:rsidR="001A0468">
        <w:t>s</w:t>
      </w:r>
      <w:r w:rsidR="00E34416">
        <w:t xml:space="preserve"> that species were immutable and distribution was a result of radiation from creation points and abiotic selection </w:t>
      </w:r>
      <w:r w:rsidR="00E34416">
        <w:fldChar w:fldCharType="begin" w:fldLock="1"/>
      </w:r>
      <w:r w:rsidR="00431F3D">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E34416">
        <w:fldChar w:fldCharType="separate"/>
      </w:r>
      <w:r w:rsidR="00E34416" w:rsidRPr="00E34416">
        <w:rPr>
          <w:noProof/>
        </w:rPr>
        <w:t>(Warren et al., 2015)</w:t>
      </w:r>
      <w:r w:rsidR="00E34416">
        <w:fldChar w:fldCharType="end"/>
      </w:r>
      <w:r w:rsidR="00E34416">
        <w:t>.</w:t>
      </w:r>
      <w:r w:rsidR="00431F3D">
        <w:t xml:space="preserve"> Eugene Gordon Munroe continued to develop island biogeographic theory in the 20</w:t>
      </w:r>
      <w:r w:rsidR="00431F3D" w:rsidRPr="00431F3D">
        <w:rPr>
          <w:vertAlign w:val="superscript"/>
        </w:rPr>
        <w:t>th</w:t>
      </w:r>
      <w:r w:rsidR="00431F3D">
        <w:t xml:space="preserve"> century</w:t>
      </w:r>
      <w:r w:rsidR="003A1E42">
        <w:t xml:space="preserve"> </w:t>
      </w:r>
      <w:r w:rsidR="003A1E42">
        <w:fldChar w:fldCharType="begin" w:fldLock="1"/>
      </w:r>
      <w:r w:rsidR="00332915">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Biogeography","type":"article-journal","volume":"70"},"uris":["http://www.mendeley.com/documents/?uuid=c283f67d-1fc3-4c94-a2f1-8e1968c9cdb7"]}],"mendeley":{"formattedCitation":"(Brown &amp; Lomolino, 1989)","plainTextFormattedCitation":"(Brown &amp; Lomolino, 1989)","previouslyFormattedCitation":"(Brown &amp; Lomolino, 1989)"},"properties":{"noteIndex":0},"schema":"https://github.com/citation-style-language/schema/raw/master/csl-citation.json"}</w:instrText>
      </w:r>
      <w:r w:rsidR="003A1E42">
        <w:fldChar w:fldCharType="separate"/>
      </w:r>
      <w:r w:rsidR="003A1E42" w:rsidRPr="003A1E42">
        <w:rPr>
          <w:noProof/>
        </w:rPr>
        <w:t>(Brown &amp; Lomolino, 1989)</w:t>
      </w:r>
      <w:r w:rsidR="003A1E42">
        <w:fldChar w:fldCharType="end"/>
      </w:r>
      <w:r w:rsidR="00431F3D">
        <w:t xml:space="preserve">, briefly before the contributions of Edward Wilson and Robert MacArthur </w:t>
      </w:r>
      <w:r w:rsidR="001A0468">
        <w:t>transformed</w:t>
      </w:r>
      <w:r w:rsidR="00431F3D">
        <w:t xml:space="preserve"> island biogeography from the descriptive to the statistical  </w:t>
      </w:r>
      <w:r w:rsidR="00EF26EA">
        <w:fldChar w:fldCharType="begin" w:fldLock="1"/>
      </w:r>
      <w:r w:rsidR="005247A7">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rsidR="00EF26EA">
        <w:fldChar w:fldCharType="separate"/>
      </w:r>
      <w:r w:rsidR="00EF26EA" w:rsidRPr="00EF26EA">
        <w:rPr>
          <w:noProof/>
        </w:rPr>
        <w:t>(Lomolino &amp; Brown, 2009; MacArthur &amp; Wilson, 1967; Warren et al., 2015)</w:t>
      </w:r>
      <w:r w:rsidR="00EF26EA">
        <w:fldChar w:fldCharType="end"/>
      </w:r>
      <w:r w:rsidR="00431F3D">
        <w:t xml:space="preserve">. </w:t>
      </w:r>
    </w:p>
    <w:p w14:paraId="254C25AF" w14:textId="68AB57C5" w:rsidR="00DC13AF" w:rsidRDefault="00EF26EA" w:rsidP="0053046E">
      <w:r>
        <w:lastRenderedPageBreak/>
        <w:t xml:space="preserve">  The core theory described in MacArthur and Wilsons’s </w:t>
      </w:r>
      <w:r w:rsidRPr="00EF26EA">
        <w:rPr>
          <w:i/>
        </w:rPr>
        <w:t xml:space="preserve">The Theory of Island Biogeography </w:t>
      </w:r>
      <w:r>
        <w:t xml:space="preserve">(1967) explored </w:t>
      </w:r>
      <w:r w:rsidR="00F77FDA">
        <w:t xml:space="preserve">island </w:t>
      </w:r>
      <w:r>
        <w:t>species-area relationships (</w:t>
      </w:r>
      <w:r w:rsidR="00F77FDA">
        <w:t>I</w:t>
      </w:r>
      <w:r>
        <w:t>SAR) and species-distance relationships (SDR).</w:t>
      </w:r>
      <w:r w:rsidR="00F77FDA">
        <w:t xml:space="preserve"> </w:t>
      </w:r>
      <w:r w:rsidR="005247A7">
        <w:t xml:space="preserve">The ISAR described the observed increase in species richness with habitat area, whilst the SDR described the decrease in species richness with distance from colonization source </w:t>
      </w:r>
      <w:r w:rsidR="005247A7">
        <w:fldChar w:fldCharType="begin" w:fldLock="1"/>
      </w:r>
      <w:r w:rsidR="005247A7">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5247A7">
        <w:fldChar w:fldCharType="separate"/>
      </w:r>
      <w:r w:rsidR="005247A7" w:rsidRPr="005247A7">
        <w:rPr>
          <w:noProof/>
        </w:rPr>
        <w:t>(Warren et al., 2015)</w:t>
      </w:r>
      <w:r w:rsidR="005247A7">
        <w:fldChar w:fldCharType="end"/>
      </w:r>
      <w:r w:rsidR="005247A7">
        <w:t>. MacArthur and Wilson</w:t>
      </w:r>
      <w:r w:rsidR="00AD27FE">
        <w:t>’s</w:t>
      </w:r>
      <w:r w:rsidR="005247A7">
        <w:t xml:space="preserve"> (1967) </w:t>
      </w:r>
      <w:r w:rsidR="003A1E42">
        <w:t xml:space="preserve">island biogeography theory (IBT) </w:t>
      </w:r>
      <w:r w:rsidR="005247A7">
        <w:t xml:space="preserve">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r w:rsidR="003A1E42">
        <w:t>Beyond the IBT, i</w:t>
      </w:r>
      <w:r w:rsidR="005247A7">
        <w:t xml:space="preserve">sland size can also have other impacts on species richness through </w:t>
      </w:r>
      <w:r w:rsidR="003A1E42">
        <w:t xml:space="preserve">the </w:t>
      </w:r>
      <w:r w:rsidR="005247A7">
        <w:t>target area effect and habitat diversity hypothesis</w:t>
      </w:r>
      <w:r w:rsidR="003A1E42">
        <w:t xml:space="preserve"> </w:t>
      </w:r>
      <w:r w:rsidR="003A1E42">
        <w:fldChar w:fldCharType="begin" w:fldLock="1"/>
      </w:r>
      <w:r w:rsidR="003A1E42">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rsidR="003A1E42">
        <w:fldChar w:fldCharType="separate"/>
      </w:r>
      <w:r w:rsidR="003A1E42" w:rsidRPr="003A1E42">
        <w:rPr>
          <w:noProof/>
        </w:rPr>
        <w:t>(MacDonald, Anderson, Acorn, &amp; Nielsen, 2018)</w:t>
      </w:r>
      <w:r w:rsidR="003A1E42">
        <w:fldChar w:fldCharType="end"/>
      </w:r>
      <w:r w:rsidR="003A1E42">
        <w:t>.</w:t>
      </w:r>
      <w:r w:rsidR="007E0746">
        <w:t xml:space="preserve"> IBT provided a simplified conceptual</w:t>
      </w:r>
      <w:r w:rsidR="00BA1297">
        <w:t>, neutral</w:t>
      </w:r>
      <w:r w:rsidR="007E0746">
        <w:t xml:space="preserve"> model of the impact of immigration and extinction on populations</w:t>
      </w:r>
      <w:r w:rsidR="00332915">
        <w:t xml:space="preserve"> that could be applied to a variety of habitats and taxonomic groups. MacArthur and Wilson provided a mechanistic and quantifiable theory to the ISAR and SDR, profoundly influenced our understanding of fragmented systems and conservation </w:t>
      </w:r>
      <w:r w:rsidR="00332915">
        <w:fldChar w:fldCharType="begin" w:fldLock="1"/>
      </w:r>
      <w:r w:rsidR="00AD25FA">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rsidR="00332915">
        <w:fldChar w:fldCharType="separate"/>
      </w:r>
      <w:r w:rsidR="00332915" w:rsidRPr="00332915">
        <w:rPr>
          <w:noProof/>
        </w:rPr>
        <w:t>(Losos &amp; Ricklefs, 2009)</w:t>
      </w:r>
      <w:r w:rsidR="00332915">
        <w:fldChar w:fldCharType="end"/>
      </w:r>
      <w:r w:rsidR="00332915">
        <w:t>.</w:t>
      </w:r>
    </w:p>
    <w:p w14:paraId="169FE954" w14:textId="2F7DB533" w:rsidR="00C05A92" w:rsidRDefault="00BA1297" w:rsidP="0053046E">
      <w:r>
        <w:t xml:space="preserve">  Stephen Hubbell’s </w:t>
      </w:r>
      <w:r w:rsidR="00C05A92" w:rsidRPr="00C05A92">
        <w:rPr>
          <w:i/>
        </w:rPr>
        <w:t xml:space="preserve">The </w:t>
      </w:r>
      <w:r w:rsidRPr="00C05A92">
        <w:rPr>
          <w:i/>
        </w:rPr>
        <w:t xml:space="preserve">Unified Neutral Theory of Biodiversity </w:t>
      </w:r>
      <w:r w:rsidR="00C05A92" w:rsidRPr="00C05A92">
        <w:rPr>
          <w:i/>
        </w:rPr>
        <w:t>and Biogeography</w:t>
      </w:r>
      <w:r w:rsidR="00C05A92">
        <w:t xml:space="preserve"> </w:t>
      </w:r>
      <w:r>
        <w:t xml:space="preserve">(2001) further developed on the neutral model of MacArthur and Wilson. </w:t>
      </w:r>
      <w:r w:rsidR="004E4785">
        <w:t xml:space="preserve">Where traditional thinking had explained the coexistence of multiple competing species within a single habitat as a result of species differences, </w:t>
      </w:r>
      <w:r>
        <w:t>Hubbell</w:t>
      </w:r>
      <w:r w:rsidR="004E4785">
        <w:t xml:space="preserve"> sought to explain this phenomena in a neutral framework </w:t>
      </w:r>
      <w:r w:rsidR="004E4785">
        <w:fldChar w:fldCharType="begin" w:fldLock="1"/>
      </w:r>
      <w:r w:rsidR="00C05A92">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rsidR="004E4785">
        <w:fldChar w:fldCharType="separate"/>
      </w:r>
      <w:r w:rsidR="004E4785" w:rsidRPr="004E4785">
        <w:rPr>
          <w:noProof/>
        </w:rPr>
        <w:t>(Rosindell, Hubbell, &amp; Etienne, 2011)</w:t>
      </w:r>
      <w:r w:rsidR="004E4785">
        <w:fldChar w:fldCharType="end"/>
      </w:r>
      <w:r w:rsidR="004E4785">
        <w:t>.</w:t>
      </w:r>
      <w:r w:rsidR="00683B6B">
        <w:t xml:space="preserve"> The neutral model includes a metacommunity from which individuals immigrate to a local community (or island), and where each individual within a trophic level has the same probability of immigration, reproduction and death </w:t>
      </w:r>
      <w:r w:rsidR="00C05A92">
        <w:fldChar w:fldCharType="begin" w:fldLock="1"/>
      </w:r>
      <w:r w:rsidR="00C05A92">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00C05A92">
        <w:fldChar w:fldCharType="separate"/>
      </w:r>
      <w:r w:rsidR="00C05A92" w:rsidRPr="00C05A92">
        <w:rPr>
          <w:noProof/>
        </w:rPr>
        <w:t>(Hubbell, 2001)</w:t>
      </w:r>
      <w:r w:rsidR="00C05A92">
        <w:fldChar w:fldCharType="end"/>
      </w:r>
      <w:r w:rsidR="00C05A92">
        <w:t xml:space="preserve">. The concept of neutral theory was first proposed in the context of molecular evolution, where selective changes in allele frequency were neutral </w:t>
      </w:r>
      <w:r w:rsidR="00C05A92">
        <w:fldChar w:fldCharType="begin" w:fldLock="1"/>
      </w:r>
      <w:r w:rsidR="004F0387">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00C05A92">
        <w:fldChar w:fldCharType="separate"/>
      </w:r>
      <w:r w:rsidR="00C05A92" w:rsidRPr="00C05A92">
        <w:rPr>
          <w:noProof/>
        </w:rPr>
        <w:t>(Kimura, 1979)</w:t>
      </w:r>
      <w:r w:rsidR="00C05A92">
        <w:fldChar w:fldCharType="end"/>
      </w:r>
      <w:r w:rsidR="00C05A92">
        <w:t xml:space="preserve">.  </w:t>
      </w:r>
    </w:p>
    <w:p w14:paraId="1C8049D3" w14:textId="7792E4C9" w:rsidR="00C05A92" w:rsidRDefault="00C05A92" w:rsidP="0053046E">
      <w:r>
        <w:t xml:space="preserve">  Neutral models</w:t>
      </w:r>
      <w:r w:rsidR="004F0387">
        <w:t xml:space="preserve"> of stochastic</w:t>
      </w:r>
      <w:r>
        <w:t xml:space="preserve"> community assembly such as IBT and Hubbell’s neutral theory, serve as a </w:t>
      </w:r>
      <w:r w:rsidR="004F0387">
        <w:t>null model</w:t>
      </w:r>
      <w:r>
        <w:t xml:space="preserve"> against which we can compare empirical ecological data to help determine the relative influence of stochastic and deterministic community assembly processes. </w:t>
      </w:r>
    </w:p>
    <w:p w14:paraId="2B6A25D2" w14:textId="64A16EB5" w:rsidR="00EB49EB" w:rsidRDefault="00EB49EB" w:rsidP="00EB49EB">
      <w:r>
        <w:t xml:space="preserve">  </w:t>
      </w:r>
      <w:r>
        <w:t xml:space="preserve">It is important to identify how island-like cryoconite holes are because </w:t>
      </w:r>
      <w:r w:rsidR="00233D20">
        <w:t xml:space="preserve">the </w:t>
      </w:r>
      <m:oMath>
        <m:r>
          <w:rPr>
            <w:rFonts w:ascii="Cambria Math" w:hAnsi="Cambria Math"/>
          </w:rPr>
          <m:t>α</m:t>
        </m:r>
      </m:oMath>
      <w:r w:rsidR="00233D20">
        <w:t xml:space="preserve">- </w:t>
      </w:r>
      <w:proofErr w:type="spellStart"/>
      <w:r w:rsidR="00233D20">
        <w:t>and</w:t>
      </w:r>
      <w:proofErr w:type="spellEnd"/>
      <w:r w:rsidR="00233D20">
        <w:t xml:space="preserve"> </w:t>
      </w:r>
      <m:oMath>
        <m:r>
          <w:rPr>
            <w:rFonts w:ascii="Cambria Math" w:hAnsi="Cambria Math"/>
          </w:rPr>
          <m:t>β</m:t>
        </m:r>
      </m:oMath>
      <w:r w:rsidR="00233D20">
        <w:t>-diversity</w:t>
      </w:r>
      <w:r w:rsidR="00233D20">
        <w:t xml:space="preserve">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rsidR="00233D20">
        <w:fldChar w:fldCharType="begin" w:fldLock="1"/>
      </w:r>
      <w:r w:rsidR="00233D20">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2016)"},"properties":{"noteIndex":0},"schema":"https://github.com/citation-style-language/schema/raw/master/csl-citation.json"}</w:instrText>
      </w:r>
      <w:r w:rsidR="00233D20">
        <w:fldChar w:fldCharType="separate"/>
      </w:r>
      <w:r w:rsidR="00233D20" w:rsidRPr="00233D20">
        <w:rPr>
          <w:noProof/>
        </w:rPr>
        <w:t>(Rominger et al., 2016)</w:t>
      </w:r>
      <w:r w:rsidR="00233D20">
        <w:fldChar w:fldCharType="end"/>
      </w:r>
      <w:r w:rsidR="00233D20">
        <w:t xml:space="preserve">. </w:t>
      </w:r>
    </w:p>
    <w:p w14:paraId="595FF4CB" w14:textId="3D9641D8" w:rsidR="00EB49EB" w:rsidRDefault="00EB49EB" w:rsidP="0053046E">
      <w:r>
        <w:t xml:space="preserve">  </w:t>
      </w: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Pr="000A098B">
        <w:rPr>
          <w:noProof/>
        </w:rPr>
        <w:t>(Darcy, Gendron, Sommers, Porazinska, &amp; Schmidt, 2018)</w:t>
      </w:r>
      <w:r>
        <w:fldChar w:fldCharType="end"/>
      </w:r>
      <w:r>
        <w:t xml:space="preserve">.  </w:t>
      </w:r>
    </w:p>
    <w:p w14:paraId="3FFCA915" w14:textId="77777777" w:rsidR="00472E4F" w:rsidRDefault="00472E4F" w:rsidP="0053046E">
      <w:r>
        <w:t>Islands are useful in ecology because:</w:t>
      </w:r>
    </w:p>
    <w:p w14:paraId="7C3B8A93" w14:textId="2189323C" w:rsidR="00472E4F" w:rsidRDefault="00472E4F" w:rsidP="00472E4F">
      <w:pPr>
        <w:pStyle w:val="ListParagraph"/>
        <w:numPr>
          <w:ilvl w:val="0"/>
          <w:numId w:val="7"/>
        </w:numPr>
      </w:pPr>
      <w:r>
        <w:t xml:space="preserve">They are </w:t>
      </w:r>
      <w:r w:rsidR="00AD25FA">
        <w:t>small</w:t>
      </w:r>
      <w:r>
        <w:t>. Easier to quantify</w:t>
      </w:r>
      <w:r w:rsidR="00AD25FA">
        <w:t xml:space="preserve"> diversity. </w:t>
      </w:r>
    </w:p>
    <w:p w14:paraId="4F53FB59" w14:textId="7263F01C" w:rsidR="00472E4F" w:rsidRDefault="00472E4F" w:rsidP="00472E4F">
      <w:pPr>
        <w:pStyle w:val="ListParagraph"/>
        <w:numPr>
          <w:ilvl w:val="0"/>
          <w:numId w:val="7"/>
        </w:numPr>
      </w:pPr>
      <w:r>
        <w:t>They are isolated.</w:t>
      </w:r>
      <w:r w:rsidR="00AD25FA">
        <w:t xml:space="preserve"> Easier to identify present and historical ranges. </w:t>
      </w:r>
    </w:p>
    <w:p w14:paraId="11BB51FB" w14:textId="1186714D" w:rsidR="00472E4F" w:rsidRDefault="00472E4F" w:rsidP="00472E4F">
      <w:pPr>
        <w:pStyle w:val="ListParagraph"/>
        <w:numPr>
          <w:ilvl w:val="0"/>
          <w:numId w:val="7"/>
        </w:numPr>
      </w:pPr>
      <w:r>
        <w:t xml:space="preserve">They may come in multiples. Give us replicates </w:t>
      </w:r>
      <w:r w:rsidR="00AD25FA">
        <w:t xml:space="preserve">systems that allow us to disentangle the effects of area, isolation and abiotic factors. </w:t>
      </w:r>
    </w:p>
    <w:p w14:paraId="6DB54B58" w14:textId="37296591" w:rsidR="00AD25FA" w:rsidRDefault="00AD25FA" w:rsidP="00AD25FA">
      <w:r>
        <w:t>Because of these useful traits, we can explore:</w:t>
      </w:r>
    </w:p>
    <w:p w14:paraId="595D419B" w14:textId="4D1A735A" w:rsidR="00332915" w:rsidRPr="007F16EB" w:rsidRDefault="00AD25FA" w:rsidP="0053046E">
      <w:pPr>
        <w:pStyle w:val="ListParagraph"/>
        <w:numPr>
          <w:ilvl w:val="0"/>
          <w:numId w:val="8"/>
        </w:numPr>
      </w:pPr>
      <w:r>
        <w:lastRenderedPageBreak/>
        <w:t xml:space="preserve">Community assembly. </w:t>
      </w:r>
      <w:r w:rsidR="00EC4146">
        <w:t>Because i</w:t>
      </w:r>
      <w:r>
        <w:t xml:space="preserve">slands </w:t>
      </w:r>
      <w:r w:rsidR="00EC4146">
        <w:t xml:space="preserve">are discrete and replicate habitats, they </w:t>
      </w:r>
      <w:r>
        <w:t>can help us understand how communities are formed and why they are different</w:t>
      </w:r>
      <w:r w:rsidR="00EC4146">
        <w:t xml:space="preserve">. </w:t>
      </w:r>
      <w:r w:rsidR="00E62143">
        <w:t xml:space="preserve">A) </w:t>
      </w:r>
      <w:r w:rsidR="00EC4146">
        <w:t xml:space="preserve">Islands can help us understand the impact of arrival history on ecological networks (specifically where de novo islands/communities can be studies). </w:t>
      </w:r>
      <w:r w:rsidR="00E62143">
        <w:t xml:space="preserve">B) </w:t>
      </w:r>
      <w:r w:rsidR="00EC4146">
        <w:t>Islands can help us understand why relative species abundances develop post-colonisation and throughout the assembly process</w:t>
      </w:r>
      <w:r w:rsidR="00E62143">
        <w:t xml:space="preserve">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w:t>
      </w:r>
      <w:r w:rsidR="00EC4146">
        <w:t>.</w:t>
      </w:r>
      <w:r w:rsidR="00E62143">
        <w:t xml:space="preserve"> C) Islands can help us understand how habitat area and isolation may </w:t>
      </w:r>
      <w:proofErr w:type="gramStart"/>
      <w:r w:rsidR="00E62143">
        <w:t>effect</w:t>
      </w:r>
      <w:proofErr w:type="gramEnd"/>
      <w:r w:rsidR="00E62143">
        <w:t xml:space="preserve"> speciation, and thus community assembly. </w:t>
      </w:r>
    </w:p>
    <w:p w14:paraId="16ED56B0" w14:textId="13F52BB4" w:rsidR="0053046E" w:rsidRDefault="0053046E" w:rsidP="0053046E">
      <w:r w:rsidRPr="0053046E">
        <w:t xml:space="preserve">The Reticulating Phylogeny of Island Biogeography Theory </w:t>
      </w:r>
      <w:r w:rsidRPr="0053046E">
        <w:fldChar w:fldCharType="begin" w:fldLock="1"/>
      </w:r>
      <w:r w:rsidR="00E34416">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rsidRPr="0053046E">
        <w:fldChar w:fldCharType="separate"/>
      </w:r>
      <w:r w:rsidRPr="0053046E">
        <w:rPr>
          <w:noProof/>
        </w:rPr>
        <w:t>(Lomolino &amp; Brown, 2009)</w:t>
      </w:r>
      <w:r w:rsidRPr="0053046E">
        <w:fldChar w:fldCharType="end"/>
      </w:r>
    </w:p>
    <w:p w14:paraId="0DCD3A41" w14:textId="7F3E39C5" w:rsidR="0053046E" w:rsidRPr="0053046E" w:rsidRDefault="0053046E" w:rsidP="0053046E">
      <w:pPr>
        <w:pStyle w:val="ListParagraph"/>
        <w:numPr>
          <w:ilvl w:val="0"/>
          <w:numId w:val="6"/>
        </w:numPr>
      </w:pPr>
      <w:r>
        <w:t>Johann Reinhold Forster described patterns of island biodiversity in 1778, Darwin &amp; Wallace also used islands in 19</w:t>
      </w:r>
      <w:r w:rsidRPr="0053046E">
        <w:rPr>
          <w:vertAlign w:val="superscript"/>
        </w:rPr>
        <w:t>th</w:t>
      </w:r>
      <w:r>
        <w:t xml:space="preserve"> century, Eugene G. Munroe, Wilson &amp; MacArthur, David Lack, Peter and Rosemary Grant in 20</w:t>
      </w:r>
      <w:r w:rsidRPr="0053046E">
        <w:rPr>
          <w:vertAlign w:val="superscript"/>
        </w:rPr>
        <w:t>th</w:t>
      </w:r>
      <w:r>
        <w:t xml:space="preserve"> century all used islands to develop ecological, evolutionary and biogeographic theory.</w:t>
      </w:r>
    </w:p>
    <w:p w14:paraId="189CC6B1" w14:textId="5A7A6C8B" w:rsidR="00DE5D3A" w:rsidRDefault="00DE5D3A" w:rsidP="00DE5D3A">
      <w:r w:rsidRPr="00DE5D3A">
        <w:rPr>
          <w:b/>
        </w:rPr>
        <w:t>﻿</w:t>
      </w:r>
      <w:r w:rsidRPr="00DE5D3A">
        <w:t xml:space="preserve">The island species-area relationship: biology and statistics </w:t>
      </w:r>
      <w:r w:rsidRPr="00DE5D3A">
        <w:fldChar w:fldCharType="begin" w:fldLock="1"/>
      </w:r>
      <w:r w:rsidR="00E34416">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rsidRPr="00DE5D3A">
        <w:fldChar w:fldCharType="separate"/>
      </w:r>
      <w:r w:rsidR="00E34416" w:rsidRPr="00E34416">
        <w:rPr>
          <w:noProof/>
        </w:rPr>
        <w:t>(Triantis et al., 2012)</w:t>
      </w:r>
      <w:r w:rsidRPr="00DE5D3A">
        <w:fldChar w:fldCharType="end"/>
      </w:r>
    </w:p>
    <w:p w14:paraId="2D8AE798" w14:textId="54659AE6" w:rsidR="00F72549" w:rsidRPr="00F72549" w:rsidRDefault="00F72549" w:rsidP="00DE5D3A">
      <w:pPr>
        <w:pStyle w:val="ListParagraph"/>
        <w:numPr>
          <w:ilvl w:val="0"/>
          <w:numId w:val="5"/>
        </w:numPr>
      </w:pPr>
      <w:r w:rsidRPr="00F72549">
        <w:t>Evidence of ISARs being described by mid 18</w:t>
      </w:r>
      <w:r w:rsidRPr="00F72549">
        <w:rPr>
          <w:vertAlign w:val="superscript"/>
        </w:rPr>
        <w:t>th</w:t>
      </w:r>
      <w:r w:rsidRPr="00F72549">
        <w:t xml:space="preserve"> century</w:t>
      </w:r>
    </w:p>
    <w:p w14:paraId="59A306B7" w14:textId="43347D3A" w:rsidR="00DE5D3A" w:rsidRPr="00F72549" w:rsidRDefault="00DE5D3A" w:rsidP="00DE5D3A">
      <w:pPr>
        <w:pStyle w:val="ListParagraph"/>
        <w:numPr>
          <w:ilvl w:val="0"/>
          <w:numId w:val="5"/>
        </w:numPr>
      </w:pPr>
      <w:r w:rsidRPr="00F72549">
        <w:t xml:space="preserve">Variety of models have been developed to fit ISAR data, but power law model </w:t>
      </w:r>
      <w:r w:rsidR="007D7036">
        <w:t>(</w:t>
      </w:r>
      <w:proofErr w:type="spellStart"/>
      <w:r w:rsidR="007D7036">
        <w:t>Arrenius</w:t>
      </w:r>
      <w:proofErr w:type="spellEnd"/>
      <w:r w:rsidR="007D7036">
        <w:t xml:space="preserve"> 1920/21) </w:t>
      </w:r>
      <w:r w:rsidRPr="00F72549">
        <w:t>performs best, particularly for data with spatial range within three orders of magnitude.</w:t>
      </w:r>
    </w:p>
    <w:p w14:paraId="6FD3B408" w14:textId="5D3F8D08" w:rsidR="00F601D1" w:rsidRDefault="00F601D1" w:rsidP="007C4E65">
      <w:r w:rsidRPr="00F601D1">
        <w:t>﻿Islands as model systems in ecology and evolution: prospects fifty years after MacArthur–Wilson</w:t>
      </w:r>
      <w:r>
        <w:t xml:space="preserve"> </w:t>
      </w:r>
      <w:r>
        <w:fldChar w:fldCharType="begin" w:fldLock="1"/>
      </w:r>
      <w:r w:rsidR="00DE5D3A">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F601D1">
        <w:rPr>
          <w:noProof/>
        </w:rPr>
        <w:t>(Warren et al., 2015)</w:t>
      </w:r>
      <w:r>
        <w:fldChar w:fldCharType="end"/>
      </w:r>
    </w:p>
    <w:p w14:paraId="2940A761" w14:textId="3F6D64F8" w:rsidR="00DA1A13" w:rsidRDefault="00DA1A13" w:rsidP="00DA1A13">
      <w:pPr>
        <w:pStyle w:val="ListParagraph"/>
        <w:numPr>
          <w:ilvl w:val="0"/>
          <w:numId w:val="4"/>
        </w:numPr>
      </w:pPr>
      <w:r>
        <w:t>MacArthur + Wilson</w:t>
      </w:r>
      <w:r w:rsidR="00DE5D3A">
        <w:t xml:space="preserve"> = taking ecology from descriptive to statistical</w:t>
      </w:r>
    </w:p>
    <w:p w14:paraId="62C75D67" w14:textId="0256F288" w:rsidR="00DE5D3A" w:rsidRDefault="00DE5D3A" w:rsidP="00DA1A13">
      <w:pPr>
        <w:pStyle w:val="ListParagraph"/>
        <w:numPr>
          <w:ilvl w:val="0"/>
          <w:numId w:val="4"/>
        </w:numPr>
      </w:pPr>
      <w:r>
        <w:t>M+W looked at two patterns of species richness, SAR (more area = more species, described since mid 18</w:t>
      </w:r>
      <w:r w:rsidRPr="00DE5D3A">
        <w:rPr>
          <w:vertAlign w:val="superscript"/>
        </w:rPr>
        <w:t>th</w:t>
      </w:r>
      <w:r>
        <w:t xml:space="preserve"> century) and </w:t>
      </w:r>
      <w:r w:rsidR="007D7036">
        <w:t xml:space="preserve">species-distance relationship (a bit different from DDR, this describes less species with distance from colonisation source/metacommunity/mainland). </w:t>
      </w:r>
      <w:r w:rsidR="0053046E">
        <w:t xml:space="preserve">Core Theory (doesn’t consider speciation): </w:t>
      </w:r>
      <w:r w:rsidR="007D7036">
        <w:t xml:space="preserve">Suggest immigration rate (the rate of NEW species to an island) decreases as species richness increases and the rate of extinction increases as number of species increases (as there are more species competing). </w:t>
      </w:r>
      <w:proofErr w:type="gramStart"/>
      <w:r w:rsidR="007D7036">
        <w:t>So</w:t>
      </w:r>
      <w:proofErr w:type="gramEnd"/>
      <w:r w:rsidR="007D7036">
        <w:t xml:space="preserve"> the diversity of an island </w:t>
      </w:r>
      <w:r w:rsidR="00216CE0">
        <w:t>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w:t>
      </w:r>
    </w:p>
    <w:p w14:paraId="49E9180A" w14:textId="3CA7CD07" w:rsidR="00DE5D3A" w:rsidRDefault="00DE5D3A" w:rsidP="00DA1A13">
      <w:pPr>
        <w:pStyle w:val="ListParagraph"/>
        <w:numPr>
          <w:ilvl w:val="0"/>
          <w:numId w:val="4"/>
        </w:numPr>
      </w:pPr>
      <w:r>
        <w:t xml:space="preserve">Islands are useful because they are discrete, replicable and manageable microcosms  </w:t>
      </w:r>
    </w:p>
    <w:p w14:paraId="0C716455" w14:textId="2B18DC73" w:rsidR="00E34416" w:rsidRDefault="00E34416" w:rsidP="00DA1A13">
      <w:pPr>
        <w:pStyle w:val="ListParagraph"/>
        <w:numPr>
          <w:ilvl w:val="0"/>
          <w:numId w:val="4"/>
        </w:numPr>
      </w:pPr>
      <w:r>
        <w:t>Darwin and Wallace used model systems to dispute widely held theory at the time that species were immutable and distributions through space were a result of radiation from specific create points and abiotic factors.</w:t>
      </w:r>
    </w:p>
    <w:p w14:paraId="09FBA122" w14:textId="04670C63" w:rsidR="00F601D1" w:rsidRDefault="00F601D1" w:rsidP="007C4E65">
      <w:r w:rsidRPr="00F601D1">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77BE5EBF" w14:textId="65FA2790" w:rsidR="00F601D1" w:rsidRDefault="00F601D1" w:rsidP="007C4E65">
      <w:r>
        <w:t>Study of true islands has helped the development of many ecological, evolutionary and biogeographic theories (see MacArthur &amp; Wilson, 1967, Darwin, Wallace, Hubbell, 2001, Warren et al., 2015)</w:t>
      </w:r>
    </w:p>
    <w:p w14:paraId="27395315" w14:textId="77777777" w:rsidR="007C4E65" w:rsidRDefault="007C4E65" w:rsidP="007C4E65">
      <w:r>
        <w:lastRenderedPageBreak/>
        <w:t>How does this change between domains, functional groups, active vs total communities, across seasons?</w:t>
      </w:r>
    </w:p>
    <w:p w14:paraId="5D351409" w14:textId="77777777" w:rsidR="007C4E65" w:rsidRDefault="007C4E65" w:rsidP="007C4E65">
      <w:r w:rsidRPr="00AC69FF">
        <w:rPr>
          <w:b/>
        </w:rPr>
        <w:t>Method:</w:t>
      </w:r>
      <w:r>
        <w:rPr>
          <w:b/>
        </w:rPr>
        <w:t xml:space="preserve"> </w:t>
      </w:r>
      <w:r w:rsidRPr="00CC3B48">
        <w:t>In order to address Question 1</w:t>
      </w:r>
      <w:r>
        <w:t>,</w:t>
      </w:r>
      <w:r w:rsidRPr="00CC3B48">
        <w:t xml:space="preserve"> </w:t>
      </w:r>
      <w:r>
        <w:t xml:space="preserve">I will test whether cryoconite holes on </w:t>
      </w:r>
      <w:proofErr w:type="spellStart"/>
      <w:r>
        <w:t>Foxfonna</w:t>
      </w:r>
      <w:proofErr w:type="spellEnd"/>
      <w:r>
        <w:t xml:space="preserve"> glacier, and other glaciers around the world, exhibit two classic biogeographic patterns: the species-area relationship (SAR) and distance-decay relationship (DDR). By looking for evidence of a SAR I am seeing whether there is a scaling of number of species with cryoconite area or volume. </w:t>
      </w:r>
    </w:p>
    <w:p w14:paraId="584E7B14" w14:textId="77777777" w:rsidR="007C4E65" w:rsidRDefault="007C4E65" w:rsidP="007C4E65">
      <w:pPr>
        <w:pStyle w:val="ListParagraph"/>
        <w:numPr>
          <w:ilvl w:val="0"/>
          <w:numId w:val="1"/>
        </w:numPr>
      </w:pPr>
      <w:r>
        <w:t xml:space="preserve">If there is a positive SAR this will be useful in looking at how biogeochemical processes scale with cryoconite size. </w:t>
      </w:r>
    </w:p>
    <w:p w14:paraId="55D497FD" w14:textId="77777777" w:rsidR="007C4E65" w:rsidRDefault="007C4E65" w:rsidP="007C4E65">
      <w:pPr>
        <w:pStyle w:val="ListParagraph"/>
        <w:numPr>
          <w:ilvl w:val="0"/>
          <w:numId w:val="1"/>
        </w:numPr>
      </w:pPr>
      <w:r>
        <w:t xml:space="preserve">If there is a positive SAR this will be useful for developing spatially explicit models/network analyses. </w:t>
      </w:r>
    </w:p>
    <w:p w14:paraId="57D7AA10" w14:textId="77777777" w:rsidR="007C4E65" w:rsidRDefault="007C4E65" w:rsidP="007C4E65">
      <w:pPr>
        <w:pStyle w:val="ListParagraph"/>
        <w:numPr>
          <w:ilvl w:val="0"/>
          <w:numId w:val="1"/>
        </w:numPr>
      </w:pPr>
      <w:r>
        <w:t xml:space="preserve">If there is a positive SAR we can look at how the relative influence of community assembly mechanisms (deterministic/stochastic) changes with habitat size. </w:t>
      </w:r>
    </w:p>
    <w:p w14:paraId="07A409E6" w14:textId="77777777" w:rsidR="007C4E65" w:rsidRDefault="007C4E65" w:rsidP="007C4E65">
      <w:pPr>
        <w:pStyle w:val="ListParagraph"/>
        <w:numPr>
          <w:ilvl w:val="0"/>
          <w:numId w:val="1"/>
        </w:numPr>
      </w:pPr>
      <w:r>
        <w:t xml:space="preserve">If there is a DDR then we have evidence of either environmental gradients leading to deterministic community assembly or stochastic dispersal limitation, or a combination of both. </w:t>
      </w:r>
    </w:p>
    <w:p w14:paraId="3B1C671D" w14:textId="243523BF" w:rsidR="007C4E65" w:rsidRDefault="007C4E65" w:rsidP="007C4E65">
      <w:pPr>
        <w:pStyle w:val="ListParagraph"/>
        <w:numPr>
          <w:ilvl w:val="0"/>
          <w:numId w:val="1"/>
        </w:numPr>
      </w:pPr>
      <w:r>
        <w:t xml:space="preserve">If we find evidence of SAR and DDR in the cryoconite holes of </w:t>
      </w:r>
      <w:proofErr w:type="spellStart"/>
      <w:r>
        <w:t>Foxfonna</w:t>
      </w:r>
      <w:proofErr w:type="spellEnd"/>
      <w:r>
        <w:t xml:space="preserve"> glacier and other glaciers around the world, we have evidence to suggest that cryoconite holes are, indeed, island-like</w:t>
      </w:r>
      <w:r w:rsidR="00160A57">
        <w:t xml:space="preserve"> and their community assembly mechanisms can be investigated using island biogeographic theory. </w:t>
      </w:r>
      <w:bookmarkStart w:id="1" w:name="_GoBack"/>
      <w:bookmarkEnd w:id="1"/>
    </w:p>
    <w:p w14:paraId="4BACA3F8" w14:textId="391B322B" w:rsidR="007C4E65" w:rsidRDefault="007C4E65" w:rsidP="007C4E65">
      <w:r>
        <w:t xml:space="preserve">I will use a spatially nested sample scheme to collect cryoconite samples from </w:t>
      </w:r>
      <w:proofErr w:type="spellStart"/>
      <w:r>
        <w:t>Foxfonna</w:t>
      </w:r>
      <w:proofErr w:type="spellEnd"/>
      <w:r>
        <w:t xml:space="preserve"> glacier in spring 2020 and summer 2020 to compare domains, functional groups, active and total communities, across seasons. I will also measure the area, volume and GPS coordinates of each cryoconite hole. I will collect sequence, size and location data from other cryoconite holes around the world to look for SAR and DDR patterns on a range of spatial scales. If the communities exhibit SAR that has implications for how we model biogeochemical processes, in </w:t>
      </w:r>
      <w:proofErr w:type="spellStart"/>
      <w:r>
        <w:t>they</w:t>
      </w:r>
      <w:proofErr w:type="spellEnd"/>
      <w:r>
        <w:t xml:space="preserve"> exhibit DDR that has implications for the way communities are affected by spatially autocorrelated environmental conditions and/or their location/proximity to other communities. </w:t>
      </w:r>
    </w:p>
    <w:p w14:paraId="359C482B" w14:textId="4024B558" w:rsidR="007C4E65" w:rsidRDefault="007C4E65" w:rsidP="007C4E65">
      <w:r>
        <w:t xml:space="preserve">Which other datasets are available? What have these previous studies looked at? How can I develop on this? </w:t>
      </w:r>
    </w:p>
    <w:p w14:paraId="5B4DBA2C" w14:textId="2C691A5B" w:rsidR="007C4E65" w:rsidRDefault="007C4E65" w:rsidP="007C4E65">
      <w:r>
        <w:t>Microbial SARs generally looks at bacteria (and maybe eukaryotes).</w:t>
      </w:r>
    </w:p>
    <w:p w14:paraId="5724E588" w14:textId="5D115F10" w:rsidR="00FB57FF" w:rsidRDefault="00FB57FF" w:rsidP="007C4E65">
      <w:r>
        <w:t xml:space="preserve">Could this be divided into functional groups (primary producers, decomposers, grazers), or </w:t>
      </w:r>
      <w:r w:rsidR="00B21610">
        <w:t xml:space="preserve">in to more </w:t>
      </w:r>
      <w:proofErr w:type="gramStart"/>
      <w:r w:rsidR="00B21610">
        <w:t>fine grained</w:t>
      </w:r>
      <w:proofErr w:type="gramEnd"/>
      <w:r w:rsidR="00B21610">
        <w:t xml:space="preserve"> groups: cyanobacteria, algae, fungi, heterotrophic bacteria, heterotrophic eukaryotes, archaea?</w:t>
      </w:r>
    </w:p>
    <w:p w14:paraId="150258E3" w14:textId="2933F8A7" w:rsidR="007C4E65" w:rsidRDefault="007C4E65" w:rsidP="007C4E65">
      <w:r>
        <w:t>Previous studies on cryoconite holes and species-area relationships/DDRs</w:t>
      </w:r>
      <w:r w:rsidR="00FB57FF">
        <w:t xml:space="preserve">. Let’s ask, what data did they use? What questions did they ask? What methods did they use? What further work do they suggest should be </w:t>
      </w:r>
      <w:proofErr w:type="gramStart"/>
      <w:r w:rsidR="00FB57FF">
        <w:t>done?</w:t>
      </w:r>
      <w:r>
        <w:t>:</w:t>
      </w:r>
      <w:proofErr w:type="gramEnd"/>
    </w:p>
    <w:p w14:paraId="5DEAFA30" w14:textId="49D6F8A8" w:rsidR="007C4E65" w:rsidRDefault="007C4E65" w:rsidP="00FB57FF">
      <w:pPr>
        <w:pStyle w:val="ListParagraph"/>
        <w:numPr>
          <w:ilvl w:val="0"/>
          <w:numId w:val="2"/>
        </w:numPr>
      </w:pPr>
      <w:r w:rsidRPr="007C4E65">
        <w:t>Microbial Species–Area Relationships in Antarctic Cryoconite Holes Depend on Productivity</w:t>
      </w:r>
      <w:r>
        <w:t xml:space="preserve"> </w:t>
      </w:r>
      <w:r>
        <w:fldChar w:fldCharType="begin" w:fldLock="1"/>
      </w:r>
      <w: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7C4E65">
        <w:rPr>
          <w:noProof/>
        </w:rPr>
        <w:t>(Sommers et al., 2020)</w:t>
      </w:r>
      <w:r>
        <w:fldChar w:fldCharType="end"/>
      </w:r>
    </w:p>
    <w:p w14:paraId="570E24A3" w14:textId="42F414D1" w:rsidR="00FB57FF" w:rsidRDefault="00FB57FF" w:rsidP="00FB57FF">
      <w:pPr>
        <w:pStyle w:val="ListParagraph"/>
      </w:pPr>
      <w:r>
        <w:t xml:space="preserve">Look at bacterial and eukaryotic community cryoconite ISAR across two Antarctic </w:t>
      </w:r>
      <w:r w:rsidR="00B21610">
        <w:t>g</w:t>
      </w:r>
      <w:r>
        <w:t>laciers</w:t>
      </w:r>
      <w:r w:rsidR="00B21610">
        <w:t xml:space="preserve"> (Canada and Taylor)</w:t>
      </w:r>
      <w:r>
        <w:t xml:space="preserve"> that differ in productivity. </w:t>
      </w:r>
    </w:p>
    <w:p w14:paraId="08BE3B6D" w14:textId="5A064F6C" w:rsidR="007C4E65" w:rsidRDefault="007C4E65" w:rsidP="00FB57FF">
      <w:pPr>
        <w:pStyle w:val="ListParagraph"/>
        <w:numPr>
          <w:ilvl w:val="0"/>
          <w:numId w:val="2"/>
        </w:numPr>
      </w:pPr>
      <w:r w:rsidRPr="007C4E65">
        <w:t>Island biogeography of cryoconite hole bacteria in Antarctica's Taylor Valley and around the world</w:t>
      </w:r>
      <w:r>
        <w:t xml:space="preserve"> </w:t>
      </w:r>
      <w:r>
        <w:fldChar w:fldCharType="begin" w:fldLock="1"/>
      </w:r>
      <w:r w:rsidR="00233D2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Gendron, Sommers, Porazinska, &amp; Schmidt, 2018)"},"properties":{"noteIndex":0},"schema":"https://github.com/citation-style-language/schema/raw/master/csl-citation.json"}</w:instrText>
      </w:r>
      <w:r>
        <w:fldChar w:fldCharType="separate"/>
      </w:r>
      <w:r w:rsidR="00233D20" w:rsidRPr="00233D20">
        <w:rPr>
          <w:noProof/>
        </w:rPr>
        <w:t>(Darcy et al., 2018)</w:t>
      </w:r>
      <w:r>
        <w:fldChar w:fldCharType="end"/>
      </w:r>
    </w:p>
    <w:p w14:paraId="48FCA8ED" w14:textId="115B5C29" w:rsidR="00FB57FF" w:rsidRDefault="00FB57FF" w:rsidP="00FB57FF">
      <w:pPr>
        <w:pStyle w:val="ListParagraph"/>
        <w:numPr>
          <w:ilvl w:val="0"/>
          <w:numId w:val="2"/>
        </w:numPr>
      </w:pPr>
      <w:r w:rsidRPr="00FB57FF">
        <w:lastRenderedPageBreak/>
        <w:t>Biogeography of cryoconite bacterial communities on glaciers of the Tibetan Plateau</w:t>
      </w:r>
      <w:r>
        <w:t xml:space="preserve"> </w:t>
      </w:r>
      <w:r>
        <w:fldChar w:fldCharType="begin" w:fldLock="1"/>
      </w:r>
      <w:r w:rsidR="00F601D1">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fldChar w:fldCharType="separate"/>
      </w:r>
      <w:r w:rsidRPr="00FB57FF">
        <w:rPr>
          <w:noProof/>
        </w:rPr>
        <w:t>(Liu et al., 2017)</w:t>
      </w:r>
      <w:r>
        <w:fldChar w:fldCharType="end"/>
      </w:r>
    </w:p>
    <w:p w14:paraId="0476E9F6" w14:textId="4C5934B3" w:rsidR="00FB57FF" w:rsidRDefault="00FB57FF" w:rsidP="00FB57FF">
      <w:pPr>
        <w:pStyle w:val="ListParagraph"/>
        <w:numPr>
          <w:ilvl w:val="0"/>
          <w:numId w:val="2"/>
        </w:numPr>
      </w:pPr>
      <w:r w:rsidRPr="007C4E65">
        <w:t xml:space="preserve">Area, depth and elevation of cryoconite holes in the Arctic do not influence </w:t>
      </w:r>
      <w:proofErr w:type="spellStart"/>
      <w:r w:rsidRPr="007C4E65">
        <w:t>Tardigrada</w:t>
      </w:r>
      <w:proofErr w:type="spellEnd"/>
      <w:r w:rsidRPr="007C4E65">
        <w:t xml:space="preserve"> densities</w:t>
      </w:r>
      <w:r>
        <w:t xml:space="preserve"> </w:t>
      </w:r>
      <w:r>
        <w:fldChar w:fldCharType="begin" w:fldLock="1"/>
      </w:r>
      <w: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densities","type":"article-journal","volume":"37"},"uris":["http://www.mendeley.com/documents/?uuid=3e8dce05-2062-49bc-be93-cfbc8ec88d86"]}],"mendeley":{"formattedCitation":"(Zawierucha et al., 2016)","plainTextFormattedCitation":"(Zawierucha et al., 2016)","previouslyFormattedCitation":"(Zawierucha et al., 2016)"},"properties":{"noteIndex":0},"schema":"https://github.com/citation-style-language/schema/raw/master/csl-citation.json"}</w:instrText>
      </w:r>
      <w:r>
        <w:fldChar w:fldCharType="separate"/>
      </w:r>
      <w:r w:rsidRPr="007C4E65">
        <w:rPr>
          <w:noProof/>
        </w:rPr>
        <w:t>(Zawierucha et al., 2016)</w:t>
      </w:r>
      <w:r>
        <w:fldChar w:fldCharType="end"/>
      </w:r>
    </w:p>
    <w:p w14:paraId="393CE4C3" w14:textId="63CE73FE" w:rsidR="007C4E65" w:rsidRDefault="007C4E65" w:rsidP="00FB57FF">
      <w:pPr>
        <w:pStyle w:val="ListParagraph"/>
        <w:numPr>
          <w:ilvl w:val="0"/>
          <w:numId w:val="2"/>
        </w:numPr>
      </w:pPr>
      <w:r w:rsidRPr="007C4E65">
        <w:t>The mass–area relationship within cryoconite holes and its implications for primary production</w:t>
      </w:r>
      <w:r>
        <w:t xml:space="preserve"> </w:t>
      </w:r>
      <w:r>
        <w:fldChar w:fldCharType="begin" w:fldLock="1"/>
      </w:r>
      <w: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production","type":"article-journal","volume":"51"},"uris":["http://www.mendeley.com/documents/?uuid=d6afdd34-07e0-484d-bd99-af962e0a54c2"]}],"mendeley":{"formattedCitation":"(Cook et al., 2010)","plainTextFormattedCitation":"(Cook et al., 2010)","previouslyFormattedCitation":"(Cook et al., 2010)"},"properties":{"noteIndex":0},"schema":"https://github.com/citation-style-language/schema/raw/master/csl-citation.json"}</w:instrText>
      </w:r>
      <w:r>
        <w:fldChar w:fldCharType="separate"/>
      </w:r>
      <w:r w:rsidRPr="007C4E65">
        <w:rPr>
          <w:noProof/>
        </w:rPr>
        <w:t>(Cook et al., 2010)</w:t>
      </w:r>
      <w:r>
        <w:fldChar w:fldCharType="end"/>
      </w:r>
    </w:p>
    <w:p w14:paraId="239DB95A" w14:textId="215F1E3A" w:rsidR="005D32D0" w:rsidRDefault="00160A57"/>
    <w:sectPr w:rsidR="005D32D0"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06952"/>
    <w:multiLevelType w:val="hybridMultilevel"/>
    <w:tmpl w:val="7376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8B36C8"/>
    <w:multiLevelType w:val="hybridMultilevel"/>
    <w:tmpl w:val="A8B4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139F9"/>
    <w:multiLevelType w:val="hybridMultilevel"/>
    <w:tmpl w:val="8FD6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DD34D0"/>
    <w:multiLevelType w:val="hybridMultilevel"/>
    <w:tmpl w:val="AF3A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1E498E"/>
    <w:multiLevelType w:val="hybridMultilevel"/>
    <w:tmpl w:val="3524F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CA23F4"/>
    <w:multiLevelType w:val="hybridMultilevel"/>
    <w:tmpl w:val="08DAE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EE29F6"/>
    <w:multiLevelType w:val="hybridMultilevel"/>
    <w:tmpl w:val="1BC25718"/>
    <w:lvl w:ilvl="0" w:tplc="0409000F">
      <w:start w:val="1"/>
      <w:numFmt w:val="decimal"/>
      <w:lvlText w:val="%1."/>
      <w:lvlJc w:val="left"/>
      <w:pPr>
        <w:ind w:left="763" w:hanging="360"/>
      </w:p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7" w15:restartNumberingAfterBreak="0">
    <w:nsid w:val="5E4428B7"/>
    <w:multiLevelType w:val="hybridMultilevel"/>
    <w:tmpl w:val="4820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7"/>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AD"/>
    <w:rsid w:val="00160A57"/>
    <w:rsid w:val="001A0468"/>
    <w:rsid w:val="00216CE0"/>
    <w:rsid w:val="00233D20"/>
    <w:rsid w:val="002549AD"/>
    <w:rsid w:val="00332915"/>
    <w:rsid w:val="003A1E42"/>
    <w:rsid w:val="00421CF0"/>
    <w:rsid w:val="00431F3D"/>
    <w:rsid w:val="00472E4F"/>
    <w:rsid w:val="004E4785"/>
    <w:rsid w:val="004F0387"/>
    <w:rsid w:val="00511661"/>
    <w:rsid w:val="005155B5"/>
    <w:rsid w:val="005247A7"/>
    <w:rsid w:val="0053046E"/>
    <w:rsid w:val="005E48A5"/>
    <w:rsid w:val="00683B6B"/>
    <w:rsid w:val="006974E7"/>
    <w:rsid w:val="006A380B"/>
    <w:rsid w:val="006C1E97"/>
    <w:rsid w:val="007574D4"/>
    <w:rsid w:val="007877CC"/>
    <w:rsid w:val="007B60A6"/>
    <w:rsid w:val="007C4E65"/>
    <w:rsid w:val="007D7036"/>
    <w:rsid w:val="007E0746"/>
    <w:rsid w:val="007F16EB"/>
    <w:rsid w:val="007F6369"/>
    <w:rsid w:val="00827671"/>
    <w:rsid w:val="008F6434"/>
    <w:rsid w:val="009F10EC"/>
    <w:rsid w:val="00AD25FA"/>
    <w:rsid w:val="00AD27FE"/>
    <w:rsid w:val="00B21610"/>
    <w:rsid w:val="00BA1297"/>
    <w:rsid w:val="00BE21D6"/>
    <w:rsid w:val="00C05A92"/>
    <w:rsid w:val="00D369B7"/>
    <w:rsid w:val="00D50C90"/>
    <w:rsid w:val="00DA1A13"/>
    <w:rsid w:val="00DB482F"/>
    <w:rsid w:val="00DC13AF"/>
    <w:rsid w:val="00DC528E"/>
    <w:rsid w:val="00DE5D3A"/>
    <w:rsid w:val="00E34416"/>
    <w:rsid w:val="00E62143"/>
    <w:rsid w:val="00E82891"/>
    <w:rsid w:val="00E870A8"/>
    <w:rsid w:val="00EB49EB"/>
    <w:rsid w:val="00EC4146"/>
    <w:rsid w:val="00ED3F74"/>
    <w:rsid w:val="00EF26EA"/>
    <w:rsid w:val="00F45761"/>
    <w:rsid w:val="00F57357"/>
    <w:rsid w:val="00F601D1"/>
    <w:rsid w:val="00F72549"/>
    <w:rsid w:val="00F77FDA"/>
    <w:rsid w:val="00FB57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6237"/>
  <w14:defaultImageDpi w14:val="32767"/>
  <w15:chartTrackingRefBased/>
  <w15:docId w15:val="{F8F8E27A-67B4-4E42-80BE-3701791E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C4E65"/>
    <w:pPr>
      <w:spacing w:after="200" w:line="252" w:lineRule="auto"/>
    </w:pPr>
    <w:rPr>
      <w:rFonts w:asciiTheme="majorHAnsi" w:eastAsiaTheme="majorEastAsia" w:hAnsiTheme="majorHAnsi" w:cstheme="majorBidi"/>
      <w:sz w:val="22"/>
      <w:szCs w:val="22"/>
    </w:rPr>
  </w:style>
  <w:style w:type="paragraph" w:styleId="Heading1">
    <w:name w:val="heading 1"/>
    <w:basedOn w:val="Normal"/>
    <w:next w:val="Normal"/>
    <w:link w:val="Heading1Char"/>
    <w:uiPriority w:val="9"/>
    <w:qFormat/>
    <w:rsid w:val="0053046E"/>
    <w:pPr>
      <w:keepNext/>
      <w:keepLines/>
      <w:spacing w:before="240" w:after="0"/>
      <w:outlineLvl w:val="0"/>
    </w:pPr>
    <w:rPr>
      <w:color w:val="2F5496" w:themeColor="accent1" w:themeShade="BF"/>
      <w:sz w:val="32"/>
      <w:szCs w:val="32"/>
    </w:rPr>
  </w:style>
  <w:style w:type="paragraph" w:styleId="Heading2">
    <w:name w:val="heading 2"/>
    <w:basedOn w:val="Normal"/>
    <w:next w:val="Normal"/>
    <w:link w:val="Heading2Char"/>
    <w:uiPriority w:val="9"/>
    <w:unhideWhenUsed/>
    <w:qFormat/>
    <w:rsid w:val="007C4E65"/>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7C4E65"/>
    <w:pPr>
      <w:keepNext/>
      <w:keepLines/>
      <w:spacing w:before="40" w:after="0"/>
      <w:outlineLvl w:val="2"/>
    </w:pPr>
    <w:rPr>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4E65"/>
    <w:rPr>
      <w:rFonts w:asciiTheme="majorHAnsi" w:eastAsiaTheme="majorEastAsia" w:hAnsiTheme="majorHAnsi" w:cstheme="majorBidi"/>
      <w:caps/>
      <w:color w:val="833C0B" w:themeColor="accent2" w:themeShade="80"/>
      <w:spacing w:val="15"/>
    </w:rPr>
  </w:style>
  <w:style w:type="paragraph" w:styleId="ListParagraph">
    <w:name w:val="List Paragraph"/>
    <w:basedOn w:val="Normal"/>
    <w:uiPriority w:val="34"/>
    <w:qFormat/>
    <w:rsid w:val="007C4E65"/>
    <w:pPr>
      <w:ind w:left="720"/>
      <w:contextualSpacing/>
    </w:pPr>
  </w:style>
  <w:style w:type="character" w:customStyle="1" w:styleId="Heading3Char">
    <w:name w:val="Heading 3 Char"/>
    <w:basedOn w:val="DefaultParagraphFont"/>
    <w:link w:val="Heading3"/>
    <w:uiPriority w:val="9"/>
    <w:semiHidden/>
    <w:rsid w:val="007C4E65"/>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53046E"/>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F5735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445884">
      <w:bodyDiv w:val="1"/>
      <w:marLeft w:val="0"/>
      <w:marRight w:val="0"/>
      <w:marTop w:val="0"/>
      <w:marBottom w:val="0"/>
      <w:divBdr>
        <w:top w:val="none" w:sz="0" w:space="0" w:color="auto"/>
        <w:left w:val="none" w:sz="0" w:space="0" w:color="auto"/>
        <w:bottom w:val="none" w:sz="0" w:space="0" w:color="auto"/>
        <w:right w:val="none" w:sz="0" w:space="0" w:color="auto"/>
      </w:divBdr>
    </w:div>
    <w:div w:id="209146422">
      <w:bodyDiv w:val="1"/>
      <w:marLeft w:val="0"/>
      <w:marRight w:val="0"/>
      <w:marTop w:val="0"/>
      <w:marBottom w:val="0"/>
      <w:divBdr>
        <w:top w:val="none" w:sz="0" w:space="0" w:color="auto"/>
        <w:left w:val="none" w:sz="0" w:space="0" w:color="auto"/>
        <w:bottom w:val="none" w:sz="0" w:space="0" w:color="auto"/>
        <w:right w:val="none" w:sz="0" w:space="0" w:color="auto"/>
      </w:divBdr>
    </w:div>
    <w:div w:id="436409303">
      <w:bodyDiv w:val="1"/>
      <w:marLeft w:val="0"/>
      <w:marRight w:val="0"/>
      <w:marTop w:val="0"/>
      <w:marBottom w:val="0"/>
      <w:divBdr>
        <w:top w:val="none" w:sz="0" w:space="0" w:color="auto"/>
        <w:left w:val="none" w:sz="0" w:space="0" w:color="auto"/>
        <w:bottom w:val="none" w:sz="0" w:space="0" w:color="auto"/>
        <w:right w:val="none" w:sz="0" w:space="0" w:color="auto"/>
      </w:divBdr>
    </w:div>
    <w:div w:id="613173181">
      <w:bodyDiv w:val="1"/>
      <w:marLeft w:val="0"/>
      <w:marRight w:val="0"/>
      <w:marTop w:val="0"/>
      <w:marBottom w:val="0"/>
      <w:divBdr>
        <w:top w:val="none" w:sz="0" w:space="0" w:color="auto"/>
        <w:left w:val="none" w:sz="0" w:space="0" w:color="auto"/>
        <w:bottom w:val="none" w:sz="0" w:space="0" w:color="auto"/>
        <w:right w:val="none" w:sz="0" w:space="0" w:color="auto"/>
      </w:divBdr>
    </w:div>
    <w:div w:id="1047146780">
      <w:bodyDiv w:val="1"/>
      <w:marLeft w:val="0"/>
      <w:marRight w:val="0"/>
      <w:marTop w:val="0"/>
      <w:marBottom w:val="0"/>
      <w:divBdr>
        <w:top w:val="none" w:sz="0" w:space="0" w:color="auto"/>
        <w:left w:val="none" w:sz="0" w:space="0" w:color="auto"/>
        <w:bottom w:val="none" w:sz="0" w:space="0" w:color="auto"/>
        <w:right w:val="none" w:sz="0" w:space="0" w:color="auto"/>
      </w:divBdr>
    </w:div>
    <w:div w:id="1193374226">
      <w:bodyDiv w:val="1"/>
      <w:marLeft w:val="0"/>
      <w:marRight w:val="0"/>
      <w:marTop w:val="0"/>
      <w:marBottom w:val="0"/>
      <w:divBdr>
        <w:top w:val="none" w:sz="0" w:space="0" w:color="auto"/>
        <w:left w:val="none" w:sz="0" w:space="0" w:color="auto"/>
        <w:bottom w:val="none" w:sz="0" w:space="0" w:color="auto"/>
        <w:right w:val="none" w:sz="0" w:space="0" w:color="auto"/>
      </w:divBdr>
    </w:div>
    <w:div w:id="1384988749">
      <w:bodyDiv w:val="1"/>
      <w:marLeft w:val="0"/>
      <w:marRight w:val="0"/>
      <w:marTop w:val="0"/>
      <w:marBottom w:val="0"/>
      <w:divBdr>
        <w:top w:val="none" w:sz="0" w:space="0" w:color="auto"/>
        <w:left w:val="none" w:sz="0" w:space="0" w:color="auto"/>
        <w:bottom w:val="none" w:sz="0" w:space="0" w:color="auto"/>
        <w:right w:val="none" w:sz="0" w:space="0" w:color="auto"/>
      </w:divBdr>
    </w:div>
    <w:div w:id="1540781889">
      <w:bodyDiv w:val="1"/>
      <w:marLeft w:val="0"/>
      <w:marRight w:val="0"/>
      <w:marTop w:val="0"/>
      <w:marBottom w:val="0"/>
      <w:divBdr>
        <w:top w:val="none" w:sz="0" w:space="0" w:color="auto"/>
        <w:left w:val="none" w:sz="0" w:space="0" w:color="auto"/>
        <w:bottom w:val="none" w:sz="0" w:space="0" w:color="auto"/>
        <w:right w:val="none" w:sz="0" w:space="0" w:color="auto"/>
      </w:divBdr>
    </w:div>
    <w:div w:id="1750341900">
      <w:bodyDiv w:val="1"/>
      <w:marLeft w:val="0"/>
      <w:marRight w:val="0"/>
      <w:marTop w:val="0"/>
      <w:marBottom w:val="0"/>
      <w:divBdr>
        <w:top w:val="none" w:sz="0" w:space="0" w:color="auto"/>
        <w:left w:val="none" w:sz="0" w:space="0" w:color="auto"/>
        <w:bottom w:val="none" w:sz="0" w:space="0" w:color="auto"/>
        <w:right w:val="none" w:sz="0" w:space="0" w:color="auto"/>
      </w:divBdr>
    </w:div>
    <w:div w:id="199807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971E3-E25A-544B-B83A-67038402F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5</Pages>
  <Words>17114</Words>
  <Characters>97553</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26</cp:revision>
  <dcterms:created xsi:type="dcterms:W3CDTF">2020-12-15T09:32:00Z</dcterms:created>
  <dcterms:modified xsi:type="dcterms:W3CDTF">2020-12-15T17:38:00Z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