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3BF38C" w14:textId="4B0BAC7B" w:rsidR="005D32D0" w:rsidRDefault="006F61BF" w:rsidP="00F113A9">
      <w:pPr>
        <w:jc w:val="center"/>
        <w:rPr>
          <w:b/>
          <w:sz w:val="32"/>
        </w:rPr>
      </w:pPr>
      <w:r w:rsidRPr="00F113A9">
        <w:rPr>
          <w:b/>
          <w:sz w:val="32"/>
        </w:rPr>
        <w:t>Recipe for quantitatively assessing the biogeographic patterns and community assembly mechanisms of cryoconite holes</w:t>
      </w:r>
    </w:p>
    <w:p w14:paraId="19E4D4EF" w14:textId="7AC99E07" w:rsidR="005F4697" w:rsidRDefault="005F4697" w:rsidP="00F113A9">
      <w:pPr>
        <w:jc w:val="center"/>
        <w:rPr>
          <w:b/>
          <w:sz w:val="32"/>
        </w:rPr>
      </w:pPr>
    </w:p>
    <w:p w14:paraId="6750844B" w14:textId="57023432" w:rsidR="005F4697" w:rsidRDefault="005F4697" w:rsidP="005F4697">
      <w:pPr>
        <w:rPr>
          <w:b/>
          <w:sz w:val="22"/>
        </w:rPr>
      </w:pPr>
      <w:r>
        <w:rPr>
          <w:b/>
          <w:sz w:val="22"/>
        </w:rPr>
        <w:t xml:space="preserve">Linear model </w:t>
      </w:r>
      <w:r w:rsidRPr="005F4697">
        <w:rPr>
          <w:sz w:val="22"/>
        </w:rPr>
        <w:t>– to quantify the species-area relationship</w:t>
      </w:r>
    </w:p>
    <w:p w14:paraId="0A994213" w14:textId="2109A9F2" w:rsidR="005F4697" w:rsidRDefault="005F4697" w:rsidP="005F4697">
      <w:pPr>
        <w:rPr>
          <w:sz w:val="22"/>
        </w:rPr>
      </w:pPr>
      <w:r>
        <w:rPr>
          <w:b/>
          <w:sz w:val="22"/>
        </w:rPr>
        <w:t xml:space="preserve">Logistic or linear model </w:t>
      </w:r>
      <w:r w:rsidRPr="005F4697">
        <w:rPr>
          <w:sz w:val="22"/>
        </w:rPr>
        <w:t>– to quantify the distance-decay relationship</w:t>
      </w:r>
    </w:p>
    <w:p w14:paraId="0AC96FCD" w14:textId="65D33CD2" w:rsidR="005F4697" w:rsidRDefault="005F4697" w:rsidP="005F4697">
      <w:pPr>
        <w:rPr>
          <w:b/>
          <w:sz w:val="22"/>
        </w:rPr>
      </w:pPr>
      <w:r>
        <w:rPr>
          <w:b/>
          <w:sz w:val="22"/>
        </w:rPr>
        <w:t xml:space="preserve">VPA analysis  </w:t>
      </w:r>
      <w:r w:rsidR="00D7426A" w:rsidRPr="00D7426A">
        <w:rPr>
          <w:sz w:val="22"/>
        </w:rPr>
        <w:t>- to quantify the percentage of community dissimilarity explained by environmental variables</w:t>
      </w:r>
    </w:p>
    <w:p w14:paraId="23C05E24" w14:textId="5BBDF26A" w:rsidR="005F4697" w:rsidRPr="005F4697" w:rsidRDefault="005F4697" w:rsidP="005F4697">
      <w:pPr>
        <w:rPr>
          <w:b/>
          <w:sz w:val="22"/>
        </w:rPr>
      </w:pPr>
      <w:r>
        <w:rPr>
          <w:b/>
          <w:sz w:val="22"/>
        </w:rPr>
        <w:t xml:space="preserve">Null model analysis </w:t>
      </w:r>
      <w:r w:rsidRPr="005F4697">
        <w:rPr>
          <w:sz w:val="22"/>
        </w:rPr>
        <w:t xml:space="preserve">– </w:t>
      </w:r>
      <w:r>
        <w:rPr>
          <w:sz w:val="22"/>
        </w:rPr>
        <w:t>to</w:t>
      </w:r>
      <w:r w:rsidRPr="005F4697">
        <w:rPr>
          <w:sz w:val="22"/>
        </w:rPr>
        <w:t xml:space="preserve"> quantify the contribution of ecological processes (homogenous selection, variable selection, ecological drift, dispersal limitation, homogenizing dispersal) that determine community assembly across the glacier. Comparison between prokaryotic and eukaryotic communities. Comparison between April and August sampling events.</w:t>
      </w:r>
      <w:r>
        <w:rPr>
          <w:b/>
          <w:sz w:val="22"/>
        </w:rPr>
        <w:t xml:space="preserve"> </w:t>
      </w:r>
    </w:p>
    <w:p w14:paraId="5F94D393" w14:textId="6B859A26" w:rsidR="006F61BF" w:rsidRDefault="006F61BF"/>
    <w:p w14:paraId="29570933" w14:textId="7165CB47" w:rsidR="006F61BF" w:rsidRPr="00F113A9" w:rsidRDefault="006F61BF" w:rsidP="006F61BF">
      <w:pPr>
        <w:rPr>
          <w:b/>
        </w:rPr>
      </w:pPr>
      <w:r w:rsidRPr="00F113A9">
        <w:rPr>
          <w:b/>
        </w:rPr>
        <w:t>Data for X number of cryoconite holes on 1 glacier:</w:t>
      </w:r>
    </w:p>
    <w:p w14:paraId="693460D2" w14:textId="1A327961" w:rsidR="006F61BF" w:rsidRDefault="006F61BF" w:rsidP="006F61BF">
      <w:pPr>
        <w:pStyle w:val="ListParagraph"/>
        <w:numPr>
          <w:ilvl w:val="0"/>
          <w:numId w:val="2"/>
        </w:numPr>
      </w:pPr>
      <w:r>
        <w:t>Taxonomic richness of bacteria, eukaryotes and archaea</w:t>
      </w:r>
    </w:p>
    <w:p w14:paraId="4796235D" w14:textId="5CCC3F8E" w:rsidR="006F61BF" w:rsidRDefault="006F61BF" w:rsidP="006F61BF">
      <w:pPr>
        <w:pStyle w:val="ListParagraph"/>
        <w:numPr>
          <w:ilvl w:val="0"/>
          <w:numId w:val="2"/>
        </w:numPr>
      </w:pPr>
      <w:r>
        <w:t xml:space="preserve">Taxonomic abundance </w:t>
      </w:r>
    </w:p>
    <w:p w14:paraId="5B7D9FFC" w14:textId="2EF95D7C" w:rsidR="006F61BF" w:rsidRDefault="006F61BF" w:rsidP="006F61BF">
      <w:pPr>
        <w:pStyle w:val="ListParagraph"/>
        <w:numPr>
          <w:ilvl w:val="0"/>
          <w:numId w:val="2"/>
        </w:numPr>
      </w:pPr>
      <w:r>
        <w:t>Proportion of each taxa that is active or dormant</w:t>
      </w:r>
    </w:p>
    <w:p w14:paraId="2F843CFB" w14:textId="30759125" w:rsidR="000970C1" w:rsidRDefault="000970C1" w:rsidP="006F61BF">
      <w:pPr>
        <w:pStyle w:val="ListParagraph"/>
        <w:numPr>
          <w:ilvl w:val="0"/>
          <w:numId w:val="2"/>
        </w:numPr>
      </w:pPr>
      <w:r>
        <w:t>Length (dimeter 1), width (</w:t>
      </w:r>
      <w:r w:rsidR="00C855EC">
        <w:t>diameter</w:t>
      </w:r>
      <w:r>
        <w:t xml:space="preserve"> 2) and depth of hole</w:t>
      </w:r>
    </w:p>
    <w:p w14:paraId="64994ABB" w14:textId="77777777" w:rsidR="006F61BF" w:rsidRDefault="006F61BF" w:rsidP="006F61BF">
      <w:pPr>
        <w:pStyle w:val="ListParagraph"/>
        <w:numPr>
          <w:ilvl w:val="0"/>
          <w:numId w:val="2"/>
        </w:numPr>
      </w:pPr>
      <w:r>
        <w:t>GPS</w:t>
      </w:r>
    </w:p>
    <w:p w14:paraId="67D4D002" w14:textId="77777777" w:rsidR="006F61BF" w:rsidRDefault="006F61BF" w:rsidP="006F61BF">
      <w:pPr>
        <w:pStyle w:val="ListParagraph"/>
        <w:numPr>
          <w:ilvl w:val="0"/>
          <w:numId w:val="2"/>
        </w:numPr>
      </w:pPr>
      <w:r>
        <w:t>pH</w:t>
      </w:r>
    </w:p>
    <w:p w14:paraId="6A3CC207" w14:textId="77777777" w:rsidR="006F61BF" w:rsidRDefault="006F61BF" w:rsidP="006F61BF">
      <w:pPr>
        <w:pStyle w:val="ListParagraph"/>
        <w:numPr>
          <w:ilvl w:val="0"/>
          <w:numId w:val="2"/>
        </w:numPr>
      </w:pPr>
      <w:r>
        <w:t>Temperature</w:t>
      </w:r>
      <w:bookmarkStart w:id="0" w:name="_GoBack"/>
      <w:bookmarkEnd w:id="0"/>
    </w:p>
    <w:p w14:paraId="37EC7690" w14:textId="77777777" w:rsidR="006F61BF" w:rsidRDefault="006F61BF" w:rsidP="006F61BF">
      <w:pPr>
        <w:pStyle w:val="ListParagraph"/>
        <w:numPr>
          <w:ilvl w:val="0"/>
          <w:numId w:val="2"/>
        </w:numPr>
      </w:pPr>
      <w:r>
        <w:t>Conductivity</w:t>
      </w:r>
    </w:p>
    <w:p w14:paraId="058D3AFF" w14:textId="77777777" w:rsidR="006F61BF" w:rsidRDefault="006F61BF" w:rsidP="006F61BF">
      <w:pPr>
        <w:pStyle w:val="ListParagraph"/>
        <w:numPr>
          <w:ilvl w:val="0"/>
          <w:numId w:val="2"/>
        </w:numPr>
      </w:pPr>
      <w:r>
        <w:t>Dissolved Organic/Inorganic Carbon (DOC/DIC)</w:t>
      </w:r>
    </w:p>
    <w:p w14:paraId="161D0375" w14:textId="77777777" w:rsidR="006F61BF" w:rsidRDefault="006F61BF" w:rsidP="006F61BF">
      <w:pPr>
        <w:pStyle w:val="ListParagraph"/>
        <w:numPr>
          <w:ilvl w:val="0"/>
          <w:numId w:val="2"/>
        </w:numPr>
      </w:pPr>
      <w:r>
        <w:t>Nitrogen</w:t>
      </w:r>
    </w:p>
    <w:p w14:paraId="721A6988" w14:textId="77777777" w:rsidR="006F61BF" w:rsidRDefault="006F61BF" w:rsidP="006F61BF">
      <w:pPr>
        <w:pStyle w:val="ListParagraph"/>
        <w:numPr>
          <w:ilvl w:val="0"/>
          <w:numId w:val="2"/>
        </w:numPr>
      </w:pPr>
      <w:r>
        <w:t>Phosphorus (total mineralized phosphorus, bioavailable orthophosphate) – would this be included in inorganic nutrients?</w:t>
      </w:r>
    </w:p>
    <w:p w14:paraId="7A4F71ED" w14:textId="77777777" w:rsidR="006F61BF" w:rsidRDefault="006F61BF" w:rsidP="006F61BF">
      <w:pPr>
        <w:pStyle w:val="ListParagraph"/>
        <w:numPr>
          <w:ilvl w:val="0"/>
          <w:numId w:val="2"/>
        </w:numPr>
      </w:pPr>
      <w:r>
        <w:t>Inorganic nutrients (PO</w:t>
      </w:r>
      <w:r>
        <w:rPr>
          <w:vertAlign w:val="subscript"/>
        </w:rPr>
        <w:t>4</w:t>
      </w:r>
      <w:r>
        <w:t>, NH</w:t>
      </w:r>
      <w:r>
        <w:rPr>
          <w:vertAlign w:val="subscript"/>
        </w:rPr>
        <w:t>4</w:t>
      </w:r>
      <w:r>
        <w:t>, NO</w:t>
      </w:r>
      <w:r>
        <w:rPr>
          <w:vertAlign w:val="subscript"/>
        </w:rPr>
        <w:t>3</w:t>
      </w:r>
      <w:r>
        <w:t>, NO</w:t>
      </w:r>
      <w:r>
        <w:rPr>
          <w:vertAlign w:val="subscript"/>
        </w:rPr>
        <w:t>2</w:t>
      </w:r>
      <w:r>
        <w:t>, SiO</w:t>
      </w:r>
      <w:r>
        <w:rPr>
          <w:vertAlign w:val="subscript"/>
        </w:rPr>
        <w:t>2</w:t>
      </w:r>
      <w:r>
        <w:t>)</w:t>
      </w:r>
    </w:p>
    <w:p w14:paraId="54D2841D" w14:textId="5556654A" w:rsidR="006F61BF" w:rsidRDefault="006F61BF" w:rsidP="006F61BF">
      <w:pPr>
        <w:pStyle w:val="ListParagraph"/>
        <w:numPr>
          <w:ilvl w:val="0"/>
          <w:numId w:val="2"/>
        </w:numPr>
      </w:pPr>
      <w:r>
        <w:t>Major ions (Na</w:t>
      </w:r>
      <w:r>
        <w:rPr>
          <w:vertAlign w:val="superscript"/>
        </w:rPr>
        <w:t>+</w:t>
      </w:r>
      <w:r>
        <w:t>, Mg</w:t>
      </w:r>
      <w:r>
        <w:rPr>
          <w:vertAlign w:val="superscript"/>
        </w:rPr>
        <w:t>2+</w:t>
      </w:r>
      <w:r>
        <w:t>, SO</w:t>
      </w:r>
      <w:r>
        <w:rPr>
          <w:vertAlign w:val="subscript"/>
        </w:rPr>
        <w:t>4</w:t>
      </w:r>
      <w:r>
        <w:rPr>
          <w:vertAlign w:val="superscript"/>
        </w:rPr>
        <w:t>2-</w:t>
      </w:r>
      <w:r>
        <w:t>, K</w:t>
      </w:r>
      <w:r>
        <w:rPr>
          <w:vertAlign w:val="superscript"/>
        </w:rPr>
        <w:t>+</w:t>
      </w:r>
      <w:r>
        <w:t>, Ca</w:t>
      </w:r>
      <w:r>
        <w:rPr>
          <w:vertAlign w:val="superscript"/>
        </w:rPr>
        <w:t>2+</w:t>
      </w:r>
      <w:r>
        <w:t>, Cl</w:t>
      </w:r>
      <w:r>
        <w:rPr>
          <w:vertAlign w:val="superscript"/>
        </w:rPr>
        <w:t>-</w:t>
      </w:r>
      <w:r>
        <w:t>, NO</w:t>
      </w:r>
      <w:r>
        <w:rPr>
          <w:vertAlign w:val="subscript"/>
        </w:rPr>
        <w:t>3</w:t>
      </w:r>
      <w:r>
        <w:rPr>
          <w:vertAlign w:val="superscript"/>
        </w:rPr>
        <w:t>2-</w:t>
      </w:r>
      <w:r>
        <w:t>)</w:t>
      </w:r>
    </w:p>
    <w:p w14:paraId="6E789D13" w14:textId="1CA93270" w:rsidR="00252E03" w:rsidRDefault="00252E03" w:rsidP="00252E03">
      <w:pPr>
        <w:pStyle w:val="ListParagraph"/>
        <w:numPr>
          <w:ilvl w:val="0"/>
          <w:numId w:val="2"/>
        </w:numPr>
      </w:pPr>
      <w:r>
        <w:t>Dissolved oxygen</w:t>
      </w:r>
    </w:p>
    <w:p w14:paraId="2B231F7B" w14:textId="5C75B8EB" w:rsidR="006F61BF" w:rsidRDefault="006F61BF" w:rsidP="006F61BF">
      <w:pPr>
        <w:pStyle w:val="ListParagraph"/>
        <w:numPr>
          <w:ilvl w:val="0"/>
          <w:numId w:val="2"/>
        </w:numPr>
      </w:pPr>
      <w:r>
        <w:t>Photosynthesis</w:t>
      </w:r>
      <w:r w:rsidR="00252E03">
        <w:t xml:space="preserve"> rate</w:t>
      </w:r>
    </w:p>
    <w:p w14:paraId="7D7B8E71" w14:textId="34CF660E" w:rsidR="006F61BF" w:rsidRDefault="006F61BF" w:rsidP="006F61BF">
      <w:pPr>
        <w:pStyle w:val="ListParagraph"/>
        <w:numPr>
          <w:ilvl w:val="0"/>
          <w:numId w:val="2"/>
        </w:numPr>
      </w:pPr>
      <w:r>
        <w:t>Respiration</w:t>
      </w:r>
      <w:r w:rsidR="00252E03">
        <w:t xml:space="preserve"> rate</w:t>
      </w:r>
    </w:p>
    <w:p w14:paraId="67F0164C" w14:textId="5B530F45" w:rsidR="006F61BF" w:rsidRDefault="006F61BF" w:rsidP="006F61BF"/>
    <w:p w14:paraId="70713B9A" w14:textId="796BE7DD" w:rsidR="006F61BF" w:rsidRPr="00F113A9" w:rsidRDefault="006F61BF" w:rsidP="006F61BF">
      <w:pPr>
        <w:rPr>
          <w:b/>
          <w:u w:val="single"/>
        </w:rPr>
      </w:pPr>
      <w:r w:rsidRPr="00F113A9">
        <w:rPr>
          <w:b/>
          <w:u w:val="single"/>
        </w:rPr>
        <w:t>Analysis Step One</w:t>
      </w:r>
      <w:r w:rsidR="00F113A9" w:rsidRPr="00F113A9">
        <w:rPr>
          <w:b/>
          <w:u w:val="single"/>
        </w:rPr>
        <w:t>: Cryoconite Hole Size and Diversity</w:t>
      </w:r>
      <w:r w:rsidRPr="00F113A9">
        <w:rPr>
          <w:b/>
          <w:u w:val="single"/>
        </w:rPr>
        <w:t xml:space="preserve"> (see Darcy et al., 2018)</w:t>
      </w:r>
    </w:p>
    <w:p w14:paraId="71775C0A" w14:textId="77777777" w:rsidR="00F113A9" w:rsidRDefault="00F113A9" w:rsidP="006F61BF"/>
    <w:p w14:paraId="28A8A7F4" w14:textId="31E195D5" w:rsidR="00F113A9" w:rsidRDefault="00F113A9" w:rsidP="006F61BF">
      <w:r>
        <w:t xml:space="preserve">What data does this use: Taxonomic richness/abundance and hole </w:t>
      </w:r>
      <w:proofErr w:type="gramStart"/>
      <w:r>
        <w:t>dimensions</w:t>
      </w:r>
      <w:r w:rsidR="003119AB">
        <w:t>.</w:t>
      </w:r>
      <w:proofErr w:type="gramEnd"/>
    </w:p>
    <w:p w14:paraId="17C9881E" w14:textId="50824D70" w:rsidR="00F113A9" w:rsidRDefault="00F113A9" w:rsidP="006F61BF">
      <w:r>
        <w:t xml:space="preserve">What does this analysis tell us: The strength of the relationship between taxonomic diversity and cryoconite hole </w:t>
      </w:r>
      <w:proofErr w:type="gramStart"/>
      <w:r>
        <w:t>size</w:t>
      </w:r>
      <w:r w:rsidR="003119AB">
        <w:t>.</w:t>
      </w:r>
      <w:proofErr w:type="gramEnd"/>
    </w:p>
    <w:p w14:paraId="24957050" w14:textId="4B13C53B" w:rsidR="00F113A9" w:rsidRDefault="00F113A9" w:rsidP="006F61BF">
      <w:r>
        <w:t>Why is this appropriate for the glacial environment/cryoconite holes: This method has been previously used to explore cryoconite holes</w:t>
      </w:r>
      <w:r w:rsidR="003119AB">
        <w:t>.</w:t>
      </w:r>
    </w:p>
    <w:p w14:paraId="5FEA8ABA" w14:textId="77777777" w:rsidR="00F113A9" w:rsidRDefault="00F113A9" w:rsidP="006F61BF"/>
    <w:p w14:paraId="1148E8D2" w14:textId="677591B7" w:rsidR="000970C1" w:rsidRDefault="000970C1" w:rsidP="006F61BF">
      <w:r>
        <w:t>Carry out the following: for bacteria, eukaryotes and archaea separately, for the total, active and dormant components of the communities, for the two sampling dates.</w:t>
      </w:r>
    </w:p>
    <w:p w14:paraId="1EEDD699" w14:textId="254E752A" w:rsidR="006F61BF" w:rsidRDefault="006F61BF" w:rsidP="006F61BF"/>
    <w:p w14:paraId="4DF18DF8" w14:textId="021F38B5" w:rsidR="006F61BF" w:rsidRDefault="006F61BF" w:rsidP="006F61BF">
      <w:pPr>
        <w:pStyle w:val="ListParagraph"/>
        <w:numPr>
          <w:ilvl w:val="0"/>
          <w:numId w:val="4"/>
        </w:numPr>
      </w:pPr>
      <w:r>
        <w:t xml:space="preserve">Calculate diversity of each hole with QIIME using Faith’s </w:t>
      </w:r>
      <w:r w:rsidR="000970C1">
        <w:t xml:space="preserve">(FD) </w:t>
      </w:r>
      <w:r>
        <w:t>phylogenetic diversity metric (uses sum of branch-lengths in a phylogenetic tree as a diversity index</w:t>
      </w:r>
      <w:r w:rsidR="000970C1">
        <w:t>, use</w:t>
      </w:r>
      <w:r>
        <w:t xml:space="preserve"> </w:t>
      </w:r>
      <w:proofErr w:type="spellStart"/>
      <w:r>
        <w:t>GreenGenes</w:t>
      </w:r>
      <w:proofErr w:type="spellEnd"/>
      <w:r>
        <w:t xml:space="preserve"> database for </w:t>
      </w:r>
      <w:r w:rsidR="000970C1">
        <w:t>phylogenetic tree</w:t>
      </w:r>
      <w:r>
        <w:t>)</w:t>
      </w:r>
      <w:r w:rsidR="000970C1">
        <w:t xml:space="preserve">. FD used as less sensitive to clustering artefacts than </w:t>
      </w:r>
      <w:r w:rsidR="006D589E">
        <w:t>OTU</w:t>
      </w:r>
      <w:r w:rsidR="000970C1">
        <w:t xml:space="preserve"> richness. </w:t>
      </w:r>
    </w:p>
    <w:p w14:paraId="58D2C647" w14:textId="0B12D2AA" w:rsidR="000970C1" w:rsidRDefault="000970C1" w:rsidP="000970C1">
      <w:pPr>
        <w:pStyle w:val="ListParagraph"/>
        <w:numPr>
          <w:ilvl w:val="0"/>
          <w:numId w:val="4"/>
        </w:numPr>
      </w:pPr>
      <w:r>
        <w:lastRenderedPageBreak/>
        <w:t>Fit linear model (power-law model in log-log space) to log</w:t>
      </w:r>
      <w:r>
        <w:rPr>
          <w:vertAlign w:val="subscript"/>
        </w:rPr>
        <w:t xml:space="preserve">10 </w:t>
      </w:r>
      <w:r>
        <w:t>FD and log</w:t>
      </w:r>
      <w:r>
        <w:rPr>
          <w:vertAlign w:val="subscript"/>
        </w:rPr>
        <w:t>10</w:t>
      </w:r>
      <w:r>
        <w:t xml:space="preserve"> cryoconite area (</w:t>
      </w:r>
      <m:oMath>
        <m:r>
          <w:rPr>
            <w:rFonts w:ascii="Cambria Math" w:hAnsi="Cambria Math"/>
          </w:rPr>
          <m:t>A=π*(</m:t>
        </m:r>
        <m:f>
          <m:fPr>
            <m:ctrlPr>
              <w:rPr>
                <w:rFonts w:ascii="Cambria Math" w:hAnsi="Cambria Math"/>
              </w:rPr>
            </m:ctrlPr>
          </m:fPr>
          <m:num>
            <m:r>
              <m:rPr>
                <m:sty m:val="p"/>
              </m:rPr>
              <w:rPr>
                <w:rFonts w:ascii="Cambria Math" w:hAnsi="Cambria Math"/>
              </w:rPr>
              <m:t>d1</m:t>
            </m:r>
            <m:ctrlPr>
              <w:rPr>
                <w:rFonts w:ascii="Cambria Math" w:hAnsi="Cambria Math"/>
                <w:i/>
              </w:rPr>
            </m:ctrlPr>
          </m:num>
          <m:den>
            <m:r>
              <m:rPr>
                <m:sty m:val="p"/>
              </m:rPr>
              <w:rPr>
                <w:rFonts w:ascii="Cambria Math" w:hAnsi="Cambria Math"/>
              </w:rPr>
              <m:t>2</m:t>
            </m:r>
          </m:den>
        </m:f>
        <m:r>
          <m:rPr>
            <m:sty m:val="p"/>
          </m:rPr>
          <w:rPr>
            <w:rFonts w:ascii="Cambria Math" w:hAnsi="Cambria Math"/>
          </w:rPr>
          <m:t>)*(</m:t>
        </m:r>
        <m:f>
          <m:fPr>
            <m:ctrlPr>
              <w:rPr>
                <w:rFonts w:ascii="Cambria Math" w:hAnsi="Cambria Math"/>
              </w:rPr>
            </m:ctrlPr>
          </m:fPr>
          <m:num>
            <m:r>
              <m:rPr>
                <m:sty m:val="p"/>
              </m:rPr>
              <w:rPr>
                <w:rFonts w:ascii="Cambria Math" w:hAnsi="Cambria Math"/>
              </w:rPr>
              <m:t>d2</m:t>
            </m:r>
          </m:num>
          <m:den>
            <m:r>
              <m:rPr>
                <m:sty m:val="p"/>
              </m:rPr>
              <w:rPr>
                <w:rFonts w:ascii="Cambria Math" w:hAnsi="Cambria Math"/>
              </w:rPr>
              <m:t>2</m:t>
            </m:r>
          </m:den>
        </m:f>
        <m:r>
          <m:rPr>
            <m:sty m:val="p"/>
          </m:rPr>
          <w:rPr>
            <w:rFonts w:ascii="Cambria Math" w:hAnsi="Cambria Math"/>
          </w:rPr>
          <m:t>)</m:t>
        </m:r>
      </m:oMath>
      <w:r>
        <w:rPr>
          <w:rFonts w:eastAsiaTheme="minorEastAsia"/>
        </w:rPr>
        <w:t xml:space="preserve">) </w:t>
      </w:r>
      <w:r>
        <w:t>and volume. Repeat with OTU richness</w:t>
      </w:r>
      <w:r w:rsidR="00F113A9">
        <w:t>.</w:t>
      </w:r>
    </w:p>
    <w:p w14:paraId="6C286DF1" w14:textId="4E0808B1" w:rsidR="00F113A9" w:rsidRDefault="00F113A9" w:rsidP="00F113A9"/>
    <w:p w14:paraId="2542484B" w14:textId="165EE4CB" w:rsidR="00F113A9" w:rsidRPr="00F113A9" w:rsidRDefault="00F113A9" w:rsidP="00F113A9">
      <w:pPr>
        <w:rPr>
          <w:b/>
          <w:u w:val="single"/>
        </w:rPr>
      </w:pPr>
      <w:r w:rsidRPr="00F113A9">
        <w:rPr>
          <w:b/>
          <w:u w:val="single"/>
        </w:rPr>
        <w:t>Analysis Step Two: Cryoconite Hole Location and Community Similarity (see Darcy et al., 2018)</w:t>
      </w:r>
    </w:p>
    <w:p w14:paraId="517BF685" w14:textId="1BAD1DB1" w:rsidR="00F113A9" w:rsidRDefault="00F113A9" w:rsidP="00F113A9"/>
    <w:p w14:paraId="5B58CCD1" w14:textId="1E541CEF" w:rsidR="00F113A9" w:rsidRDefault="00F113A9" w:rsidP="00F113A9">
      <w:r>
        <w:t>What data does this use:</w:t>
      </w:r>
      <w:r w:rsidR="003119AB">
        <w:t xml:space="preserve"> Taxonomic abundance and GPS coordinates (distances between </w:t>
      </w:r>
      <w:proofErr w:type="gramStart"/>
      <w:r w:rsidR="003119AB">
        <w:t>holes)</w:t>
      </w:r>
      <w:proofErr w:type="gramEnd"/>
    </w:p>
    <w:p w14:paraId="30AA41E2" w14:textId="66490CF3" w:rsidR="00F113A9" w:rsidRDefault="00F113A9" w:rsidP="00F113A9">
      <w:r>
        <w:t>What does this analysis tell us:</w:t>
      </w:r>
      <w:r w:rsidR="003119AB">
        <w:t xml:space="preserve"> How dissimilar geographically distant communities are from one </w:t>
      </w:r>
      <w:proofErr w:type="gramStart"/>
      <w:r w:rsidR="006D589E">
        <w:t>another.</w:t>
      </w:r>
      <w:proofErr w:type="gramEnd"/>
      <w:r w:rsidR="003119AB">
        <w:t xml:space="preserve"> If the communities do exhibit spatial structuring this may be due to dispersal limitation or biogeochemical gradients over space. If biogeochemical gradients are not significantly different between cryoconite holes we might conclude this is evidence of dispersal limitation. </w:t>
      </w:r>
    </w:p>
    <w:p w14:paraId="39E41BEF" w14:textId="363DE58B" w:rsidR="00F113A9" w:rsidRDefault="00F113A9" w:rsidP="00F113A9">
      <w:r>
        <w:t xml:space="preserve">Why is it appropriate for the glacial environment/cryoconite holes: </w:t>
      </w:r>
      <w:r w:rsidR="003119AB">
        <w:t>This method has been previously used to explore cryoconite holes</w:t>
      </w:r>
    </w:p>
    <w:p w14:paraId="357E5672" w14:textId="4AC72F5A" w:rsidR="00F113A9" w:rsidRDefault="00F113A9" w:rsidP="00F113A9"/>
    <w:p w14:paraId="30D2A6D9" w14:textId="77777777" w:rsidR="00F113A9" w:rsidRDefault="00F113A9" w:rsidP="00F113A9">
      <w:r>
        <w:t>Carry out the following: for bacteria, eukaryotes and archaea separately, for the total, active and dormant components of the communities, for the two sampling dates.</w:t>
      </w:r>
    </w:p>
    <w:p w14:paraId="567064AA" w14:textId="77777777" w:rsidR="00F113A9" w:rsidRDefault="00F113A9" w:rsidP="00F113A9"/>
    <w:p w14:paraId="3DB06DFE" w14:textId="029F4A0A" w:rsidR="00F113A9" w:rsidRDefault="00C855EC" w:rsidP="00C855EC">
      <w:pPr>
        <w:pStyle w:val="ListParagraph"/>
        <w:numPr>
          <w:ilvl w:val="0"/>
          <w:numId w:val="5"/>
        </w:numPr>
      </w:pPr>
      <w:r>
        <w:t xml:space="preserve">Use unweighted </w:t>
      </w:r>
      <w:proofErr w:type="spellStart"/>
      <w:r>
        <w:t>UniFrac</w:t>
      </w:r>
      <w:proofErr w:type="spellEnd"/>
      <w:r>
        <w:t xml:space="preserve"> distance calculated in QIIME to calculate the compositional dissimilarities for pair-wise comparison between samples. </w:t>
      </w:r>
      <w:proofErr w:type="spellStart"/>
      <w:r>
        <w:t>UniFrac</w:t>
      </w:r>
      <w:proofErr w:type="spellEnd"/>
      <w:r>
        <w:t xml:space="preserve"> distance is the fraction of branch lengths in a phylogenetic tree containing all the OTUs from two communities that are not shared by the communities (uses </w:t>
      </w:r>
      <w:proofErr w:type="spellStart"/>
      <w:r>
        <w:t>GreenGenes</w:t>
      </w:r>
      <w:proofErr w:type="spellEnd"/>
      <w:r>
        <w:t xml:space="preserve"> tree). </w:t>
      </w:r>
    </w:p>
    <w:p w14:paraId="33E821C6" w14:textId="7EFE8C8A" w:rsidR="00C855EC" w:rsidRDefault="00C855EC" w:rsidP="00C855EC">
      <w:pPr>
        <w:pStyle w:val="ListParagraph"/>
        <w:numPr>
          <w:ilvl w:val="0"/>
          <w:numId w:val="5"/>
        </w:numPr>
      </w:pPr>
      <w:r>
        <w:t xml:space="preserve">Use </w:t>
      </w:r>
      <w:proofErr w:type="spellStart"/>
      <w:r>
        <w:t>Matel</w:t>
      </w:r>
      <w:proofErr w:type="spellEnd"/>
      <w:r>
        <w:t xml:space="preserve"> test to look for statistical significance of dissimilarity matrix.</w:t>
      </w:r>
    </w:p>
    <w:p w14:paraId="06628DEF" w14:textId="3D60D88A" w:rsidR="00D94A81" w:rsidRDefault="00D94A81" w:rsidP="00C855EC">
      <w:pPr>
        <w:pStyle w:val="ListParagraph"/>
        <w:numPr>
          <w:ilvl w:val="0"/>
          <w:numId w:val="5"/>
        </w:numPr>
      </w:pPr>
      <w:r>
        <w:t>Fit a logistic model to the data (</w:t>
      </w:r>
      <w:r w:rsidRPr="00D94A81">
        <w:t xml:space="preserve">where a is the upper asymptote, b is the lower asymptote, r is the exponential rate of change, and </w:t>
      </w:r>
      <w:proofErr w:type="spellStart"/>
      <w:r w:rsidRPr="00D94A81">
        <w:t>i</w:t>
      </w:r>
      <w:proofErr w:type="spellEnd"/>
      <w:r w:rsidRPr="00D94A81">
        <w:t xml:space="preserve"> is the x-coordinate of the curve's inflection point. </w:t>
      </w:r>
      <w:r>
        <w:t>F</w:t>
      </w:r>
      <w:r w:rsidRPr="00D94A81">
        <w:t xml:space="preserve">it </w:t>
      </w:r>
      <w:r>
        <w:t xml:space="preserve">model </w:t>
      </w:r>
      <w:r w:rsidRPr="00D94A81">
        <w:t xml:space="preserve">to the data using log-transformed geographic distances using downhill simplex optimization as implemented in R's </w:t>
      </w:r>
      <w:proofErr w:type="spellStart"/>
      <w:r w:rsidRPr="00D94A81">
        <w:t>optim</w:t>
      </w:r>
      <w:proofErr w:type="spellEnd"/>
      <w:r w:rsidRPr="00D94A81">
        <w:t xml:space="preserve"> function</w:t>
      </w:r>
      <w:r>
        <w:t xml:space="preserve">. </w:t>
      </w:r>
    </w:p>
    <w:p w14:paraId="475FF721" w14:textId="2EB1E6B3" w:rsidR="00B7051C" w:rsidRDefault="003119AB" w:rsidP="00B7051C">
      <m:oMathPara>
        <m:oMath>
          <m:r>
            <w:rPr>
              <w:rFonts w:ascii="Cambria Math" w:hAnsi="Cambria Math"/>
            </w:rPr>
            <m:t xml:space="preserve">y= </m:t>
          </m:r>
          <m:f>
            <m:fPr>
              <m:ctrlPr>
                <w:rPr>
                  <w:rFonts w:ascii="Cambria Math" w:hAnsi="Cambria Math"/>
                  <w:i/>
                </w:rPr>
              </m:ctrlPr>
            </m:fPr>
            <m:num>
              <m:r>
                <w:rPr>
                  <w:rFonts w:ascii="Cambria Math" w:hAnsi="Cambria Math"/>
                </w:rPr>
                <m:t>a-b</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-r*(x-i)</m:t>
                  </m:r>
                </m:sup>
              </m:sSup>
            </m:den>
          </m:f>
          <m:r>
            <w:rPr>
              <w:rFonts w:ascii="Cambria Math" w:hAnsi="Cambria Math"/>
            </w:rPr>
            <m:t>+b</m:t>
          </m:r>
        </m:oMath>
      </m:oMathPara>
    </w:p>
    <w:p w14:paraId="75ACC8FF" w14:textId="3CB48408" w:rsidR="00D94A81" w:rsidRDefault="003119AB" w:rsidP="003119AB">
      <w:pPr>
        <w:pStyle w:val="ListParagraph"/>
        <w:numPr>
          <w:ilvl w:val="0"/>
          <w:numId w:val="5"/>
        </w:numPr>
      </w:pPr>
      <w:r>
        <w:t>Fit linear model also.</w:t>
      </w:r>
    </w:p>
    <w:p w14:paraId="0B56C339" w14:textId="7F9BE52D" w:rsidR="00F113A9" w:rsidRDefault="00F113A9" w:rsidP="00F113A9"/>
    <w:p w14:paraId="1AB3EDD4" w14:textId="4944F4F8" w:rsidR="003119AB" w:rsidRPr="006D589E" w:rsidRDefault="003119AB" w:rsidP="00F113A9">
      <w:pPr>
        <w:rPr>
          <w:b/>
          <w:u w:val="single"/>
        </w:rPr>
      </w:pPr>
      <w:r w:rsidRPr="006D589E">
        <w:rPr>
          <w:b/>
          <w:u w:val="single"/>
        </w:rPr>
        <w:t xml:space="preserve">Analysis Step Three: </w:t>
      </w:r>
      <w:r w:rsidR="00BC1AF9" w:rsidRPr="006D589E">
        <w:rPr>
          <w:b/>
          <w:u w:val="single"/>
        </w:rPr>
        <w:t>Stochastic and deterministic community assembly</w:t>
      </w:r>
      <w:r w:rsidR="00481081" w:rsidRPr="006D589E">
        <w:rPr>
          <w:b/>
          <w:u w:val="single"/>
        </w:rPr>
        <w:t xml:space="preserve"> (see Gu et al., 2020)</w:t>
      </w:r>
    </w:p>
    <w:p w14:paraId="08DE5622" w14:textId="4A7A65FA" w:rsidR="00BC1AF9" w:rsidRDefault="00BC1AF9" w:rsidP="00F113A9"/>
    <w:p w14:paraId="54A6F4C5" w14:textId="26F211D3" w:rsidR="00BC1AF9" w:rsidRDefault="00BC1AF9" w:rsidP="00F113A9">
      <w:r>
        <w:t xml:space="preserve">What data does this </w:t>
      </w:r>
      <w:r w:rsidR="00342B38">
        <w:t xml:space="preserve">use: </w:t>
      </w:r>
      <w:r w:rsidR="00CC1E18">
        <w:t xml:space="preserve">Taxonomic data and physical-chemical </w:t>
      </w:r>
      <w:proofErr w:type="gramStart"/>
      <w:r w:rsidR="00CC1E18">
        <w:t>measurements</w:t>
      </w:r>
      <w:proofErr w:type="gramEnd"/>
      <w:r w:rsidR="00CC1E18">
        <w:t xml:space="preserve"> </w:t>
      </w:r>
    </w:p>
    <w:p w14:paraId="001F8177" w14:textId="0A958449" w:rsidR="00BC1AF9" w:rsidRDefault="00BC1AF9" w:rsidP="00F113A9">
      <w:r>
        <w:t>What does this analysis tell us:</w:t>
      </w:r>
      <w:r w:rsidR="006D589E">
        <w:t xml:space="preserve"> </w:t>
      </w:r>
      <w:r w:rsidR="00FF6D51">
        <w:t xml:space="preserve">The degree to which taxonomic group variation is explained by environmental </w:t>
      </w:r>
      <w:proofErr w:type="gramStart"/>
      <w:r w:rsidR="00FF6D51">
        <w:t>variables.</w:t>
      </w:r>
      <w:proofErr w:type="gramEnd"/>
      <w:r w:rsidR="00FF6D51">
        <w:t xml:space="preserve"> </w:t>
      </w:r>
      <w:r w:rsidR="00B177F8">
        <w:t xml:space="preserve">If the communities change significantly between the two sampling dates. </w:t>
      </w:r>
      <w:r w:rsidR="006D589E">
        <w:t xml:space="preserve">The degree to which the cryoconites on the glacier (as a whole) are subject to stochastic and deterministic community assembly processes, and how this varies temporally.  </w:t>
      </w:r>
    </w:p>
    <w:p w14:paraId="50274D89" w14:textId="71BAD2A6" w:rsidR="00BC1AF9" w:rsidRDefault="00BC1AF9" w:rsidP="00F113A9">
      <w:r>
        <w:t>Why is it appropriate for the glacial environment/cryoconite holes:</w:t>
      </w:r>
      <w:r w:rsidR="00CC1E18">
        <w:t xml:space="preserve"> Because this method has been used previously to look at the community assembly processes of hydrologically linked glacial stream and lake communities.</w:t>
      </w:r>
    </w:p>
    <w:p w14:paraId="3865CEC6" w14:textId="34BA418B" w:rsidR="00481081" w:rsidRDefault="00481081" w:rsidP="00F113A9"/>
    <w:p w14:paraId="6A9F0A61" w14:textId="77777777" w:rsidR="00481081" w:rsidRDefault="00481081" w:rsidP="00481081">
      <w:r>
        <w:t>Carry out the following: for bacteria, eukaryotes and archaea separately, for the total, active and dormant components of the communities, for the two sampling dates.</w:t>
      </w:r>
    </w:p>
    <w:p w14:paraId="5DC03A10" w14:textId="725E1D20" w:rsidR="00BC1AF9" w:rsidRDefault="00BC1AF9" w:rsidP="00F113A9"/>
    <w:p w14:paraId="1F90586D" w14:textId="50B20964" w:rsidR="00481081" w:rsidRDefault="00481081" w:rsidP="00481081">
      <w:pPr>
        <w:pStyle w:val="ListParagraph"/>
        <w:numPr>
          <w:ilvl w:val="0"/>
          <w:numId w:val="7"/>
        </w:numPr>
      </w:pPr>
      <w:r>
        <w:t xml:space="preserve">Conduct a principal component analysis </w:t>
      </w:r>
    </w:p>
    <w:p w14:paraId="591F2368" w14:textId="6149186E" w:rsidR="00481081" w:rsidRDefault="00481081" w:rsidP="00481081">
      <w:pPr>
        <w:pStyle w:val="ListParagraph"/>
        <w:numPr>
          <w:ilvl w:val="0"/>
          <w:numId w:val="7"/>
        </w:numPr>
      </w:pPr>
      <w:r>
        <w:t>Carry out a Variance Inflation Factor test to make sure there is no collinearity between environmental variables.</w:t>
      </w:r>
    </w:p>
    <w:p w14:paraId="4C3B1571" w14:textId="731D8675" w:rsidR="00481081" w:rsidRDefault="00481081" w:rsidP="00481081">
      <w:pPr>
        <w:pStyle w:val="ListParagraph"/>
        <w:numPr>
          <w:ilvl w:val="0"/>
          <w:numId w:val="7"/>
        </w:numPr>
      </w:pPr>
      <w:r>
        <w:t>Carry out a Durbin-Watson test to check for autocorrelation between diversity and the environmental variables.</w:t>
      </w:r>
    </w:p>
    <w:p w14:paraId="4EBC26F9" w14:textId="7D157F9D" w:rsidR="00481081" w:rsidRDefault="00481081" w:rsidP="00481081">
      <w:pPr>
        <w:pStyle w:val="ListParagraph"/>
        <w:numPr>
          <w:ilvl w:val="0"/>
          <w:numId w:val="7"/>
        </w:numPr>
      </w:pPr>
      <w:r>
        <w:t xml:space="preserve">Use a linear-mixed effects model to examine correlations between taxa, diversity (Shannon index) and environmental variables. Fit month (April vs August) as a random effect in every model to exclude temporal autocorrelation of the environmental factors. Use maximum likelihood to assess the significance of the fixed effects. </w:t>
      </w:r>
      <w:r w:rsidR="00FF6D51">
        <w:t>This will show how the relative variability of each taxonomic group</w:t>
      </w:r>
      <w:r w:rsidR="00B177F8">
        <w:t>/diversity indexes across sampling months,</w:t>
      </w:r>
      <w:r w:rsidR="00FF6D51">
        <w:t xml:space="preserve"> can be explained by environmental variables.</w:t>
      </w:r>
    </w:p>
    <w:p w14:paraId="2F56EAA5" w14:textId="2EAC1D54" w:rsidR="00481081" w:rsidRDefault="00481081" w:rsidP="00481081">
      <w:pPr>
        <w:pStyle w:val="ListParagraph"/>
        <w:numPr>
          <w:ilvl w:val="0"/>
          <w:numId w:val="7"/>
        </w:numPr>
      </w:pPr>
      <w:r>
        <w:t xml:space="preserve">Use one-way analysis of variance </w:t>
      </w:r>
      <w:r w:rsidR="00CC1E18">
        <w:t>(ANOVA) and analysis of similarities (ANOSIM) to calculate the alpha diversity differences and community dissimilarity.</w:t>
      </w:r>
      <w:r w:rsidR="00B177F8">
        <w:t xml:space="preserve"> Do the communities change significantly between the two sampling times?</w:t>
      </w:r>
    </w:p>
    <w:p w14:paraId="57C09256" w14:textId="2424141E" w:rsidR="00CC1E18" w:rsidRDefault="00CC1E18" w:rsidP="00481081">
      <w:pPr>
        <w:pStyle w:val="ListParagraph"/>
        <w:numPr>
          <w:ilvl w:val="0"/>
          <w:numId w:val="7"/>
        </w:numPr>
      </w:pPr>
      <w:r>
        <w:t>Use similarity percentage (SIMPER) test to determine the taxa that contribute the most to the average Bray-Curtis dissimilarity between sample groups.</w:t>
      </w:r>
    </w:p>
    <w:p w14:paraId="17247A46" w14:textId="6044B950" w:rsidR="00CC1E18" w:rsidRDefault="00CC1E18" w:rsidP="00481081">
      <w:pPr>
        <w:pStyle w:val="ListParagraph"/>
        <w:numPr>
          <w:ilvl w:val="0"/>
          <w:numId w:val="7"/>
        </w:numPr>
      </w:pPr>
      <w:r>
        <w:t xml:space="preserve">Use non-metric multidimensional scaling (NMDS) to look at the temporal pattern if microbial community structure. </w:t>
      </w:r>
    </w:p>
    <w:p w14:paraId="47861F9C" w14:textId="5DE779C4" w:rsidR="00CC1E18" w:rsidRDefault="00CC1E18" w:rsidP="00481081">
      <w:pPr>
        <w:pStyle w:val="ListParagraph"/>
        <w:numPr>
          <w:ilvl w:val="0"/>
          <w:numId w:val="7"/>
        </w:numPr>
      </w:pPr>
      <w:r>
        <w:t>Calculate the distance decay of communities to determine the relationship between the pairwise community dissimilarity (Bray-Curtis) and temporal and environmental distances (Euclidean distances), with separate Mantel tests.</w:t>
      </w:r>
    </w:p>
    <w:p w14:paraId="1437298D" w14:textId="7BC391D0" w:rsidR="006D589E" w:rsidRDefault="006D589E" w:rsidP="00481081">
      <w:pPr>
        <w:pStyle w:val="ListParagraph"/>
        <w:numPr>
          <w:ilvl w:val="0"/>
          <w:numId w:val="7"/>
        </w:numPr>
      </w:pPr>
      <w:r>
        <w:t>Use variation partitioning analysis (VPA) to find the most important factor (temporal or environmental components) for beta diversity.</w:t>
      </w:r>
    </w:p>
    <w:p w14:paraId="22AC13A5" w14:textId="418BF049" w:rsidR="006D589E" w:rsidRDefault="006D589E" w:rsidP="00481081">
      <w:pPr>
        <w:pStyle w:val="ListParagraph"/>
        <w:numPr>
          <w:ilvl w:val="0"/>
          <w:numId w:val="7"/>
        </w:numPr>
      </w:pPr>
      <w:r>
        <w:t>Apply a distance-based multivariate linear model (</w:t>
      </w:r>
      <w:proofErr w:type="spellStart"/>
      <w:r>
        <w:t>DistLM</w:t>
      </w:r>
      <w:proofErr w:type="spellEnd"/>
      <w:r>
        <w:t>) based on the community Bray-Curtis dissimilarities to determine the environmental variables which significantly explain the observed dissimilarity among samples.</w:t>
      </w:r>
    </w:p>
    <w:p w14:paraId="308E048D" w14:textId="60EFBD2E" w:rsidR="006D589E" w:rsidRDefault="006D589E" w:rsidP="00481081">
      <w:pPr>
        <w:pStyle w:val="ListParagraph"/>
        <w:numPr>
          <w:ilvl w:val="0"/>
          <w:numId w:val="7"/>
        </w:numPr>
      </w:pPr>
      <w:r>
        <w:t>Calculate the between-community nearest taxon index (</w:t>
      </w:r>
      <m:oMath>
        <m:r>
          <w:rPr>
            <w:rFonts w:ascii="Cambria Math" w:hAnsi="Cambria Math"/>
          </w:rPr>
          <m:t>β</m:t>
        </m:r>
      </m:oMath>
      <w:r>
        <w:rPr>
          <w:rFonts w:eastAsiaTheme="minorEastAsia"/>
        </w:rPr>
        <w:t xml:space="preserve">NTI) and Raup-Crick bray (RC bray) for the cryoconite holes for each sampling month. This will show if turnover between </w:t>
      </w:r>
      <w:r w:rsidR="00FF6D51">
        <w:rPr>
          <w:rFonts w:eastAsiaTheme="minorEastAsia"/>
        </w:rPr>
        <w:t>each</w:t>
      </w:r>
      <w:r>
        <w:rPr>
          <w:rFonts w:eastAsiaTheme="minorEastAsia"/>
        </w:rPr>
        <w:t xml:space="preserve"> pair of communities is driven primarily by selection (variable and homogenous) or stochastic processes (dispersal limitation</w:t>
      </w:r>
      <w:r w:rsidR="00FF6D51">
        <w:rPr>
          <w:rFonts w:eastAsiaTheme="minorEastAsia"/>
        </w:rPr>
        <w:t>/homogenizing dispersal/ecological drift).</w:t>
      </w:r>
    </w:p>
    <w:p w14:paraId="3EC5E5A5" w14:textId="4907B2A6" w:rsidR="003119AB" w:rsidRDefault="003119AB" w:rsidP="00F113A9"/>
    <w:p w14:paraId="475D5DA0" w14:textId="6637B3BC" w:rsidR="003119AB" w:rsidRDefault="003119AB" w:rsidP="00F113A9">
      <w:r>
        <w:t xml:space="preserve">Analysis Step Four: </w:t>
      </w:r>
      <w:r w:rsidR="00BC1AF9">
        <w:t>Chisholm Model</w:t>
      </w:r>
    </w:p>
    <w:sectPr w:rsidR="003119AB" w:rsidSect="00DC528E">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0865E5"/>
    <w:multiLevelType w:val="hybridMultilevel"/>
    <w:tmpl w:val="95D0B6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FB5E56"/>
    <w:multiLevelType w:val="hybridMultilevel"/>
    <w:tmpl w:val="C400CC9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737658"/>
    <w:multiLevelType w:val="hybridMultilevel"/>
    <w:tmpl w:val="B53C4B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5D09D1"/>
    <w:multiLevelType w:val="hybridMultilevel"/>
    <w:tmpl w:val="FF38905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4D2F59"/>
    <w:multiLevelType w:val="hybridMultilevel"/>
    <w:tmpl w:val="FF38905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1863E0E"/>
    <w:multiLevelType w:val="hybridMultilevel"/>
    <w:tmpl w:val="AEE2802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CB77598"/>
    <w:multiLevelType w:val="hybridMultilevel"/>
    <w:tmpl w:val="2474CF4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 w:numId="4">
    <w:abstractNumId w:val="6"/>
  </w:num>
  <w:num w:numId="5">
    <w:abstractNumId w:val="4"/>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1BF"/>
    <w:rsid w:val="000970C1"/>
    <w:rsid w:val="00252E03"/>
    <w:rsid w:val="003119AB"/>
    <w:rsid w:val="00342B38"/>
    <w:rsid w:val="00404BC0"/>
    <w:rsid w:val="00481081"/>
    <w:rsid w:val="00511661"/>
    <w:rsid w:val="005155B5"/>
    <w:rsid w:val="005F4697"/>
    <w:rsid w:val="006D589E"/>
    <w:rsid w:val="006F61BF"/>
    <w:rsid w:val="007574D4"/>
    <w:rsid w:val="008F6434"/>
    <w:rsid w:val="00B177F8"/>
    <w:rsid w:val="00B7051C"/>
    <w:rsid w:val="00BC1AF9"/>
    <w:rsid w:val="00C8125B"/>
    <w:rsid w:val="00C855EC"/>
    <w:rsid w:val="00CC1E18"/>
    <w:rsid w:val="00D7426A"/>
    <w:rsid w:val="00D94A81"/>
    <w:rsid w:val="00DB482F"/>
    <w:rsid w:val="00DC528E"/>
    <w:rsid w:val="00F113A9"/>
    <w:rsid w:val="00FF6D5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43755A4"/>
  <w14:defaultImageDpi w14:val="32767"/>
  <w15:chartTrackingRefBased/>
  <w15:docId w15:val="{55339088-4E92-AA4D-A771-996474D7F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61BF"/>
    <w:pPr>
      <w:ind w:left="720"/>
      <w:contextualSpacing/>
    </w:pPr>
  </w:style>
  <w:style w:type="character" w:styleId="PlaceholderText">
    <w:name w:val="Placeholder Text"/>
    <w:basedOn w:val="DefaultParagraphFont"/>
    <w:uiPriority w:val="99"/>
    <w:semiHidden/>
    <w:rsid w:val="00B7051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46581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185</TotalTime>
  <Pages>3</Pages>
  <Words>1058</Words>
  <Characters>6034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Bo Tinky Solman</dc:creator>
  <cp:keywords/>
  <dc:description/>
  <cp:lastModifiedBy>Amy Bo Tinky Solman</cp:lastModifiedBy>
  <cp:revision>3</cp:revision>
  <dcterms:created xsi:type="dcterms:W3CDTF">2020-12-02T11:58:00Z</dcterms:created>
  <dcterms:modified xsi:type="dcterms:W3CDTF">2020-12-04T16:41:00Z</dcterms:modified>
</cp:coreProperties>
</file>