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05EAFC" w14:textId="7FF10876" w:rsidR="005D32D0" w:rsidRDefault="007B40E1">
      <w:r>
        <w:t>Statement of Intent</w:t>
      </w:r>
    </w:p>
    <w:p w14:paraId="5CDE8922" w14:textId="603FB757" w:rsidR="00AB12EE" w:rsidRDefault="00AB12EE"/>
    <w:p w14:paraId="07696438" w14:textId="51C55594" w:rsidR="00AB12EE" w:rsidRDefault="00AB12EE">
      <w:r>
        <w:t xml:space="preserve">Overarching theme: </w:t>
      </w:r>
      <w:r w:rsidRPr="00091595">
        <w:rPr>
          <w:b/>
        </w:rPr>
        <w:t>To understand the link between structure and function</w:t>
      </w:r>
      <w:r>
        <w:t>. Do we need to know who is there to predict what they will do?</w:t>
      </w:r>
    </w:p>
    <w:p w14:paraId="5F0C0F64" w14:textId="6CB763D7" w:rsidR="007B40E1" w:rsidRDefault="007B40E1"/>
    <w:p w14:paraId="527E1A41" w14:textId="26B3D3CA" w:rsidR="007B40E1" w:rsidRDefault="007B40E1">
      <w:r>
        <w:t>What am I doing?</w:t>
      </w:r>
    </w:p>
    <w:p w14:paraId="5BD0B630" w14:textId="4E7EF3AA" w:rsidR="007B40E1" w:rsidRDefault="007B40E1">
      <w:r>
        <w:t>Why am I doing it?</w:t>
      </w:r>
    </w:p>
    <w:p w14:paraId="7756B232" w14:textId="307D85E5" w:rsidR="007B40E1" w:rsidRDefault="007B40E1">
      <w:r>
        <w:t>How will I do it?</w:t>
      </w:r>
    </w:p>
    <w:p w14:paraId="5A8667A6" w14:textId="0B9E3A40" w:rsidR="007B40E1" w:rsidRDefault="007B40E1">
      <w:r>
        <w:t>What will this achieve?</w:t>
      </w:r>
    </w:p>
    <w:p w14:paraId="502D5229" w14:textId="5DD1B104" w:rsidR="007B40E1" w:rsidRDefault="007B40E1"/>
    <w:p w14:paraId="5080C0E4" w14:textId="6265461F" w:rsidR="007B40E1" w:rsidRDefault="007B40E1">
      <w:r>
        <w:t>WHAT AM I DOING?</w:t>
      </w:r>
    </w:p>
    <w:p w14:paraId="1FD145B2" w14:textId="77777777" w:rsidR="00BA7EF7" w:rsidRDefault="00BA7EF7" w:rsidP="007B40E1">
      <w:r>
        <w:t xml:space="preserve">1) </w:t>
      </w:r>
      <w:r w:rsidR="007B40E1">
        <w:t xml:space="preserve">I am identifying the active and dormant prokaryote, eukaryote and archaeal communities of </w:t>
      </w:r>
      <w:proofErr w:type="spellStart"/>
      <w:r w:rsidR="007B40E1">
        <w:t>Foxfonna</w:t>
      </w:r>
      <w:proofErr w:type="spellEnd"/>
      <w:r w:rsidR="007B40E1">
        <w:t xml:space="preserve"> cryoconite holes. </w:t>
      </w:r>
    </w:p>
    <w:p w14:paraId="6EE9BE9E" w14:textId="77777777" w:rsidR="00BA7EF7" w:rsidRDefault="00BA7EF7" w:rsidP="007B40E1">
      <w:r>
        <w:t>2)</w:t>
      </w:r>
      <w:r w:rsidR="007B40E1">
        <w:t>I am measuring rates of photosynthesis, respiration, temperature, pH, conductivity, DOC/DIC, nitrogen, phosphorus, inorganic nutrients (PO4, NH4, NO3, NO2, SiO2), major ions (Na+, Mg2+, SO42-, K+, Ca2+, Cl-, NO32-), dissolved oxygen and taking GPS coordinates of each hole</w:t>
      </w:r>
      <w:r w:rsidR="007B40E1">
        <w:t xml:space="preserve">. </w:t>
      </w:r>
    </w:p>
    <w:p w14:paraId="0836BEBD" w14:textId="77777777" w:rsidR="00BA7EF7" w:rsidRDefault="00BA7EF7" w:rsidP="007B40E1">
      <w:r>
        <w:t xml:space="preserve">3) </w:t>
      </w:r>
      <w:r w:rsidR="007B40E1">
        <w:t xml:space="preserve">I am repeating this once at the end of winter and once at the end of summer. </w:t>
      </w:r>
    </w:p>
    <w:p w14:paraId="64B44D42" w14:textId="77777777" w:rsidR="00BA7EF7" w:rsidRDefault="00BA7EF7" w:rsidP="007B40E1">
      <w:r>
        <w:t xml:space="preserve">4) </w:t>
      </w:r>
      <w:r w:rsidR="007B40E1">
        <w:t xml:space="preserve">Using data from </w:t>
      </w:r>
      <w:proofErr w:type="spellStart"/>
      <w:r w:rsidR="007B40E1">
        <w:t>Foxfonna</w:t>
      </w:r>
      <w:proofErr w:type="spellEnd"/>
      <w:r w:rsidR="007B40E1">
        <w:t xml:space="preserve"> I am identifying the strength of species-area and distance-decay relationships for active, dormant and total communities and how they change from the end of winter to the end of summer. </w:t>
      </w:r>
    </w:p>
    <w:p w14:paraId="55009B54" w14:textId="77777777" w:rsidR="00BA7EF7" w:rsidRDefault="00BA7EF7" w:rsidP="007B40E1">
      <w:r>
        <w:t xml:space="preserve">5) </w:t>
      </w:r>
      <w:r w:rsidR="007B40E1">
        <w:t xml:space="preserve">Using data from </w:t>
      </w:r>
      <w:proofErr w:type="spellStart"/>
      <w:r w:rsidR="007B40E1">
        <w:t>Foxfonna</w:t>
      </w:r>
      <w:proofErr w:type="spellEnd"/>
      <w:r w:rsidR="007B40E1">
        <w:t xml:space="preserve"> and other cryoconite studies I am identifying the neutral and non-neutral assembly processes of these cryoconite communities.</w:t>
      </w:r>
      <w:r>
        <w:t xml:space="preserve"> </w:t>
      </w:r>
    </w:p>
    <w:p w14:paraId="451B5842" w14:textId="77777777" w:rsidR="00BA7EF7" w:rsidRDefault="00BA7EF7" w:rsidP="007B40E1">
      <w:r>
        <w:t xml:space="preserve">6) Using data from </w:t>
      </w:r>
      <w:proofErr w:type="spellStart"/>
      <w:r>
        <w:t>Foxfonna</w:t>
      </w:r>
      <w:proofErr w:type="spellEnd"/>
      <w:r>
        <w:t xml:space="preserve"> and other cryoconite studies I am creating a conceptual, then spatially explicit mathematical model of cryoconite biogeochemistry to relate size of hole to community structure to photosynthesis and respiration rate, as well as nutrient production.</w:t>
      </w:r>
    </w:p>
    <w:p w14:paraId="6C32EB17" w14:textId="77777777" w:rsidR="00BA7EF7" w:rsidRDefault="00BA7EF7" w:rsidP="007B40E1">
      <w:r>
        <w:t xml:space="preserve">7) I will use the biogeochemical model with laboratory investigations to understand how the ratio of </w:t>
      </w:r>
      <w:proofErr w:type="spellStart"/>
      <w:r>
        <w:t>active:dormant</w:t>
      </w:r>
      <w:proofErr w:type="spellEnd"/>
      <w:r>
        <w:t xml:space="preserve"> communities may change as a result of global warming and thus change the </w:t>
      </w:r>
      <w:r>
        <w:t>photosynthesis and respiration rate, as well as nutrient production</w:t>
      </w:r>
      <w:r>
        <w:t>.</w:t>
      </w:r>
    </w:p>
    <w:p w14:paraId="498BEF36" w14:textId="1D5D37A2" w:rsidR="007B40E1" w:rsidRDefault="00BA7EF7" w:rsidP="007B40E1">
      <w:r>
        <w:t>8) I will use the QMUL UAV to q</w:t>
      </w:r>
      <w:r w:rsidRPr="00BA7EF7">
        <w:t>uantifying the distribution and respiration CO2 flux of cryoconite across</w:t>
      </w:r>
      <w:r>
        <w:t xml:space="preserve"> the </w:t>
      </w:r>
      <w:proofErr w:type="spellStart"/>
      <w:r>
        <w:t>Foxfonna</w:t>
      </w:r>
      <w:proofErr w:type="spellEnd"/>
      <w:r>
        <w:t xml:space="preserve"> supraglacial landscape. </w:t>
      </w:r>
    </w:p>
    <w:p w14:paraId="5C8502C8" w14:textId="77777777" w:rsidR="00BA7EF7" w:rsidRDefault="00BA7EF7" w:rsidP="007B40E1"/>
    <w:p w14:paraId="6E2D5E86" w14:textId="75FC4859" w:rsidR="007B40E1" w:rsidRDefault="007B40E1" w:rsidP="007B40E1">
      <w:r>
        <w:t>WHY AM I DOING IT?</w:t>
      </w:r>
    </w:p>
    <w:p w14:paraId="7CA2841A" w14:textId="7B13C45B" w:rsidR="006B7E33" w:rsidRDefault="00B71594" w:rsidP="006B7E33">
      <w:pPr>
        <w:pStyle w:val="ListParagraph"/>
        <w:numPr>
          <w:ilvl w:val="0"/>
          <w:numId w:val="3"/>
        </w:numPr>
      </w:pPr>
      <w:r>
        <w:t>Identifying activity and dormancy:</w:t>
      </w:r>
      <w:proofErr w:type="spellStart"/>
      <w:r>
        <w:t xml:space="preserve"> </w:t>
      </w:r>
      <w:proofErr w:type="spellEnd"/>
    </w:p>
    <w:p w14:paraId="36E74CBC" w14:textId="77777777" w:rsidR="006B7E33" w:rsidRDefault="00B71594" w:rsidP="006B7E33">
      <w:pPr>
        <w:pStyle w:val="ListParagraph"/>
      </w:pPr>
      <w:r>
        <w:t>In terms of biogeography, to be ecologically relevant, biogeographic theory must consider organismal traits that affect species distributions. Dormancy is an important microbial fitness trait, allowing individuals to subsist in otherwise inhospitable environments.</w:t>
      </w:r>
      <w:r w:rsidR="00385E06">
        <w:t xml:space="preserve"> </w:t>
      </w:r>
    </w:p>
    <w:p w14:paraId="2D80EE3C" w14:textId="02729C6F" w:rsidR="006B7E33" w:rsidRDefault="00385E06" w:rsidP="006B7E33">
      <w:pPr>
        <w:pStyle w:val="ListParagraph"/>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6B7E33">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385E06">
        <w:rPr>
          <w:noProof/>
        </w:rPr>
        <w:t>(Lennon &amp; Jones, 2011)</w:t>
      </w:r>
      <w:r>
        <w:fldChar w:fldCharType="end"/>
      </w:r>
      <w:r w:rsidR="006B7E33">
        <w:t xml:space="preserve">. Bacteria carry out aerobic and anaerobic respiration, primary production through photosynthesis (C </w:t>
      </w:r>
      <w:proofErr w:type="spellStart"/>
      <w:r w:rsidR="006B7E33">
        <w:t>fluxes)</w:t>
      </w:r>
      <w:proofErr w:type="spellEnd"/>
      <w:r w:rsidR="006B7E33">
        <w:t xml:space="preserve"> and the remineralization of organic nutrients, therefore they regulate the key functions of almost any ecosystem </w:t>
      </w:r>
      <w:r w:rsidR="006B7E33">
        <w:fldChar w:fldCharType="begin" w:fldLock="1"/>
      </w:r>
      <w:r w:rsidR="00AB12EE">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6B7E33">
        <w:fldChar w:fldCharType="separate"/>
      </w:r>
      <w:r w:rsidR="006B7E33" w:rsidRPr="006B7E33">
        <w:rPr>
          <w:noProof/>
        </w:rPr>
        <w:t>(Cole, 1999)</w:t>
      </w:r>
      <w:r w:rsidR="006B7E33">
        <w:fldChar w:fldCharType="end"/>
      </w:r>
      <w:r w:rsidR="006B7E33">
        <w:t xml:space="preserve">. </w:t>
      </w:r>
    </w:p>
    <w:p w14:paraId="10CF7441" w14:textId="55CAFA43" w:rsidR="006B7E33" w:rsidRDefault="006B7E33" w:rsidP="006B7E33">
      <w:pPr>
        <w:pStyle w:val="ListParagraph"/>
        <w:numPr>
          <w:ilvl w:val="0"/>
          <w:numId w:val="3"/>
        </w:numPr>
      </w:pPr>
      <w:r>
        <w:lastRenderedPageBreak/>
        <w:t>Physical/Chemical measurements:</w:t>
      </w:r>
    </w:p>
    <w:p w14:paraId="66EFC7EF" w14:textId="2BE845B4" w:rsidR="006B7E33" w:rsidRDefault="006B7E33" w:rsidP="006B7E33">
      <w:pPr>
        <w:pStyle w:val="ListParagraph"/>
        <w:numPr>
          <w:ilvl w:val="0"/>
          <w:numId w:val="3"/>
        </w:numPr>
      </w:pPr>
      <w:r>
        <w:t>Temporal repeats:</w:t>
      </w:r>
    </w:p>
    <w:p w14:paraId="5B8101DE" w14:textId="38AC625F" w:rsidR="003E7228" w:rsidRDefault="006B7E33" w:rsidP="003E7228">
      <w:pPr>
        <w:pStyle w:val="ListParagraph"/>
        <w:numPr>
          <w:ilvl w:val="0"/>
          <w:numId w:val="3"/>
        </w:numPr>
      </w:pPr>
      <w:r>
        <w:t>Species-area</w:t>
      </w:r>
      <w:r w:rsidR="00AB12EE">
        <w:t>/</w:t>
      </w:r>
      <w:r>
        <w:t>distance-decay measurements:</w:t>
      </w:r>
    </w:p>
    <w:p w14:paraId="062B0A05" w14:textId="2B318E99" w:rsidR="006B7E33" w:rsidRDefault="00AB12EE" w:rsidP="006B7E33">
      <w:pPr>
        <w:pStyle w:val="ListParagraph"/>
        <w:numPr>
          <w:ilvl w:val="0"/>
          <w:numId w:val="3"/>
        </w:numPr>
      </w:pPr>
      <w:r>
        <w:t>Neutral/non-neutral assembly processes:</w:t>
      </w:r>
    </w:p>
    <w:p w14:paraId="27385747" w14:textId="6024C968" w:rsidR="00AB12EE" w:rsidRDefault="00AB12EE" w:rsidP="00AB12EE">
      <w:pPr>
        <w:pStyle w:val="ListParagraph"/>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7E4F785D" w14:textId="26C40DAD" w:rsidR="00AB12EE" w:rsidRDefault="00AB12EE" w:rsidP="00AB12EE">
      <w:pPr>
        <w:pStyle w:val="ListParagraph"/>
        <w:rPr>
          <w:b/>
        </w:rPr>
      </w:pPr>
      <w:r w:rsidRPr="00AB12EE">
        <w:rPr>
          <w:b/>
        </w:rPr>
        <w:t>But could functional redundancy decouple community structure and function?</w:t>
      </w:r>
      <w:r>
        <w:rPr>
          <w:b/>
        </w:rPr>
        <w:t xml:space="preserve"> Do we need to know who is there, to know what they will do? How can I investigate functional redundancy?</w:t>
      </w:r>
    </w:p>
    <w:p w14:paraId="4A4D70DA" w14:textId="4DCA2BF8" w:rsidR="00091595" w:rsidRDefault="00091595" w:rsidP="00AB12EE">
      <w:pPr>
        <w:pStyle w:val="ListParagraph"/>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w:t>
      </w:r>
      <w:r>
        <w:t xml:space="preserve">. Where and when do these </w:t>
      </w:r>
      <w:r w:rsidR="008D4531">
        <w:t xml:space="preserve">processes </w:t>
      </w:r>
      <w:r>
        <w:t>matter? Do the</w:t>
      </w:r>
      <w:r w:rsidR="008D4531">
        <w:t xml:space="preserve"> importance of these processes change for cryoconite holes temporally/seasonally? PREDICT GREATER ROLE OF NEUTRAL PROCESSES IN THE WINTER WHEN CRYOCONITE COMMUNITIES ARE MORE ISOLATED.</w:t>
      </w:r>
    </w:p>
    <w:p w14:paraId="60059D29" w14:textId="3A28376C" w:rsidR="008D4531" w:rsidRDefault="008D4531" w:rsidP="00AB12EE">
      <w:pPr>
        <w:pStyle w:val="ListParagraph"/>
      </w:pPr>
      <w:r>
        <w:t>Need info on species richness AND functional traits, may help us measure ecosystem functions. Which functional traits to select and how to measure?</w:t>
      </w:r>
    </w:p>
    <w:p w14:paraId="3F42273B" w14:textId="77777777" w:rsidR="00AB12EE" w:rsidRPr="00AB12EE" w:rsidRDefault="00AB12EE" w:rsidP="00AB12EE">
      <w:pPr>
        <w:pStyle w:val="ListParagraph"/>
        <w:rPr>
          <w:b/>
        </w:rPr>
      </w:pPr>
    </w:p>
    <w:p w14:paraId="6489AFBC" w14:textId="1127ACC5" w:rsidR="007B40E1" w:rsidRDefault="007B40E1" w:rsidP="007B40E1"/>
    <w:p w14:paraId="3A1BC381" w14:textId="4CFAC64E" w:rsidR="007B40E1" w:rsidRDefault="007B40E1" w:rsidP="007B40E1">
      <w:r>
        <w:t>HOW WILL I DO IT?</w:t>
      </w:r>
    </w:p>
    <w:p w14:paraId="72336DC8" w14:textId="13F113AC" w:rsidR="007B40E1" w:rsidRDefault="007B40E1" w:rsidP="008D4531">
      <w:pPr>
        <w:pStyle w:val="ListParagraph"/>
        <w:numPr>
          <w:ilvl w:val="0"/>
          <w:numId w:val="5"/>
        </w:numPr>
      </w:pPr>
      <w:r>
        <w:t>I will be sampling from cryoconite holes either along a transect or using a spatially nested sampling scheme or a hybrid of both.</w:t>
      </w:r>
      <w:r w:rsidR="008D4531">
        <w:t xml:space="preserve"> 16S and 18S rRNA sequencing. </w:t>
      </w:r>
    </w:p>
    <w:p w14:paraId="228C6B61" w14:textId="77777777" w:rsidR="003E7228" w:rsidRDefault="003E7228" w:rsidP="008D4531">
      <w:pPr>
        <w:pStyle w:val="ListParagraph"/>
        <w:numPr>
          <w:ilvl w:val="0"/>
          <w:numId w:val="5"/>
        </w:numPr>
      </w:pPr>
      <w:bookmarkStart w:id="0" w:name="_GoBack"/>
      <w:bookmarkEnd w:id="0"/>
    </w:p>
    <w:p w14:paraId="32A1682E" w14:textId="77777777" w:rsidR="003E7228" w:rsidRDefault="003E7228" w:rsidP="003E7228">
      <w:pPr>
        <w:pStyle w:val="ListParagraph"/>
        <w:numPr>
          <w:ilvl w:val="0"/>
          <w:numId w:val="5"/>
        </w:numPr>
      </w:pPr>
    </w:p>
    <w:p w14:paraId="5BDF21C8" w14:textId="6B72EAAA" w:rsidR="003E7228" w:rsidRPr="00091595" w:rsidRDefault="003E7228" w:rsidP="003E7228">
      <w:pPr>
        <w:pStyle w:val="ListParagraph"/>
        <w:numPr>
          <w:ilvl w:val="0"/>
          <w:numId w:val="5"/>
        </w:numPr>
      </w:pPr>
      <w:r>
        <w:t>TRAIT-BASED BIOGEOGRAPHY (measurable characteristic linked to fitness/performance, e.g. lifetime growth pattern, reproduction, resistance to viruses, genome size, content, mutation rates)</w:t>
      </w:r>
    </w:p>
    <w:p w14:paraId="59A64CDA" w14:textId="77777777" w:rsidR="003E7228" w:rsidRDefault="003E7228" w:rsidP="003E7228"/>
    <w:p w14:paraId="45DABC9E" w14:textId="7382E1EC" w:rsidR="00385E06" w:rsidRDefault="00385E06" w:rsidP="007B40E1"/>
    <w:p w14:paraId="7F22037B" w14:textId="7CED9441" w:rsidR="00385E06" w:rsidRDefault="00385E06" w:rsidP="007B40E1">
      <w:r>
        <w:t>KEY REFERENCES</w:t>
      </w:r>
    </w:p>
    <w:p w14:paraId="04A37146" w14:textId="34A1FDBA" w:rsidR="00AB12EE" w:rsidRDefault="00385E06" w:rsidP="00AB12EE">
      <w:pPr>
        <w:pStyle w:val="ListParagraph"/>
        <w:numPr>
          <w:ilvl w:val="0"/>
          <w:numId w:val="4"/>
        </w:numPr>
      </w:pPr>
      <w:r w:rsidRPr="00385E06">
        <w:t>Microbial seed banks: the ecological and evolutionary implications of dormancy</w:t>
      </w:r>
      <w:r>
        <w:t xml:space="preserve"> </w:t>
      </w:r>
      <w:r>
        <w:fldChar w:fldCharType="begin" w:fldLock="1"/>
      </w:r>
      <w: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385E06">
        <w:rPr>
          <w:noProof/>
        </w:rPr>
        <w:t>(Lennon &amp; Jones, 2011)</w:t>
      </w:r>
      <w:r>
        <w:fldChar w:fldCharType="end"/>
      </w:r>
    </w:p>
    <w:p w14:paraId="78AB7D54" w14:textId="77777777" w:rsidR="00AB12EE" w:rsidRDefault="00AB12EE" w:rsidP="00AB12EE">
      <w:pPr>
        <w:pStyle w:val="ListParagraph"/>
        <w:numPr>
          <w:ilvl w:val="0"/>
          <w:numId w:val="4"/>
        </w:numPr>
      </w:pPr>
    </w:p>
    <w:p w14:paraId="5A1C64D1" w14:textId="77777777" w:rsidR="00AB12EE" w:rsidRDefault="00AB12EE" w:rsidP="00AB12EE">
      <w:pPr>
        <w:pStyle w:val="ListParagraph"/>
        <w:numPr>
          <w:ilvl w:val="0"/>
          <w:numId w:val="4"/>
        </w:numPr>
      </w:pPr>
    </w:p>
    <w:p w14:paraId="5D489642" w14:textId="2D17915F" w:rsidR="00AB12EE" w:rsidRPr="003E7228" w:rsidRDefault="003E7228" w:rsidP="003E7228">
      <w:pPr>
        <w:pStyle w:val="ListParagraph"/>
        <w:numPr>
          <w:ilvl w:val="0"/>
          <w:numId w:val="4"/>
        </w:numPr>
        <w:rPr>
          <w:rFonts w:ascii="Times New Roman" w:eastAsia="Times New Roman" w:hAnsi="Times New Roman" w:cs="Times New Roman"/>
        </w:rPr>
      </w:pPr>
      <w:r w:rsidRPr="003E7228">
        <w:rPr>
          <w:rFonts w:ascii="Arial" w:eastAsia="Times New Roman" w:hAnsi="Arial" w:cs="Arial"/>
          <w:sz w:val="22"/>
          <w:szCs w:val="22"/>
        </w:rPr>
        <w:t>Microbial Biogeography: From Taxonomy to Traits</w:t>
      </w:r>
      <w:r>
        <w:rPr>
          <w:rFonts w:ascii="Arial" w:eastAsia="Times New Roman" w:hAnsi="Arial" w:cs="Arial"/>
          <w:sz w:val="22"/>
          <w:szCs w:val="22"/>
        </w:rPr>
        <w:t xml:space="preserve"> </w:t>
      </w:r>
      <w:r>
        <w:rPr>
          <w:rFonts w:ascii="Arial" w:eastAsia="Times New Roman" w:hAnsi="Arial" w:cs="Arial"/>
          <w:sz w:val="22"/>
          <w:szCs w:val="22"/>
        </w:rPr>
        <w:fldChar w:fldCharType="begin" w:fldLock="1"/>
      </w:r>
      <w:r>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traits","type":"article-journal","volume":"320"},"uris":["http://www.mendeley.com/documents/?uuid=d57b8550-73b2-44f2-8236-42deffc1d2a0"]}],"mendeley":{"formattedCitation":"(Green, Bohannan, &amp; Whitaker, 2008)","plainTextFormattedCitation":"(Green, Bohannan, &amp; Whitaker, 2008)"},"properties":{"noteIndex":0},"schema":"https://github.com/citation-style-language/schema/raw/master/csl-citation.json"}</w:instrText>
      </w:r>
      <w:r>
        <w:rPr>
          <w:rFonts w:ascii="Arial" w:eastAsia="Times New Roman" w:hAnsi="Arial" w:cs="Arial"/>
          <w:sz w:val="22"/>
          <w:szCs w:val="22"/>
        </w:rPr>
        <w:fldChar w:fldCharType="separate"/>
      </w:r>
      <w:r w:rsidRPr="003E7228">
        <w:rPr>
          <w:rFonts w:ascii="Arial" w:eastAsia="Times New Roman" w:hAnsi="Arial" w:cs="Arial"/>
          <w:noProof/>
          <w:sz w:val="22"/>
          <w:szCs w:val="22"/>
        </w:rPr>
        <w:t>(Green, Bohannan, &amp; Whitaker, 2008)</w:t>
      </w:r>
      <w:r>
        <w:rPr>
          <w:rFonts w:ascii="Arial" w:eastAsia="Times New Roman" w:hAnsi="Arial" w:cs="Arial"/>
          <w:sz w:val="22"/>
          <w:szCs w:val="22"/>
        </w:rPr>
        <w:fldChar w:fldCharType="end"/>
      </w:r>
    </w:p>
    <w:p w14:paraId="48D95CAB" w14:textId="46BF8EB4" w:rsidR="00AB12EE" w:rsidRDefault="00AB12EE" w:rsidP="00AB12EE">
      <w:pPr>
        <w:pStyle w:val="ListParagraph"/>
        <w:numPr>
          <w:ilvl w:val="0"/>
          <w:numId w:val="4"/>
        </w:numPr>
      </w:pPr>
      <w:r>
        <w:t xml:space="preserve">Patterns and Processes of Microbial Community Assembly </w:t>
      </w:r>
      <w:r>
        <w:fldChar w:fldCharType="begin" w:fldLock="1"/>
      </w:r>
      <w:r w:rsidR="00091595">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AB12EE">
        <w:rPr>
          <w:noProof/>
        </w:rPr>
        <w:t>(Nemergut et al., 2013)</w:t>
      </w:r>
      <w:r>
        <w:fldChar w:fldCharType="end"/>
      </w:r>
      <w:r w:rsidR="00091595">
        <w:t xml:space="preserve">, </w:t>
      </w:r>
      <w:r w:rsidR="00091595" w:rsidRPr="00091595">
        <w:t>Stochastic Community Assembly: Does It</w:t>
      </w:r>
      <w:r w:rsidR="00091595">
        <w:t xml:space="preserve"> </w:t>
      </w:r>
      <w:r w:rsidR="00091595" w:rsidRPr="00091595">
        <w:t>Matter in Microbial Ecology?</w:t>
      </w:r>
      <w:r w:rsidR="00091595">
        <w:t xml:space="preserve"> </w:t>
      </w:r>
      <w:r w:rsidR="00091595">
        <w:fldChar w:fldCharType="begin" w:fldLock="1"/>
      </w:r>
      <w:r w:rsidR="003E722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rsidR="00091595">
        <w:fldChar w:fldCharType="separate"/>
      </w:r>
      <w:r w:rsidR="00091595" w:rsidRPr="00091595">
        <w:rPr>
          <w:noProof/>
        </w:rPr>
        <w:t>(Zhou, 2017)</w:t>
      </w:r>
      <w:r w:rsidR="00091595">
        <w:fldChar w:fldCharType="end"/>
      </w:r>
    </w:p>
    <w:p w14:paraId="0D8C0F5C" w14:textId="77777777" w:rsidR="00AB12EE" w:rsidRDefault="00AB12EE" w:rsidP="007B40E1"/>
    <w:sectPr w:rsidR="00AB12EE"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244D8"/>
    <w:multiLevelType w:val="hybridMultilevel"/>
    <w:tmpl w:val="048020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55C86"/>
    <w:multiLevelType w:val="hybridMultilevel"/>
    <w:tmpl w:val="8A205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71B08"/>
    <w:multiLevelType w:val="hybridMultilevel"/>
    <w:tmpl w:val="4A343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A5829"/>
    <w:multiLevelType w:val="hybridMultilevel"/>
    <w:tmpl w:val="CF22E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605E8F"/>
    <w:multiLevelType w:val="hybridMultilevel"/>
    <w:tmpl w:val="9D344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E1"/>
    <w:rsid w:val="00091595"/>
    <w:rsid w:val="00385E06"/>
    <w:rsid w:val="003E7228"/>
    <w:rsid w:val="00511661"/>
    <w:rsid w:val="005155B5"/>
    <w:rsid w:val="006B7E33"/>
    <w:rsid w:val="007574D4"/>
    <w:rsid w:val="007B40E1"/>
    <w:rsid w:val="008D4531"/>
    <w:rsid w:val="008F6434"/>
    <w:rsid w:val="00AB12EE"/>
    <w:rsid w:val="00B71594"/>
    <w:rsid w:val="00BA7EF7"/>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A5AA"/>
  <w14:defaultImageDpi w14:val="32767"/>
  <w15:chartTrackingRefBased/>
  <w15:docId w15:val="{CDBB1C40-49D3-AF40-96A8-A08AE3EB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E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207755">
      <w:bodyDiv w:val="1"/>
      <w:marLeft w:val="0"/>
      <w:marRight w:val="0"/>
      <w:marTop w:val="0"/>
      <w:marBottom w:val="0"/>
      <w:divBdr>
        <w:top w:val="none" w:sz="0" w:space="0" w:color="auto"/>
        <w:left w:val="none" w:sz="0" w:space="0" w:color="auto"/>
        <w:bottom w:val="none" w:sz="0" w:space="0" w:color="auto"/>
        <w:right w:val="none" w:sz="0" w:space="0" w:color="auto"/>
      </w:divBdr>
    </w:div>
    <w:div w:id="1243296764">
      <w:bodyDiv w:val="1"/>
      <w:marLeft w:val="0"/>
      <w:marRight w:val="0"/>
      <w:marTop w:val="0"/>
      <w:marBottom w:val="0"/>
      <w:divBdr>
        <w:top w:val="none" w:sz="0" w:space="0" w:color="auto"/>
        <w:left w:val="none" w:sz="0" w:space="0" w:color="auto"/>
        <w:bottom w:val="none" w:sz="0" w:space="0" w:color="auto"/>
        <w:right w:val="none" w:sz="0" w:space="0" w:color="auto"/>
      </w:divBdr>
    </w:div>
    <w:div w:id="126900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892BB-E10C-AF46-99BB-C1562D110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2736</Words>
  <Characters>14612</Characters>
  <Application>Microsoft Office Word</Application>
  <DocSecurity>0</DocSecurity>
  <Lines>769</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2020-11-24T06:41:00Z</dcterms:created>
  <dcterms:modified xsi:type="dcterms:W3CDTF">2020-11-24T07:59:00Z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