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44B61" w14:textId="537C1D11" w:rsidR="003E04D9" w:rsidRDefault="00704123" w:rsidP="000F0BC1">
      <w:r>
        <w:t>My Aims</w:t>
      </w:r>
    </w:p>
    <w:p w14:paraId="28F9B3FE" w14:textId="0E7AE4FA" w:rsidR="00704123" w:rsidRDefault="00704123" w:rsidP="000F0BC1"/>
    <w:p w14:paraId="1BAF0C29" w14:textId="008719A4" w:rsidR="00704123" w:rsidRDefault="00704123" w:rsidP="00704123">
      <w:pPr>
        <w:pStyle w:val="ListParagraph"/>
        <w:numPr>
          <w:ilvl w:val="0"/>
          <w:numId w:val="4"/>
        </w:numPr>
      </w:pPr>
      <w:r>
        <w:t xml:space="preserve">To identify the total and active prokaryotic </w:t>
      </w:r>
      <w:r w:rsidR="00CB0B2E">
        <w:t>community</w:t>
      </w:r>
      <w:r>
        <w:t xml:space="preserve"> compositions of cryoconite sediment from </w:t>
      </w:r>
      <w:proofErr w:type="spellStart"/>
      <w:r>
        <w:t>Foxfonna</w:t>
      </w:r>
      <w:proofErr w:type="spellEnd"/>
      <w:r>
        <w:t xml:space="preserve"> glacier.</w:t>
      </w:r>
    </w:p>
    <w:p w14:paraId="6FA20762" w14:textId="4EB4FD8E" w:rsidR="00704123" w:rsidRDefault="00704123" w:rsidP="00704123">
      <w:pPr>
        <w:pStyle w:val="ListParagraph"/>
        <w:numPr>
          <w:ilvl w:val="0"/>
          <w:numId w:val="4"/>
        </w:numPr>
      </w:pPr>
      <w:r>
        <w:t xml:space="preserve">To test the hypothesis that biogeographic patterns of ISAR </w:t>
      </w:r>
      <w:r w:rsidR="00BD440D">
        <w:t xml:space="preserve">(alpha diversity) </w:t>
      </w:r>
      <w:r>
        <w:t xml:space="preserve">and DDR </w:t>
      </w:r>
      <w:r w:rsidR="00BD440D">
        <w:t xml:space="preserve">(beta diversity) </w:t>
      </w:r>
      <w:r>
        <w:t>will be more significant for active prokaryotic cryoconite communities than total prokaryotic communities.</w:t>
      </w:r>
    </w:p>
    <w:p w14:paraId="41386C83" w14:textId="1FE56DF6" w:rsidR="00704123" w:rsidRDefault="00704123" w:rsidP="00704123">
      <w:pPr>
        <w:pStyle w:val="ListParagraph"/>
        <w:numPr>
          <w:ilvl w:val="0"/>
          <w:numId w:val="4"/>
        </w:numPr>
      </w:pPr>
      <w:r>
        <w:t>To identify the relative contributions of neutral (e.g. dispersal) and non-neutral (e.g. selection) community assembly processes for active and total prokaryotic cryoconite communities.</w:t>
      </w:r>
    </w:p>
    <w:p w14:paraId="58031FD7" w14:textId="6F94F6AE" w:rsidR="00704123" w:rsidRDefault="00704123" w:rsidP="000F0BC1">
      <w:pPr>
        <w:pStyle w:val="ListParagraph"/>
        <w:numPr>
          <w:ilvl w:val="0"/>
          <w:numId w:val="4"/>
        </w:numPr>
      </w:pPr>
      <w:r>
        <w:t xml:space="preserve">To identify </w:t>
      </w:r>
      <w:r w:rsidR="002F41BB">
        <w:t>potential interactions between microbial taxa using network analysis</w:t>
      </w:r>
      <w:r w:rsidR="00BD440D">
        <w:t xml:space="preserve"> for active and total communities</w:t>
      </w:r>
      <w:r w:rsidR="002F41BB">
        <w:t>.</w:t>
      </w:r>
    </w:p>
    <w:p w14:paraId="07352D2F" w14:textId="77777777" w:rsidR="00704123" w:rsidRDefault="00704123" w:rsidP="003E04D9">
      <w:pPr>
        <w:rPr>
          <w:b/>
        </w:rPr>
      </w:pPr>
    </w:p>
    <w:p w14:paraId="2F7C9CFC" w14:textId="6FAE27AE" w:rsidR="003E04D9" w:rsidRPr="003E04D9" w:rsidRDefault="003E04D9" w:rsidP="003E04D9">
      <w:pPr>
        <w:rPr>
          <w:b/>
        </w:rPr>
      </w:pPr>
      <w:proofErr w:type="spellStart"/>
      <w:r w:rsidRPr="003E04D9">
        <w:rPr>
          <w:b/>
        </w:rPr>
        <w:t>Foxfonna</w:t>
      </w:r>
      <w:proofErr w:type="spellEnd"/>
      <w:r w:rsidRPr="003E04D9">
        <w:rPr>
          <w:b/>
        </w:rPr>
        <w:t xml:space="preserve"> Glacier Investigation</w:t>
      </w:r>
    </w:p>
    <w:p w14:paraId="5A9F33BB" w14:textId="77777777" w:rsidR="003E04D9" w:rsidRDefault="003E04D9" w:rsidP="003E04D9">
      <w:pPr>
        <w:pStyle w:val="ListParagraph"/>
        <w:numPr>
          <w:ilvl w:val="0"/>
          <w:numId w:val="1"/>
        </w:numPr>
      </w:pPr>
      <w:r>
        <w:t xml:space="preserve">Field sampling and physiochemical analysis (see Darcy </w:t>
      </w:r>
      <w:r w:rsidRPr="000F0BC1">
        <w:rPr>
          <w:i/>
        </w:rPr>
        <w:t>et al.,</w:t>
      </w:r>
      <w:r>
        <w:t xml:space="preserve"> 2018)</w:t>
      </w:r>
    </w:p>
    <w:p w14:paraId="28907203" w14:textId="05D6FC14" w:rsidR="003E04D9" w:rsidRDefault="003E04D9" w:rsidP="003E04D9">
      <w:pPr>
        <w:pStyle w:val="ListParagraph"/>
        <w:numPr>
          <w:ilvl w:val="0"/>
          <w:numId w:val="1"/>
        </w:numPr>
      </w:pPr>
      <w:r>
        <w:t xml:space="preserve">Differentiate total and potentially active prokaryotic communities used rDNA-based and rRNA based approach or </w:t>
      </w:r>
      <w:r w:rsidRPr="000F0BC1">
        <w:t xml:space="preserve">BONCAT </w:t>
      </w:r>
      <w:r>
        <w:t xml:space="preserve">(see </w:t>
      </w:r>
      <w:proofErr w:type="spellStart"/>
      <w:r>
        <w:t>Klarenberg</w:t>
      </w:r>
      <w:proofErr w:type="spellEnd"/>
      <w:r>
        <w:t xml:space="preserve"> </w:t>
      </w:r>
      <w:r w:rsidRPr="000F0BC1">
        <w:rPr>
          <w:i/>
        </w:rPr>
        <w:t>et al.,</w:t>
      </w:r>
      <w:r>
        <w:t xml:space="preserve"> 2020; </w:t>
      </w:r>
      <w:proofErr w:type="spellStart"/>
      <w:r>
        <w:t>Lindivat</w:t>
      </w:r>
      <w:proofErr w:type="spellEnd"/>
      <w:r>
        <w:t xml:space="preserve"> </w:t>
      </w:r>
      <w:r w:rsidRPr="000F0BC1">
        <w:rPr>
          <w:i/>
        </w:rPr>
        <w:t>et al.,</w:t>
      </w:r>
      <w:r>
        <w:t xml:space="preserve"> 2020)</w:t>
      </w:r>
      <w:r w:rsidR="004A519B">
        <w:t xml:space="preserve"> – Which is best out of the two active/non-active community differentiation methods? </w:t>
      </w:r>
    </w:p>
    <w:p w14:paraId="4872B834" w14:textId="77777777" w:rsidR="003E04D9" w:rsidRDefault="003E04D9" w:rsidP="003E04D9">
      <w:pPr>
        <w:pStyle w:val="ListParagraph"/>
        <w:numPr>
          <w:ilvl w:val="0"/>
          <w:numId w:val="1"/>
        </w:numPr>
      </w:pPr>
      <w:r>
        <w:t>Look for evidence of ISAR and DDR in total and active prokaryotic communities (see Darcy et al., 2018)</w:t>
      </w:r>
    </w:p>
    <w:p w14:paraId="741177EE" w14:textId="77777777" w:rsidR="003E04D9" w:rsidRDefault="003E04D9" w:rsidP="003E04D9">
      <w:pPr>
        <w:pStyle w:val="ListParagraph"/>
        <w:numPr>
          <w:ilvl w:val="0"/>
          <w:numId w:val="1"/>
        </w:numPr>
      </w:pPr>
      <w:r>
        <w:t xml:space="preserve">Investigate community assembly mechanisms of total and active communities using statistical, phylogenetic and null model analyses (see Cheng </w:t>
      </w:r>
      <w:r w:rsidRPr="000F0BC1">
        <w:rPr>
          <w:i/>
        </w:rPr>
        <w:t>et al.,</w:t>
      </w:r>
      <w:r>
        <w:t xml:space="preserve"> 2021; Le </w:t>
      </w:r>
      <w:proofErr w:type="spellStart"/>
      <w:r>
        <w:t>Moigne</w:t>
      </w:r>
      <w:proofErr w:type="spellEnd"/>
      <w:r>
        <w:t xml:space="preserve"> </w:t>
      </w:r>
      <w:r w:rsidRPr="000F0BC1">
        <w:rPr>
          <w:i/>
        </w:rPr>
        <w:t>et al.,</w:t>
      </w:r>
      <w:r>
        <w:t xml:space="preserve"> 2020; Gu </w:t>
      </w:r>
      <w:r w:rsidRPr="000F0BC1">
        <w:rPr>
          <w:i/>
        </w:rPr>
        <w:t>et al.,</w:t>
      </w:r>
      <w:r>
        <w:t xml:space="preserve"> 2020)</w:t>
      </w:r>
    </w:p>
    <w:p w14:paraId="5D32EBE1" w14:textId="2BB76ECC" w:rsidR="003E04D9" w:rsidRDefault="003E04D9" w:rsidP="003E04D9">
      <w:pPr>
        <w:pStyle w:val="ListParagraph"/>
        <w:numPr>
          <w:ilvl w:val="0"/>
          <w:numId w:val="1"/>
        </w:numPr>
      </w:pPr>
      <w:r>
        <w:t>Conduct network analysis of total and active communities (see Gokul et al., 2016</w:t>
      </w:r>
      <w:r w:rsidR="00BD440D">
        <w:t xml:space="preserve">; see </w:t>
      </w:r>
      <w:proofErr w:type="spellStart"/>
      <w:r w:rsidR="00BD440D">
        <w:t>Barberan</w:t>
      </w:r>
      <w:proofErr w:type="spellEnd"/>
      <w:r w:rsidR="00BD440D">
        <w:t xml:space="preserve"> </w:t>
      </w:r>
      <w:r w:rsidR="00BD440D" w:rsidRPr="00BD440D">
        <w:rPr>
          <w:i/>
        </w:rPr>
        <w:t>et al.,</w:t>
      </w:r>
      <w:r w:rsidR="00BD440D">
        <w:t xml:space="preserve"> 2012</w:t>
      </w:r>
      <w:r>
        <w:t>)</w:t>
      </w:r>
    </w:p>
    <w:p w14:paraId="37224C98" w14:textId="5008B041" w:rsidR="00953A45" w:rsidRDefault="00953A45" w:rsidP="00953A45"/>
    <w:p w14:paraId="785E91F0" w14:textId="38D91F8E" w:rsidR="00953A45" w:rsidRDefault="00953A45" w:rsidP="00953A45">
      <w:r>
        <w:t>Limitations of rRNA/rDNA technique</w:t>
      </w:r>
    </w:p>
    <w:p w14:paraId="7C9C5270" w14:textId="585E7633" w:rsidR="00953A45" w:rsidRDefault="00953A45" w:rsidP="00953A45">
      <w:r>
        <w:t>Simulated rRNA/DNA ratios show potential to misclassify active populations as dormant</w:t>
      </w:r>
      <w:r>
        <w:t xml:space="preserve"> </w:t>
      </w:r>
      <w:r>
        <w:fldChar w:fldCharType="begin" w:fldLock="1"/>
      </w:r>
      <w:r w:rsidR="005943BF">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fldChar w:fldCharType="separate"/>
      </w:r>
      <w:r w:rsidRPr="00953A45">
        <w:rPr>
          <w:noProof/>
        </w:rPr>
        <w:t>(Steven, Hesse, Soghigian, Gallegos-Graves, &amp; Dunbar, 2017)</w:t>
      </w:r>
      <w:r>
        <w:fldChar w:fldCharType="end"/>
      </w:r>
    </w:p>
    <w:p w14:paraId="6D881300" w14:textId="1E8501EE" w:rsidR="0019669E" w:rsidRDefault="0019669E" w:rsidP="0019669E"/>
    <w:p w14:paraId="6FA7D024" w14:textId="543E2A5C" w:rsidR="0019669E" w:rsidRDefault="0019669E" w:rsidP="0019669E">
      <w:pPr>
        <w:rPr>
          <w:b/>
        </w:rPr>
      </w:pPr>
      <w:r w:rsidRPr="0019669E">
        <w:rPr>
          <w:b/>
        </w:rPr>
        <w:t>NOTE 16S rRNA sequencing can be carried out using a DNA (total) or RNA (potentially active) template.</w:t>
      </w:r>
      <w:r w:rsidR="00F67176">
        <w:rPr>
          <w:b/>
        </w:rPr>
        <w:t xml:space="preserve"> Will use V3-V4 hypervariable </w:t>
      </w:r>
      <w:proofErr w:type="spellStart"/>
      <w:r w:rsidR="00F67176">
        <w:rPr>
          <w:b/>
        </w:rPr>
        <w:t>subregions</w:t>
      </w:r>
      <w:proofErr w:type="spellEnd"/>
      <w:r w:rsidR="00F67176">
        <w:rPr>
          <w:b/>
        </w:rPr>
        <w:t xml:space="preserve"> as they have been shown to represent the full diversity of the gene and so are good targets for amplicon analysis of prokaryotes. </w:t>
      </w:r>
      <w:r w:rsidR="00301941">
        <w:rPr>
          <w:b/>
        </w:rPr>
        <w:t>Use ASVs (amplicon sequence variants) rather than OTUs.</w:t>
      </w:r>
    </w:p>
    <w:p w14:paraId="6FEBF2E5" w14:textId="49D23579" w:rsidR="00BE2B46" w:rsidRDefault="00BE2B46" w:rsidP="0019669E">
      <w:pPr>
        <w:rPr>
          <w:b/>
        </w:rPr>
      </w:pPr>
    </w:p>
    <w:p w14:paraId="205A4D95" w14:textId="17C80617" w:rsidR="00BE2B46" w:rsidRPr="0019669E" w:rsidRDefault="00BE2B46" w:rsidP="0019669E">
      <w:pPr>
        <w:rPr>
          <w:b/>
        </w:rPr>
      </w:pPr>
      <w:r>
        <w:rPr>
          <w:b/>
        </w:rPr>
        <w:t>REMEMBER TO A</w:t>
      </w:r>
      <w:r w:rsidR="001D7BAE">
        <w:rPr>
          <w:b/>
        </w:rPr>
        <w:t xml:space="preserve">CKNOWLEDGE THE LIMITATIONS OF YOUR TECHNIQUES. </w:t>
      </w:r>
    </w:p>
    <w:p w14:paraId="77F34F6D" w14:textId="77777777" w:rsidR="00704123" w:rsidRDefault="00704123" w:rsidP="00704123"/>
    <w:p w14:paraId="18685672" w14:textId="3EFE9245" w:rsidR="004A519B" w:rsidRDefault="00704123" w:rsidP="00704123">
      <w:r>
        <w:t xml:space="preserve">Is there additional multi-omics analysis I can do </w:t>
      </w:r>
      <w:proofErr w:type="gramStart"/>
      <w:r>
        <w:t>using</w:t>
      </w:r>
      <w:proofErr w:type="gramEnd"/>
      <w:r>
        <w:t xml:space="preserve"> the </w:t>
      </w:r>
      <w:proofErr w:type="spellStart"/>
      <w:r>
        <w:t>Anvi’o</w:t>
      </w:r>
      <w:proofErr w:type="spellEnd"/>
      <w:r>
        <w:t xml:space="preserve"> platform</w:t>
      </w:r>
      <w:r>
        <w:t xml:space="preserve"> </w:t>
      </w:r>
      <w:r>
        <w:t xml:space="preserve">(see </w:t>
      </w:r>
      <w:proofErr w:type="spellStart"/>
      <w:r>
        <w:t>Eren</w:t>
      </w:r>
      <w:proofErr w:type="spellEnd"/>
      <w:r>
        <w:t xml:space="preserve"> </w:t>
      </w:r>
      <w:r w:rsidRPr="0070373E">
        <w:rPr>
          <w:i/>
        </w:rPr>
        <w:t>et al.,</w:t>
      </w:r>
      <w:r>
        <w:t xml:space="preserve"> 2015; </w:t>
      </w:r>
      <w:proofErr w:type="spellStart"/>
      <w:r>
        <w:t>Eren</w:t>
      </w:r>
      <w:proofErr w:type="spellEnd"/>
      <w:r>
        <w:t xml:space="preserve"> </w:t>
      </w:r>
      <w:r w:rsidRPr="0070373E">
        <w:rPr>
          <w:i/>
        </w:rPr>
        <w:t>et al.,</w:t>
      </w:r>
      <w:r>
        <w:t xml:space="preserve"> 2021)</w:t>
      </w:r>
      <w:r>
        <w:t xml:space="preserve">? </w:t>
      </w:r>
    </w:p>
    <w:p w14:paraId="5635B5AD" w14:textId="77809696" w:rsidR="00704123" w:rsidRDefault="00704123" w:rsidP="00704123">
      <w:r>
        <w:t xml:space="preserve">Papers using </w:t>
      </w:r>
      <w:proofErr w:type="spellStart"/>
      <w:r>
        <w:t>Anvi’o</w:t>
      </w:r>
      <w:proofErr w:type="spellEnd"/>
      <w:r>
        <w:t xml:space="preserve"> platform:</w:t>
      </w:r>
    </w:p>
    <w:p w14:paraId="72EF49CD" w14:textId="04FF852B" w:rsidR="00704123" w:rsidRDefault="00704123" w:rsidP="00704123">
      <w:r w:rsidRPr="00704123">
        <w:t>Functional and genetic markers of niche partitioning among enigmatic members of the human oral microbiome</w:t>
      </w:r>
      <w:r>
        <w:t xml:space="preserve"> </w:t>
      </w:r>
      <w:r>
        <w:fldChar w:fldCharType="begin" w:fldLock="1"/>
      </w:r>
      <w:r w:rsidR="00BD440D">
        <w:instrText>ADDIN CSL_CITATION {"citationItems":[{"id":"ITEM-1","itemData":{"DOI":"10.1101/2020.04.29.069278","ISSN":"1474760X","abstract":"Microbial residents of the human oral cavity have long been a major focus of microbiology due to their influence on host health and their intriguing patterns of site specificity amidst the lack of dispersal limitation. Yet, the determinants of niche partitioning in this habitat are yet to be fully understood, especially among the taxa that belong to recently discovered branches of microbial life. Here we assembled metagenomes from daily tongue and dental plaque samples from multiple individuals and reconstructed 790 non-redundant genomes, 43 of which resolved to TM7 that formed six monophyletic clades distinctly associated either with plaque or with tongue. Both pangenomic and phylogenomic analyses grouped tongue-specific TM7 clades with other host-associated TM7 genomes. In contrast, plaque-specific TM7 grouped together with environmental TM7 genomes. Besides offering deeper insights into the ecology, evolution, and the mobilome of the cryptic members of the oral microbiome, our study reveals an intriguing resemblance between dental plaque and non-host environments indicated by the TM7 evolution, suggesting that plaque may have served as a stepping stone for environmental microbes to adapt to host environments for some clades of human associated microbes. Additionally, we report that prophages are widespread amongst oral-associated TM7, while absent from environmental TM7, suggesting that prophages may have played a role in adaptation of TM7 to the host environment.\n\n### Competing Interest Statement\n\nThe authors have declared no competing interest.","author":[{"dropping-particle":"","family":"Shaiber","given":"Alon","non-dropping-particle":"","parse-names":false,"suffix":""},{"dropping-particle":"","family":"Willis","given":"Amy","non-dropping-particle":"","parse-names":false,"suffix":""},{"dropping-particle":"","family":"Delmont","given":"Tom","non-dropping-particle":"","parse-names":false,"suffix":""},{"dropping-particle":"","family":"Roux","given":"Simon","non-dropping-particle":"","parse-names":false,"suffix":""},{"dropping-particle":"","family":"Chen","given":"Lin-Xing","non-dropping-particle":"","parse-names":false,"suffix":""},{"dropping-particle":"","family":"Schmid","given":"Abigail","non-dropping-particle":"","parse-names":false,"suffix":""},{"dropping-particle":"","family":"Yousef","given":"Mahmoud","non-dropping-particle":"","parse-names":false,"suffix":""},{"dropping-particle":"","family":"Watson","given":"Andrea","non-dropping-particle":"","parse-names":false,"suffix":""},{"dropping-particle":"","family":"Lolans","given":"Karen","non-dropping-particle":"","parse-names":false,"suffix":""},{"dropping-particle":"","family":"Esen","given":"Özcan","non-dropping-particle":"","parse-names":false,"suffix":""},{"dropping-particle":"","family":"Lee","given":"Sonny","non-dropping-particle":"","parse-names":false,"suffix":""},{"dropping-particle":"","family":"Downey","given":"Nora","non-dropping-particle":"","parse-names":false,"suffix":""},{"dropping-particle":"","family":"Morrison","given":"Hilary","non-dropping-particle":"","parse-names":false,"suffix":""},{"dropping-particle":"","family":"Dewhirst","given":"Floyd","non-dropping-particle":"","parse-names":false,"suffix":""},{"dropping-particle":"","family":"Mark Welch","given":"Jessica","non-dropping-particle":"","parse-names":false,"suffix":""},{"dropping-particle":"","family":"Eren","given":"A. Murat","non-dropping-particle":"","parse-names":false,"suffix":""}],"id":"ITEM-1","issued":{"date-parts":[["2020"]]},"page":"1-35","publisher":"Genome Biology","title":"Functional and genetic markers of niche partitioning among enigmatic members of the human oral microbiome","type":"article-journal"},"uris":["http://www.mendeley.com/documents/?uuid=6b4bdf06-196b-4478-b8d4-88488c0b327c"]}],"mendeley":{"formattedCitation":"(Shaiber et al., 2020)","plainTextFormattedCitation":"(Shaiber et al., 2020)","previouslyFormattedCitation":"(Shaiber et al., 2020)"},"properties":{"noteIndex":0},"schema":"https://github.com/citation-style-language/schema/raw/master/csl-citation.json"}</w:instrText>
      </w:r>
      <w:r>
        <w:fldChar w:fldCharType="separate"/>
      </w:r>
      <w:r w:rsidRPr="00704123">
        <w:rPr>
          <w:noProof/>
        </w:rPr>
        <w:t>(Shaiber et al., 2020)</w:t>
      </w:r>
      <w:r>
        <w:fldChar w:fldCharType="end"/>
      </w:r>
    </w:p>
    <w:p w14:paraId="4CDDE9D7" w14:textId="2E094F63" w:rsidR="00704123" w:rsidRDefault="00704123" w:rsidP="00704123">
      <w:r>
        <w:t xml:space="preserve">Look out for the next </w:t>
      </w:r>
      <w:r>
        <w:t>EBAME Workshop on Computational</w:t>
      </w:r>
      <w:r>
        <w:t xml:space="preserve"> </w:t>
      </w:r>
      <w:r>
        <w:t xml:space="preserve">Microbial </w:t>
      </w:r>
      <w:proofErr w:type="spellStart"/>
      <w:r>
        <w:t>Ecogenomics</w:t>
      </w:r>
      <w:proofErr w:type="spellEnd"/>
      <w:r>
        <w:t xml:space="preserve"> by the guys who build </w:t>
      </w:r>
      <w:proofErr w:type="spellStart"/>
      <w:r>
        <w:t>Anvi’o</w:t>
      </w:r>
      <w:proofErr w:type="spellEnd"/>
    </w:p>
    <w:p w14:paraId="36374FA0" w14:textId="02F66B9F" w:rsidR="00E37CE2" w:rsidRDefault="00E37CE2" w:rsidP="00704123"/>
    <w:p w14:paraId="428B529B" w14:textId="7C1299AB" w:rsidR="00E37CE2" w:rsidRDefault="00E37CE2" w:rsidP="00704123">
      <w:r>
        <w:t>Other metagenomics</w:t>
      </w:r>
      <w:r w:rsidR="00953A45">
        <w:t>/dormancy</w:t>
      </w:r>
      <w:r>
        <w:t xml:space="preserve"> papers:</w:t>
      </w:r>
    </w:p>
    <w:p w14:paraId="029B57C9" w14:textId="1278C1FF" w:rsidR="00E37CE2" w:rsidRDefault="00E37CE2" w:rsidP="00704123">
      <w:r>
        <w:lastRenderedPageBreak/>
        <w:t>A lab in the field: applications of real-time, in situ metagenomic sequencing</w:t>
      </w:r>
      <w:r>
        <w:t xml:space="preserve"> </w:t>
      </w:r>
      <w:r>
        <w:fldChar w:fldCharType="begin" w:fldLock="1"/>
      </w:r>
      <w:r w:rsidR="00953A45">
        <w:instrText>ADDIN CSL_CITATION {"citationItems":[{"id":"ITEM-1","itemData":{"DOI":"10.1093/biomethods/bpaa016","ISSN":"2396-8923","abstract":"High-throughput metagenomic sequencing is considered one of the main technologies fostering the development of microbial ecology. Widely used second-generation sequencers have enabled the analysis of extremely diverse microbial communities, the discovery of novel gene functions, and the comprehension of the metabolic interconnections established among microbial consortia. However, the high cost of the sequencers and the complexity of library preparation and sequencing protocols still hamper the application of metagenomic sequencing in a vast range of real-life applications. In this context, the emergence of portable, third-generation sequencers is becoming a popular alternative for the rapid analysis of microbial communities in particular scenarios, due to their low cost, simplicity of operation, and rapid yield of results. This review discusses the main applications of real-time, in situ metagenomic sequencing developed to date, highlighting the relevance of this technology in current challenges (such as the management of global pathogen outbreaks) and in the next future of industry and clinical diagnosis.","author":[{"dropping-particle":"","family":"Latorre-Pérez","given":"Adriel","non-dropping-particle":"","parse-names":false,"suffix":""},{"dropping-particle":"","family":"Pascual","given":"Javier","non-dropping-particle":"","parse-names":false,"suffix":""},{"dropping-particle":"","family":"Porcar","given":"Manuel","non-dropping-particle":"","parse-names":false,"suffix":""},{"dropping-particle":"","family":"Vilanova","given":"Cristina","non-dropping-particle":"","parse-names":false,"suffix":""}],"container-title":"Biology Methods and Protocols","id":"ITEM-1","issue":"1","issued":{"date-parts":[["2020"]]},"page":"1-11","title":"A lab in the field: applications of real-time, in situ metagenomic sequencing","type":"article-journal","volume":"5"},"uris":["http://www.mendeley.com/documents/?uuid=9d9477ef-e3dd-4f22-9576-f036b87c476e"]}],"mendeley":{"formattedCitation":"(Latorre-Pérez, Pascual, Porcar, &amp; Vilanova, 2020)","plainTextFormattedCitation":"(Latorre-Pérez, Pascual, Porcar, &amp; Vilanova, 2020)","previouslyFormattedCitation":"(Latorre-Pérez, Pascual, Porcar, &amp; Vilanova, 2020)"},"properties":{"noteIndex":0},"schema":"https://github.com/citation-style-language/schema/raw/master/csl-citation.json"}</w:instrText>
      </w:r>
      <w:r>
        <w:fldChar w:fldCharType="separate"/>
      </w:r>
      <w:r w:rsidRPr="00E37CE2">
        <w:rPr>
          <w:noProof/>
        </w:rPr>
        <w:t>(Latorre-Pérez, Pascual, Porcar, &amp; Vilanova, 2020)</w:t>
      </w:r>
      <w:r>
        <w:fldChar w:fldCharType="end"/>
      </w:r>
    </w:p>
    <w:p w14:paraId="58CF6CF6" w14:textId="2B917CE6" w:rsidR="00953A45" w:rsidRDefault="00953A45" w:rsidP="00704123">
      <w:r w:rsidRPr="00953A45">
        <w:t>Metagenome-assembled genome distribution and key functionality highlight importance of aerobic metabolism in Svalbard permafrost</w:t>
      </w:r>
      <w:r>
        <w:t xml:space="preserve"> </w:t>
      </w:r>
      <w:r>
        <w:fldChar w:fldCharType="begin" w:fldLock="1"/>
      </w:r>
      <w:r>
        <w:instrText>ADDIN CSL_CITATION {"citationItems":[{"id":"ITEM-1","itemData":{"DOI":"10.1093/femsec/fiaa057","ISBN":"0000000175","ISSN":"15746941","PMID":"32301987","abstract":"Permafrost underlies a large portion of the land in the Northern Hemisphere. It is proposed to be an extreme habitat and home for cold-adaptive microbial communities. Upon thaw permafrost is predicted to exacerbate increasing global temperature trend, where awakening microbes decompose millennia old carbon stocks. Yet our knowledge on composition, functional potential and variance of permafrost microbiome remains limited. In this study, we conducted a deep comparative metagenomic analysis through a 2 m permafrost core from Svalbard, Norway to determine key permafrost microbiome in this climate sensitive island ecosystem. To do so, we developed comparative metagenomics methods on metagenomic-assembled genomes (MAG). We found that community composition in Svalbard soil horizons shifted markedly with depth: The dominant phylum switched from Acidobacteria and Proteobacteria in top soils (active layer) to Actinobacteria, Bacteroidetes, Chloroflexi and Proteobacteria in permafrost layers. Key metabolic potential propagated through permafrost depths revealed aerobic respiration and soil organic matter decomposition as key metabolic traits. We also found that Svalbard MAGs were enriched in genes involved in regulation of ammonium, sulfur and phosphate. Here, we provide a new perspective on how permafrost microbiome is shaped to acquire resources in competitive and limited resource conditions of deep Svalbard soils.","author":[{"dropping-particle":"","family":"Xue","given":"Yaxin","non-dropping-particle":"","parse-names":false,"suffix":""},{"dropping-particle":"","family":"Jonassen","given":"Inge","non-dropping-particle":"","parse-names":false,"suffix":""},{"dropping-particle":"","family":"Øvreås","given":"Lise","non-dropping-particle":"","parse-names":false,"suffix":""},{"dropping-particle":"","family":"Taş","given":"Neslihan","non-dropping-particle":"","parse-names":false,"suffix":""}],"container-title":"FEMS Microbiology Ecology","id":"ITEM-1","issue":"5","issued":{"date-parts":[["2020"]]},"page":"1-13","title":"Metagenome-assembled genome distribution and key functionality highlight importance of aerobic metabolism in Svalbard permafrost","type":"article-journal","volume":"96"},"uris":["http://www.mendeley.com/documents/?uuid=0a7f986b-f8f9-4506-97dd-ce7b25cc4792"]}],"mendeley":{"formattedCitation":"(Xue, Jonassen, Øvreås, &amp; Taş, 2020)","plainTextFormattedCitation":"(Xue, Jonassen, Øvreås, &amp; Taş, 2020)","previouslyFormattedCitation":"(Xue, Jonassen, Øvreås, &amp; Taş, 2020)"},"properties":{"noteIndex":0},"schema":"https://github.com/citation-style-language/schema/raw/master/csl-citation.json"}</w:instrText>
      </w:r>
      <w:r>
        <w:fldChar w:fldCharType="separate"/>
      </w:r>
      <w:r w:rsidRPr="00953A45">
        <w:rPr>
          <w:noProof/>
        </w:rPr>
        <w:t>(Xue, Jonassen, Øvreås, &amp; Taş, 2020)</w:t>
      </w:r>
      <w:r>
        <w:fldChar w:fldCharType="end"/>
      </w:r>
    </w:p>
    <w:p w14:paraId="07714160" w14:textId="4159492E" w:rsidR="00953A45" w:rsidRDefault="00953A45" w:rsidP="00704123">
      <w:r>
        <w:t>Microbial survival strategies in ancient permafrost: Insights from metagenomics</w:t>
      </w:r>
      <w:r>
        <w:t xml:space="preserve"> </w:t>
      </w:r>
      <w:r>
        <w:fldChar w:fldCharType="begin" w:fldLock="1"/>
      </w:r>
      <w:r>
        <w:instrText>ADDIN CSL_CITATION {"citationItems":[{"id":"ITEM-1","itemData":{"DOI":"10.1038/ismej.2017.93","ISSN":"17517370","PMID":"28696425","abstract":"In permafrost (perennially frozen ground) microbes survive oligotrophic conditions, sub-zero temperatures, low water availability and high salinity over millennia. Viable life exists in permafrost tens of thousands of years old but we know little about the metabolic and physiological adaptations to the challenges presented by life in frozen ground over geologic time. In this study we asked whether increasing age and the associated stressors drive adaptive changes in community composition and function. We conducted deep metagenomic and 16 S rRNA gene sequencing across a Pleistocene permafrost chronosequence from 19 000 to 33 000 years before present (kyr). We found that age markedly affected community composition and reduced diversity. Reconstruction of paleovegetation from metagenomic sequence suggests vegetation differences in the paleo record are not responsible for shifts in community composition and function. Rather, we observed shifts consistent with long-term survival strategies in extreme cryogenic environments. These include increased reliance on scavenging detrital biomass, horizontal gene transfer, chemotaxis, dormancy, environmental sensing and stress response. Our results identify traits that may enable survival in ancient cryoenvironments with no influx of energy or new materials.","author":[{"dropping-particle":"","family":"MacKelprang","given":"Rachel","non-dropping-particle":"","parse-names":false,"suffix":""},{"dropping-particle":"","family":"Burkert","given":"Alexander","non-dropping-particle":"","parse-names":false,"suffix":""},{"dropping-particle":"","family":"Haw","given":"Monica","non-dropping-particle":"","parse-names":false,"suffix":""},{"dropping-particle":"","family":"Mahendrarajah","given":"Tara","non-dropping-particle":"","parse-names":false,"suffix":""},{"dropping-particle":"","family":"Conaway","given":"Christopher H.","non-dropping-particle":"","parse-names":false,"suffix":""},{"dropping-particle":"","family":"Douglas","given":"Thomas A.","non-dropping-particle":"","parse-names":false,"suffix":""},{"dropping-particle":"","family":"Waldrop","given":"Mark P.","non-dropping-particle":"","parse-names":false,"suffix":""}],"container-title":"ISME Journal","id":"ITEM-1","issue":"10","issued":{"date-parts":[["2017"]]},"page":"2305-2318","publisher":"Nature Publishing Group","title":"Microbial survival strategies in ancient permafrost: Insights from metagenomics","type":"article-journal","volume":"11"},"uris":["http://www.mendeley.com/documents/?uuid=915c9bbd-d737-4cec-8690-19ff0acb6981"]}],"mendeley":{"formattedCitation":"(MacKelprang et al., 2017)","plainTextFormattedCitation":"(MacKelprang et al., 2017)","previouslyFormattedCitation":"(MacKelprang et al., 2017)"},"properties":{"noteIndex":0},"schema":"https://github.com/citation-style-language/schema/raw/master/csl-citation.json"}</w:instrText>
      </w:r>
      <w:r>
        <w:fldChar w:fldCharType="separate"/>
      </w:r>
      <w:r w:rsidRPr="00953A45">
        <w:rPr>
          <w:noProof/>
        </w:rPr>
        <w:t>(MacKelprang et al., 2017)</w:t>
      </w:r>
      <w:r>
        <w:fldChar w:fldCharType="end"/>
      </w:r>
    </w:p>
    <w:p w14:paraId="4DC42A03" w14:textId="25C31DE0" w:rsidR="00953A45" w:rsidRDefault="00953A45" w:rsidP="00704123">
      <w:r>
        <w:t>Hypersaline Lake Environments Exhibit Reduced Microbial Dormancy</w:t>
      </w:r>
      <w:r>
        <w:t xml:space="preserve"> </w:t>
      </w:r>
      <w:r>
        <w:fldChar w:fldCharType="begin" w:fldLock="1"/>
      </w:r>
      <w:r>
        <w:instrText>ADDIN CSL_CITATION {"citationItems":[{"id":"ITEM-1","itemData":{"author":[{"dropping-particle":"","family":"Vert","given":"Joshua Christopher","non-dropping-particle":"","parse-names":false,"suffix":""}],"id":"ITEM-1","issued":{"date-parts":[["2013"]]},"title":"Hypersaline Lake Environments Exhibit Reduced Microbial Dormancy","type":"thesis"},"uris":["http://www.mendeley.com/documents/?uuid=53bcd7f9-4284-451c-8fef-5b9a691bce82"]}],"mendeley":{"formattedCitation":"(Vert, 2013)","plainTextFormattedCitation":"(Vert, 2013)","previouslyFormattedCitation":"(Vert, 2013)"},"properties":{"noteIndex":0},"schema":"https://github.com/citation-style-language/schema/raw/master/csl-citation.json"}</w:instrText>
      </w:r>
      <w:r>
        <w:fldChar w:fldCharType="separate"/>
      </w:r>
      <w:r w:rsidRPr="00953A45">
        <w:rPr>
          <w:noProof/>
        </w:rPr>
        <w:t>(Vert, 2013)</w:t>
      </w:r>
      <w:r>
        <w:fldChar w:fldCharType="end"/>
      </w:r>
    </w:p>
    <w:p w14:paraId="1E13BC8C" w14:textId="709E2B35" w:rsidR="00953A45" w:rsidRDefault="00953A45" w:rsidP="00704123">
      <w:r>
        <w:t>Bacterial dormancy is more prevalent in freshwater than hypersaline lakes</w:t>
      </w:r>
      <w:r>
        <w:t xml:space="preserve">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953A45">
        <w:rPr>
          <w:noProof/>
        </w:rPr>
        <w:t>(Aanderud et al., 2016)</w:t>
      </w:r>
      <w:r>
        <w:fldChar w:fldCharType="end"/>
      </w:r>
    </w:p>
    <w:p w14:paraId="7EEC7448" w14:textId="73B2CDA9" w:rsidR="00953A45" w:rsidRDefault="00953A45" w:rsidP="00704123">
      <w:r>
        <w:t>Metagenomic analysis of buffalo rumen microbiome: Effect of roughage diet on Dormancy and Sporulation genes</w:t>
      </w:r>
      <w:r>
        <w:t xml:space="preserve"> </w:t>
      </w:r>
      <w:r>
        <w:fldChar w:fldCharType="begin" w:fldLock="1"/>
      </w:r>
      <w:r>
        <w:instrText>ADDIN CSL_CITATION {"citationItems":[{"id":"ITEM-1","itemData":{"DOI":"10.1016/j.mgene.2014.01.005","ISSN":"22145400","abstract":"Buffalo rumen microbiome experiences a variety of diet stress and represents reservoir of Dormancy and Sporulation genes. However, the information on genomic responses to such conditions is very limited. The Ion Torrent PGM next generation sequencing technology was used to characterize general microbial diversity and the repertoire of microbial genes present, including genes associatedwithDormancy and Sporulation in Mehsani buffalo rumen metagenome. The research findings revealed the abundance of bacteria at the domain level and presence of Dormancy and Sporulation genes which were predominantly associated with the Clostridia and Bacilli taxa belonging to the phyla Firmicutes. Genes associated with Sporulation cluster and Sporulation orphans were increased from 50% to 100% roughage treatment, thereby promoting sporulation all along the treatments. The spore germination is observed to be the highest in the 75% roughage treatment both in the liquid and solid rumen fraction samples with respect to the decrease in the values of the genes associated with spore core dehydration, thereby facilitating spore core hydration which is necessary for spore germination. © 2014 The Authors.","author":[{"dropping-particle":"","family":"Singh","given":"K. M.","non-dropping-particle":"","parse-names":false,"suffix":""},{"dropping-particle":"","family":"Reddy","given":"B.","non-dropping-particle":"","parse-names":false,"suffix":""},{"dropping-particle":"","family":"Patel","given":"A. K.","non-dropping-particle":"","parse-names":false,"suffix":""},{"dropping-particle":"","family":"Panchasara","given":"H.","non-dropping-particle":"","parse-names":false,"suffix":""},{"dropping-particle":"","family":"Parmar","given":"N.","non-dropping-particle":"","parse-names":false,"suffix":""},{"dropping-particle":"","family":"Patel","given":"A. B.","non-dropping-particle":"","parse-names":false,"suffix":""},{"dropping-particle":"","family":"Shah","given":"T. M.","non-dropping-particle":"","parse-names":false,"suffix":""},{"dropping-particle":"","family":"Bhatt","given":"V. D.","non-dropping-particle":"","parse-names":false,"suffix":""},{"dropping-particle":"","family":"Joshi","given":"C. G.","non-dropping-particle":"","parse-names":false,"suffix":""}],"container-title":"Meta Gene","id":"ITEM-1","issue":"1","issued":{"date-parts":[["2014"]]},"page":"252-268","publisher":"The Authors","title":"Metagenomic analysis of buffalo rumen microbiome: Effect of roughage diet on Dormancy and Sporulation genes","type":"article-journal","volume":"2"},"uris":["http://www.mendeley.com/documents/?uuid=f2284795-a06c-46be-8ad2-67c1bef5e495"]}],"mendeley":{"formattedCitation":"(Singh et al., 2014)","plainTextFormattedCitation":"(Singh et al., 2014)","previouslyFormattedCitation":"(Singh et al., 2014)"},"properties":{"noteIndex":0},"schema":"https://github.com/citation-style-language/schema/raw/master/csl-citation.json"}</w:instrText>
      </w:r>
      <w:r>
        <w:fldChar w:fldCharType="separate"/>
      </w:r>
      <w:r w:rsidRPr="00953A45">
        <w:rPr>
          <w:noProof/>
        </w:rPr>
        <w:t>(Singh et al., 2014)</w:t>
      </w:r>
      <w:r>
        <w:fldChar w:fldCharType="end"/>
      </w:r>
    </w:p>
    <w:p w14:paraId="5E809746" w14:textId="5EB35002" w:rsidR="00953A45" w:rsidRDefault="00953A45" w:rsidP="00704123">
      <w:r>
        <w:t>Cross-biome metagenomic analyses of soil microbial communities and their functional attributes</w:t>
      </w:r>
      <w:r>
        <w:t xml:space="preserve"> </w:t>
      </w:r>
      <w:r>
        <w:fldChar w:fldCharType="begin" w:fldLock="1"/>
      </w:r>
      <w:r>
        <w:instrText>ADDIN CSL_CITATION {"citationItems":[{"id":"ITEM-1","itemData":{"DOI":"10.1073/pnas.1215210110","ISSN":"00278424","PMID":"23236140","abstract":"For centuries ecologists have studied how the diversity and functional traits of plant and animal communities vary across biomes. In contrast, we have only just begun exploring similar questions for soil microbial communities despite soil microbes being the dominant engines of biogeochemical cycles and a major pool of living biomass in terrestrial ecosystems. We used metagenomic sequencing to compare the composition and functional attributes of 16 soil microbial communities collected from cold deserts, hot deserts, forests, grasslands, and tundra. Those communities found in plant-free cold desert soils typically had the lowest levels of functional diversity (diversity of protein-coding gene categories) and the lowest levels of phylogenetic and taxonomic diversity. Across all soils, functional beta diversity was strongly correlated with taxonomic and phylogenetic beta diversity; the desert microbial communities were clearly distinct from the nondesert communities regardless of the metric used. The desert communities had higher relative abundances of genes associated with osmoregulation and dormancy, but lower relative abundances of genes associated with nutrient cycling and the catabolism of plant-derived organic compounds. Antibiotic resistance genes were consistently threefold less abundant in the desert soils than in the nondesert soils, suggesting that abiotic conditions, not competitive interactions, are more important in shaping the desert microbial communities. As the most comprehensive survey of soil taxonomic, phylogenetic, and functional diversity to date, this study demonstrates that metagenomic approaches can be used to build a predictive understanding of how microbial diversity and function vary across terrestrial biomes.","author":[{"dropping-particle":"","family":"Fierer","given":"Noah","non-dropping-particle":"","parse-names":false,"suffix":""},{"dropping-particle":"","family":"Leff","given":"Jonathan W.","non-dropping-particle":"","parse-names":false,"suffix":""},{"dropping-particle":"","family":"Adams","given":"Byron J.","non-dropping-particle":"","parse-names":false,"suffix":""},{"dropping-particle":"","family":"Nielsen","given":"Uffe N.","non-dropping-particle":"","parse-names":false,"suffix":""},{"dropping-particle":"","family":"Bates","given":"Scott Thomas","non-dropping-particle":"","parse-names":false,"suffix":""},{"dropping-particle":"","family":"Lauber","given":"Christian L.","non-dropping-particle":"","parse-names":false,"suffix":""},{"dropping-particle":"","family":"Owens","given":"Sarah","non-dropping-particle":"","parse-names":false,"suffix":""},{"dropping-particle":"","family":"Gilbert","given":"Jack A.","non-dropping-particle":"","parse-names":false,"suffix":""},{"dropping-particle":"","family":"Wall","given":"Diana H.","non-dropping-particle":"","parse-names":false,"suffix":""},{"dropping-particle":"","family":"Caporaso","given":"J. Gregory","non-dropping-particle":"","parse-names":false,"suffix":""}],"container-title":"Proceedings of the National Academy of Sciences of the United States of America","id":"ITEM-1","issue":"52","issued":{"date-parts":[["2012"]]},"page":"21390-21395","title":"Cross-biome metagenomic analyses of soil microbial communities and their functional attributes","type":"article-journal","volume":"109"},"uris":["http://www.mendeley.com/documents/?uuid=be4e264e-5539-426a-8788-36318f36373b"]}],"mendeley":{"formattedCitation":"(Fierer et al., 2012)","plainTextFormattedCitation":"(Fierer et al., 2012)","previouslyFormattedCitation":"(Fierer et al., 2012)"},"properties":{"noteIndex":0},"schema":"https://github.com/citation-style-language/schema/raw/master/csl-citation.json"}</w:instrText>
      </w:r>
      <w:r>
        <w:fldChar w:fldCharType="separate"/>
      </w:r>
      <w:r w:rsidRPr="00953A45">
        <w:rPr>
          <w:noProof/>
        </w:rPr>
        <w:t>(Fierer et al., 2012)</w:t>
      </w:r>
      <w:r>
        <w:fldChar w:fldCharType="end"/>
      </w:r>
    </w:p>
    <w:p w14:paraId="20115690" w14:textId="44EFB255" w:rsidR="00953A45" w:rsidRDefault="00953A45" w:rsidP="00704123">
      <w:proofErr w:type="spellStart"/>
      <w:r>
        <w:t>Metatranscriptomic</w:t>
      </w:r>
      <w:proofErr w:type="spellEnd"/>
      <w:r>
        <w:t xml:space="preserve"> analysis reveals active microbes and genes responded to short-term Cr(VI) stress</w:t>
      </w:r>
      <w:r>
        <w:t xml:space="preserve"> </w:t>
      </w:r>
      <w:r>
        <w:fldChar w:fldCharType="begin" w:fldLock="1"/>
      </w:r>
      <w:r>
        <w:instrText>ADDIN CSL_CITATION {"citationItems":[{"id":"ITEM-1","itemData":{"DOI":"10.1007/s10646-020-02290-5","ISBN":"1064602002","ISSN":"15733017","abstract":"Heavy metals have been severely polluting the environment. However, the response mechanism of microbial communities to short-term heavy metals stress remains unclear. In this study, metagenomics (MG) and metatranscriptomics (MT) was performed to observe the microbial response to short-term Cr(VI) stress. MG data showed that 99.1% of species were similar in the control and Cr(VI) treated groups. However, MT data demonstrated that 83% of the microbes were active in which 58.7% increased, while the relative abundance of 41.3% decreased after short-term Cr(VI) incubation. The MT results also revealed 9% of microbes were dormant in samples. Genes associated with oxidative stress, Cr(VI) transport, resistance, and reduction, as well as genes with unknown functions were 2–10 times upregulated after Cr(VI) treatment. To further confirm the function of unknown genes, two genes (314 and 494) were selected to detect the Cr(VI) resistance and reduction ability. The results showed that these genes significantly increased the Cr(VI) remediation ability of Escherichia coli. MT results also revealed an increase in the expression of some rare genera (at least two times) after Cr(VI) treatment, indicating these rare species played a crucial role in microbial response to short-term Cr(VI) stress. In summary, MT is an efficient way to understand the role of active and dormant microbes in specific environmental conditions.","author":[{"dropping-particle":"","family":"Yu","given":"Zhengsheng","non-dropping-particle":"","parse-names":false,"suffix":""},{"dropping-particle":"","family":"Pei","given":"Yaxin","non-dropping-particle":"","parse-names":false,"suffix":""},{"dropping-particle":"","family":"Zhao","given":"Shuai","non-dropping-particle":"","parse-names":false,"suffix":""},{"dropping-particle":"","family":"Kakade","given":"Apurva","non-dropping-particle":"","parse-names":false,"suffix":""},{"dropping-particle":"","family":"Khan","given":"Aman","non-dropping-particle":"","parse-names":false,"suffix":""},{"dropping-particle":"","family":"Sharma","given":"Monika","non-dropping-particle":"","parse-names":false,"suffix":""},{"dropping-particle":"","family":"Zain","given":"Hajira","non-dropping-particle":"","parse-names":false,"suffix":""},{"dropping-particle":"","family":"Feng","given":"Pengya","non-dropping-particle":"","parse-names":false,"suffix":""},{"dropping-particle":"","family":"Ji","given":"Jing","non-dropping-particle":"","parse-names":false,"suffix":""},{"dropping-particle":"","family":"Zhou","given":"Tuoyu","non-dropping-particle":"","parse-names":false,"suffix":""},{"dropping-particle":"","family":"Wang","given":"Haoyang","non-dropping-particle":"","parse-names":false,"suffix":""},{"dropping-particle":"","family":"Wu","given":"Jingyuan","non-dropping-particle":"","parse-names":false,"suffix":""},{"dropping-particle":"","family":"Li","given":"Xiangkai","non-dropping-particle":"","parse-names":false,"suffix":""}],"container-title":"Ecotoxicology","id":"ITEM-1","issue":"Vi","issued":{"date-parts":[["2020"]]},"publisher":"Springer US","title":"Metatranscriptomic analysis reveals active microbes and genes responded to short-term Cr(VI) stress","type":"article-journal"},"uris":["http://www.mendeley.com/documents/?uuid=3e5006b3-7ad7-4b99-b8ca-201acb67ea77"]}],"mendeley":{"formattedCitation":"(Yu et al., 2020)","plainTextFormattedCitation":"(Yu et al., 2020)","previouslyFormattedCitation":"(Yu et al., 2020)"},"properties":{"noteIndex":0},"schema":"https://github.com/citation-style-language/schema/raw/master/csl-citation.json"}</w:instrText>
      </w:r>
      <w:r>
        <w:fldChar w:fldCharType="separate"/>
      </w:r>
      <w:r w:rsidRPr="00953A45">
        <w:rPr>
          <w:noProof/>
        </w:rPr>
        <w:t>(Yu et al., 2020)</w:t>
      </w:r>
      <w:r>
        <w:fldChar w:fldCharType="end"/>
      </w:r>
    </w:p>
    <w:p w14:paraId="699D8EB5" w14:textId="3A736A13" w:rsidR="00953A45" w:rsidRDefault="00953A45" w:rsidP="00704123">
      <w:r>
        <w:t>Microbial community analysis using high-throughput sequencing technology: a beginner’s guide for microbiologists</w:t>
      </w:r>
      <w:r>
        <w:t xml:space="preserve"> </w:t>
      </w:r>
      <w:r>
        <w:fldChar w:fldCharType="begin" w:fldLock="1"/>
      </w:r>
      <w:r>
        <w:instrText>ADDIN CSL_CITATION {"citationItems":[{"id":"ITEM-1","itemData":{"DOI":"10.1007/s12275-020-9525-5","ISBN":"1227502095","ISSN":"19763794","PMID":"32108314","abstract":"Microbial communities present in diverse environments from deep seas to human body niches play significant roles in the complex ecosystem and human health. Characterizing their structural and functional diversities is indispensable, and many approaches, such as microscopic observation, DNA fingerprinting, and PCR-based marker gene analysis, have been successfully applied to identify microorganisms. Since the revolutionary improvement of DNA sequencing technologies, direct and high-throughput analysis of genomic DNA from a whole environmental community without prior cultivation has become the mainstream approach, overcoming the constraints of the classical approaches. Here, we first briefly review the history of environmental DNA analysis applications with a focus on profiling the taxonomic composition and functional potentials of microbial communities. To this end, we aim to introduce the shotgun metagenomic sequencing (SMS) approach, which is used for the untargeted (“shotgun”) sequencing of all (“meta”) microbial genomes (“genomic”) present in a sample. SMS data analyses are performed in silico using various software programs; however, in silico analysis is typically regarded as a burden on wet-lab experimental microbiologists. Therefore, in this review, we present microbiologists who are unfamiliar with in silico analyses with a basic and practical SMS data analysis protocol. This protocol covers all the bioinformatics processes of the SMS analysis in terms of data preprocessing, taxonomic profiling, functional annotation, and visualization.","author":[{"dropping-particle":"","family":"Jo","given":"Jihoon","non-dropping-particle":"","parse-names":false,"suffix":""},{"dropping-particle":"","family":"Oh","given":"Jooseong","non-dropping-particle":"","parse-names":false,"suffix":""},{"dropping-particle":"","family":"Park","given":"Chungoo","non-dropping-particle":"","parse-names":false,"suffix":""}],"container-title":"Journal of Microbiology","id":"ITEM-1","issue":"3","issued":{"date-parts":[["2020"]]},"page":"176-192","title":"Microbial community analysis using high-throughput sequencing technology: a beginner’s guide for microbiologists","type":"article-journal","volume":"58"},"uris":["http://www.mendeley.com/documents/?uuid=6360cf58-4e60-4411-bb61-1ca929275509"]}],"mendeley":{"formattedCitation":"(Jo, Oh, &amp; Park, 2020)","plainTextFormattedCitation":"(Jo, Oh, &amp; Park, 2020)","previouslyFormattedCitation":"(Jo, Oh, &amp; Park, 2020)"},"properties":{"noteIndex":0},"schema":"https://github.com/citation-style-language/schema/raw/master/csl-citation.json"}</w:instrText>
      </w:r>
      <w:r>
        <w:fldChar w:fldCharType="separate"/>
      </w:r>
      <w:r w:rsidRPr="00953A45">
        <w:rPr>
          <w:noProof/>
        </w:rPr>
        <w:t>(Jo, Oh, &amp; Park, 2020)</w:t>
      </w:r>
      <w:r>
        <w:fldChar w:fldCharType="end"/>
      </w:r>
    </w:p>
    <w:p w14:paraId="78B92C45" w14:textId="0B4F44E7" w:rsidR="005943BF" w:rsidRDefault="005943BF" w:rsidP="00704123">
      <w:r w:rsidRPr="005943BF">
        <w:t>Microbial seed banks: the ecological and evolutionary implications of dormancy</w:t>
      </w:r>
      <w:r>
        <w:t xml:space="preserve"> </w:t>
      </w:r>
      <w:r>
        <w:fldChar w:fldCharType="begin" w:fldLock="1"/>
      </w:r>
      <w:r w:rsidR="00E52E3F">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fldChar w:fldCharType="separate"/>
      </w:r>
      <w:r w:rsidRPr="005943BF">
        <w:rPr>
          <w:noProof/>
        </w:rPr>
        <w:t>(Lennon &amp; Jones, 2011)</w:t>
      </w:r>
      <w:r>
        <w:fldChar w:fldCharType="end"/>
      </w:r>
    </w:p>
    <w:p w14:paraId="2979A6C0" w14:textId="440B8817" w:rsidR="00E52E3F" w:rsidRDefault="00E52E3F" w:rsidP="00704123">
      <w:r>
        <w:t>Seeing the forest for the genes: Using metagenomics to infer the aggregated traits of microbial communities</w:t>
      </w:r>
      <w:r>
        <w:t xml:space="preserve"> </w:t>
      </w:r>
      <w:r>
        <w:fldChar w:fldCharType="begin" w:fldLock="1"/>
      </w:r>
      <w:r w:rsidR="00E5037B">
        <w:instrText>ADDIN CSL_CITATION {"citationItems":[{"id":"ITEM-1","itemData":{"DOI":"10.3389/fmicb.2014.00614","ISSN":"1664302X","abstract":"Most environments harbor large numbers of microbial taxa with ecologies that remain poorly described and characterizing the functional capabilities of whole communities remains a key challenge in microbial ecology. Shotgun metagenomic analyses are increasingly recognized as a powerful tool to understand community-level attributes. However, much of this data is under-utilized due, in part, to a lack of conceptual strategies for linking the metagenomic data to the most relevant community-level characteristics. Microbial ecologists could benefit by borrowing the concept of community-aggregated traits (CATs) from plant ecologists to glean more insight from the ever-increasing amount of metagenomic data being generated. CATs can be used to quantify the mean and variance of functional traits found in a given community. A CAT-based strategy will often yield far more useful information for predicting the functional attributes of diverse microbial communities and changes in those attributes than the more commonly used analytical strategies. A more careful consideration of what CATs to measure and how they can be quantified from metagenomic data, will help build a more integrated understanding of complex microbial communities.","author":[{"dropping-particle":"","family":"Fierer","given":"Noah","non-dropping-particle":"","parse-names":false,"suffix":""},{"dropping-particle":"","family":"Barberán","given":"Albert","non-dropping-particle":"","parse-names":false,"suffix":""},{"dropping-particle":"","family":"Laughlin","given":"Daniel C.","non-dropping-particle":"","parse-names":false,"suffix":""}],"container-title":"Frontiers in Microbiology","id":"ITEM-1","issue":"NOV","issued":{"date-parts":[["2014"]]},"page":"1-6","title":"Seeing the forest for the genes: Using metagenomics to infer the aggregated traits of microbial communities","type":"article-journal","volume":"5"},"uris":["http://www.mendeley.com/documents/?uuid=1c6e1d65-ad5f-49b3-9231-917fe4914dbb"]}],"mendeley":{"formattedCitation":"(Fierer, Barberán, &amp; Laughlin, 2014)","plainTextFormattedCitation":"(Fierer, Barberán, &amp; Laughlin, 2014)","previouslyFormattedCitation":"(Fierer, Barberán, &amp; Laughlin, 2014)"},"properties":{"noteIndex":0},"schema":"https://github.com/citation-style-language/schema/raw/master/csl-citation.json"}</w:instrText>
      </w:r>
      <w:r>
        <w:fldChar w:fldCharType="separate"/>
      </w:r>
      <w:r w:rsidRPr="00E52E3F">
        <w:rPr>
          <w:noProof/>
        </w:rPr>
        <w:t>(Fierer, Barberán, &amp; Laughlin, 2014)</w:t>
      </w:r>
      <w:r>
        <w:fldChar w:fldCharType="end"/>
      </w:r>
    </w:p>
    <w:p w14:paraId="0970B21A" w14:textId="5C4A79FB" w:rsidR="00FC0D8E" w:rsidRDefault="00FC0D8E" w:rsidP="00704123">
      <w:r>
        <w:t>Drivers shaping the diversity and biogeography of total and active bacterial communities in the South China Sea</w:t>
      </w:r>
      <w:r>
        <w:t xml:space="preserve"> </w:t>
      </w:r>
      <w:r>
        <w:fldChar w:fldCharType="begin" w:fldLock="1"/>
      </w:r>
      <w:r w:rsidR="00B14D3C">
        <w:instrText>ADDIN CSL_CITATION {"citationItems":[{"id":"ITEM-1","itemData":{"DOI":"10.1111/mec.12739","ISSN":"1365294X","PMID":"24684298","abstract":"To test the hypothesis that different drivers shape the diversity and biogeography of the total and active bacterial community, we examined the bacterial community composition along two transects, one from the inner Pearl River estuary to the open waters of the South China Sea (SCS) and the other from the Luzon Strait to the SCS basin, using 454 pyrosequencing of the 16S rRNA and 16S rRNA gene (V1-3 regions) and thereby characterizing the active and total bacterial community, respectively. The diversity and biogeographic patterns differed substantially between the active and total bacterial communities. Although the composition of both the total and active bacterial community was strongly correlated with environmental factors and weakly correlated with geographic distance, the active bacterial community displayed higher environmental sensitivity than the total community and particularly a greater distance effect largely caused by the active assemblage from deep waters. The 16S rRNA vs. rDNA relationships indicated that the active bacteria were low in relative abundance in the SCS. This might be due to a high competition between active bacterial taxa as indicated by our community network models. Based on these analyses, we speculate that high competition could cause some dispersal limitation of the active bacterial community resulting in a distinct distance-decay relationship. Altogether, our results indicated that the biogeographic distribution of bacteria in the SCS is the result of both environmental control and distance decay. © 2014 The Authors. Molecular Ecology Published by John Wiley &amp; Sons Ltd.","author":[{"dropping-particle":"","family":"Zhang","given":"Yao","non-dropping-particle":"","parse-names":false,"suffix":""},{"dropping-particle":"","family":"Zhao","given":"Zihao","non-dropping-particle":"","parse-names":false,"suffix":""},{"dropping-particle":"","family":"Dai","given":"Minhan","non-dropping-particle":"","parse-names":false,"suffix":""},{"dropping-particle":"","family":"Jiao","given":"Nianzhi","non-dropping-particle":"","parse-names":false,"suffix":""},{"dropping-particle":"","family":"Herndl","given":"Gerhard J.","non-dropping-particle":"","parse-names":false,"suffix":""}],"container-title":"Molecular Ecology","id":"ITEM-1","issue":"9","issued":{"date-parts":[["2014"]]},"page":"2260-2274","title":"Drivers shaping the diversity and biogeography of total and active bacterial communities in the South China Sea","type":"article-journal","volume":"23"},"uris":["http://www.mendeley.com/documents/?uuid=c89ee646-7dd8-4b6a-a9b4-540bc0d5b52e"]}],"mendeley":{"formattedCitation":"(Zhang, Zhao, Dai, Jiao, &amp; Herndl, 2014)","plainTextFormattedCitation":"(Zhang, Zhao, Dai, Jiao, &amp; Herndl, 2014)","previouslyFormattedCitation":"(Zhang, Zhao, Dai, Jiao, &amp; Herndl, 2014)"},"properties":{"noteIndex":0},"schema":"https://github.com/citation-style-language/schema/raw/master/csl-citation.json"}</w:instrText>
      </w:r>
      <w:r>
        <w:fldChar w:fldCharType="separate"/>
      </w:r>
      <w:r w:rsidRPr="00FC0D8E">
        <w:rPr>
          <w:noProof/>
        </w:rPr>
        <w:t>(Zhang, Zhao, Dai, Jiao, &amp; Herndl, 2014)</w:t>
      </w:r>
      <w:r>
        <w:fldChar w:fldCharType="end"/>
      </w:r>
    </w:p>
    <w:p w14:paraId="6A05230F" w14:textId="5ADEBB9C" w:rsidR="00B14D3C" w:rsidRDefault="00B14D3C" w:rsidP="00704123">
      <w:r>
        <w:t>Comparison of DNA-, PMA-, and RNA-based 16S rRNA Illumina sequencing for detection of live bacteria in water</w:t>
      </w:r>
      <w:r>
        <w:t xml:space="preserve"> </w:t>
      </w:r>
      <w:r>
        <w:fldChar w:fldCharType="begin" w:fldLock="1"/>
      </w:r>
      <w:r>
        <w:instrText>ADDIN CSL_CITATION {"citationItems":[{"id":"ITEM-1","itemData":{"DOI":"10.1038/s41598-017-02516-3","ISSN":"20452322","PMID":"28720878","abstract":"The limitation of 16S rRNA gene sequencing (DNA-based) for microbial community analyses in water is the inability to differentiate live (dormant cells as well as growing or non-growing metabolically active cells) and dead cells, which can lead to false positive results in the absence of live microbes. Propidium-monoazide (PMA) has been used to selectively remove DNA from dead cells during downstream sequencing process. In comparison, 16S rRNA sequencing (RNA-based) can target live microbial cells in water as both dormant and metabolically active cells produce rRNA. The objective of this study was to compare the efficiency and sensitivity of DNA-based, PMA-based and RNA-based 16S rRNA Illumina sequencing methodologies for live bacteria detection in water samples experimentally spiked with different combination of bacteria (2 gram-negative and 2 gram-positive/acid fast species either all live, all dead, or combinations of live and dead species) or obtained from different sources (First Nation community drinking water; city of Winnipeg tap water; water from Red River, Manitoba, Canada). The RNA-based method, while was superior for detection of live bacterial cells still identified a number of 16S rRNA targets in samples spiked with dead cells. In environmental water samples, the DNA-and PMA-based approaches perhaps overestimated the richness of microbial community compared to RNA-based method. Our results suggest that the RNA-based sequencing was superior to DNA-and PMA-based methods in detecting live bacterial cells in water.","author":[{"dropping-particle":"","family":"Li","given":"Ru","non-dropping-particle":"","parse-names":false,"suffix":""},{"dropping-particle":"","family":"Tun","given":"Hein Min","non-dropping-particle":"","parse-names":false,"suffix":""},{"dropping-particle":"","family":"Jahan","given":"Musarrat","non-dropping-particle":"","parse-names":false,"suffix":""},{"dropping-particle":"","family":"Zhang","given":"Zhengxiao","non-dropping-particle":"","parse-names":false,"suffix":""},{"dropping-particle":"","family":"Kumar","given":"Ayush","non-dropping-particle":"","parse-names":false,"suffix":""},{"dropping-particle":"","family":"Fernando","given":"Dilantha","non-dropping-particle":"","parse-names":false,"suffix":""},{"dropping-particle":"","family":"Farenhorst","given":"Annemieke","non-dropping-particle":"","parse-names":false,"suffix":""},{"dropping-particle":"","family":"Khafipour","given":"Ehsan","non-dropping-particle":"","parse-names":false,"suffix":""}],"container-title":"Scientific Reports","id":"ITEM-1","issue":"1","issued":{"date-parts":[["2017"]]},"page":"1-11","title":"Comparison of DNA-, PMA-, and RNA-based 16S rRNA Illumina sequencing for detection of live bacteria in water","type":"article-journal","volume":"7"},"uris":["http://www.mendeley.com/documents/?uuid=4251b5ce-9d3c-48a1-9fb5-43c727de86ca"]}],"mendeley":{"formattedCitation":"(R. Li et al., 2017)","plainTextFormattedCitation":"(R. Li et al., 2017)"},"properties":{"noteIndex":0},"schema":"https://github.com/citation-style-language/schema/raw/master/csl-citation.json"}</w:instrText>
      </w:r>
      <w:r>
        <w:fldChar w:fldCharType="separate"/>
      </w:r>
      <w:r w:rsidRPr="00B14D3C">
        <w:rPr>
          <w:noProof/>
        </w:rPr>
        <w:t>(R. Li et al., 2017)</w:t>
      </w:r>
      <w:r>
        <w:fldChar w:fldCharType="end"/>
      </w:r>
      <w:bookmarkStart w:id="0" w:name="_GoBack"/>
      <w:bookmarkEnd w:id="0"/>
    </w:p>
    <w:p w14:paraId="48CB0508" w14:textId="2F8CEF81" w:rsidR="00953A45" w:rsidRDefault="00953A45" w:rsidP="00704123"/>
    <w:p w14:paraId="4CCCFB68" w14:textId="2EA609DA" w:rsidR="00953A45" w:rsidRDefault="00953A45" w:rsidP="00704123">
      <w:r>
        <w:t>Assembly/Network analysis:</w:t>
      </w:r>
    </w:p>
    <w:p w14:paraId="32D4AD30" w14:textId="39B137EA" w:rsidR="00953A45" w:rsidRDefault="00953A45" w:rsidP="00704123">
      <w:r w:rsidRPr="00953A45">
        <w:t>Ecological insights into assembly processes and network structures of bacterial biofilms in full-scale biologically active carbon filters under ozone implementation</w:t>
      </w:r>
      <w:r>
        <w:t xml:space="preserve"> </w:t>
      </w:r>
      <w:r>
        <w:fldChar w:fldCharType="begin" w:fldLock="1"/>
      </w:r>
      <w:r w:rsidR="00B14D3C">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 Li et al., 2021)","plainTextFormattedCitation":"(L. Li et al., 2021)","previouslyFormattedCitation":"(Li et al., 2021)"},"properties":{"noteIndex":0},"schema":"https://github.com/citation-style-language/schema/raw/master/csl-citation.json"}</w:instrText>
      </w:r>
      <w:r>
        <w:fldChar w:fldCharType="separate"/>
      </w:r>
      <w:r w:rsidR="00B14D3C" w:rsidRPr="00B14D3C">
        <w:rPr>
          <w:noProof/>
        </w:rPr>
        <w:t>(L. Li et al., 2021)</w:t>
      </w:r>
      <w:r>
        <w:fldChar w:fldCharType="end"/>
      </w:r>
    </w:p>
    <w:p w14:paraId="2C51E01C" w14:textId="77777777" w:rsidR="003E04D9" w:rsidRDefault="003E04D9" w:rsidP="003E04D9"/>
    <w:p w14:paraId="76CFBABB" w14:textId="72056157" w:rsidR="000F0BC1" w:rsidRDefault="000F0BC1" w:rsidP="000F0BC1">
      <w:r>
        <w:t>Literature Investigation</w:t>
      </w:r>
    </w:p>
    <w:p w14:paraId="1A3B96DD" w14:textId="77777777" w:rsidR="000F0BC1" w:rsidRDefault="000F0BC1" w:rsidP="000F0BC1">
      <w:pPr>
        <w:pStyle w:val="ListParagraph"/>
        <w:numPr>
          <w:ilvl w:val="0"/>
          <w:numId w:val="2"/>
        </w:numPr>
      </w:pPr>
      <w:r>
        <w:t>Collect cryoconite physiochemical and sequencing data from previous studies.</w:t>
      </w:r>
    </w:p>
    <w:p w14:paraId="7B176ABB" w14:textId="77777777" w:rsidR="000F0BC1" w:rsidRDefault="000F0BC1" w:rsidP="000F0BC1">
      <w:pPr>
        <w:pStyle w:val="ListParagraph"/>
        <w:numPr>
          <w:ilvl w:val="0"/>
          <w:numId w:val="2"/>
        </w:numPr>
      </w:pPr>
      <w:r>
        <w:t>Look for evidence of ISAR and DDR in prokaryotic communities (see Darcy et al., 2018)</w:t>
      </w:r>
    </w:p>
    <w:p w14:paraId="4C668EF4" w14:textId="77777777" w:rsidR="000F0BC1" w:rsidRDefault="000F0BC1" w:rsidP="000F0BC1">
      <w:pPr>
        <w:pStyle w:val="ListParagraph"/>
        <w:numPr>
          <w:ilvl w:val="0"/>
          <w:numId w:val="2"/>
        </w:numPr>
      </w:pPr>
      <w:r>
        <w:t xml:space="preserve">Investigate community assembly mechanisms using statistical, phylogenetic and null model analyses (see Cheng </w:t>
      </w:r>
      <w:r w:rsidRPr="000F0BC1">
        <w:rPr>
          <w:i/>
        </w:rPr>
        <w:t>et al.,</w:t>
      </w:r>
      <w:r>
        <w:t xml:space="preserve"> 2021; Le </w:t>
      </w:r>
      <w:proofErr w:type="spellStart"/>
      <w:r>
        <w:t>Moigne</w:t>
      </w:r>
      <w:proofErr w:type="spellEnd"/>
      <w:r>
        <w:t xml:space="preserve"> </w:t>
      </w:r>
      <w:r w:rsidRPr="000F0BC1">
        <w:rPr>
          <w:i/>
        </w:rPr>
        <w:t>et al.,</w:t>
      </w:r>
      <w:r>
        <w:t xml:space="preserve"> 2020; Gu </w:t>
      </w:r>
      <w:r w:rsidRPr="000F0BC1">
        <w:rPr>
          <w:i/>
        </w:rPr>
        <w:t>et al.,</w:t>
      </w:r>
      <w:r>
        <w:t xml:space="preserve"> 2020)</w:t>
      </w:r>
    </w:p>
    <w:p w14:paraId="15870CC5" w14:textId="77777777" w:rsidR="000F0BC1" w:rsidRDefault="000F0BC1" w:rsidP="000F0BC1">
      <w:pPr>
        <w:pStyle w:val="ListParagraph"/>
        <w:numPr>
          <w:ilvl w:val="0"/>
          <w:numId w:val="2"/>
        </w:numPr>
      </w:pPr>
      <w:r>
        <w:t>Conduct network analysis of communities (see Gokul et al., 2016)</w:t>
      </w:r>
    </w:p>
    <w:p w14:paraId="7901AB25" w14:textId="77777777" w:rsidR="000F0BC1" w:rsidRDefault="000F0BC1" w:rsidP="000F0BC1"/>
    <w:p w14:paraId="500F9284" w14:textId="77777777" w:rsidR="000F0BC1" w:rsidRDefault="000F0BC1" w:rsidP="000F0BC1">
      <w:r>
        <w:t>Laboratory Investigation</w:t>
      </w:r>
    </w:p>
    <w:p w14:paraId="0074B756" w14:textId="77777777" w:rsidR="000F0BC1" w:rsidRDefault="000F0BC1" w:rsidP="000F0BC1">
      <w:pPr>
        <w:pStyle w:val="ListParagraph"/>
        <w:numPr>
          <w:ilvl w:val="0"/>
          <w:numId w:val="3"/>
        </w:numPr>
      </w:pPr>
      <w:r>
        <w:t>Collect stored cryoconite samples.</w:t>
      </w:r>
    </w:p>
    <w:p w14:paraId="18AA0881" w14:textId="77777777" w:rsidR="000F0BC1" w:rsidRDefault="000F0BC1" w:rsidP="000F0BC1">
      <w:pPr>
        <w:pStyle w:val="ListParagraph"/>
        <w:numPr>
          <w:ilvl w:val="0"/>
          <w:numId w:val="3"/>
        </w:numPr>
      </w:pPr>
      <w:r>
        <w:t xml:space="preserve">Differentiate total and potentially active prokaryotic communities used rDNA-based and rRNA based approach or </w:t>
      </w:r>
      <w:r w:rsidRPr="000F0BC1">
        <w:t xml:space="preserve">BONCAT </w:t>
      </w:r>
      <w:r>
        <w:t xml:space="preserve">(see </w:t>
      </w:r>
      <w:proofErr w:type="spellStart"/>
      <w:r>
        <w:t>Klarenberg</w:t>
      </w:r>
      <w:proofErr w:type="spellEnd"/>
      <w:r>
        <w:t xml:space="preserve"> </w:t>
      </w:r>
      <w:r w:rsidRPr="000F0BC1">
        <w:rPr>
          <w:i/>
        </w:rPr>
        <w:t>et al.,</w:t>
      </w:r>
      <w:r>
        <w:t xml:space="preserve"> 2020; </w:t>
      </w:r>
      <w:proofErr w:type="spellStart"/>
      <w:r>
        <w:t>Lindivat</w:t>
      </w:r>
      <w:proofErr w:type="spellEnd"/>
      <w:r>
        <w:t xml:space="preserve"> </w:t>
      </w:r>
      <w:r w:rsidRPr="000F0BC1">
        <w:rPr>
          <w:i/>
        </w:rPr>
        <w:t>et al.,</w:t>
      </w:r>
      <w:r>
        <w:t xml:space="preserve"> 2020)</w:t>
      </w:r>
    </w:p>
    <w:p w14:paraId="4E15016C" w14:textId="77777777" w:rsidR="000F0BC1" w:rsidRDefault="000F0BC1" w:rsidP="000F0BC1">
      <w:pPr>
        <w:pStyle w:val="ListParagraph"/>
        <w:numPr>
          <w:ilvl w:val="0"/>
          <w:numId w:val="3"/>
        </w:numPr>
      </w:pPr>
      <w:r>
        <w:t>Look for evidence of ISAR and DDR in total and active prokaryotic communities (see Darcy et al., 2018)</w:t>
      </w:r>
    </w:p>
    <w:p w14:paraId="16E4794C" w14:textId="77777777" w:rsidR="000F0BC1" w:rsidRDefault="000F0BC1" w:rsidP="000F0BC1">
      <w:pPr>
        <w:pStyle w:val="ListParagraph"/>
        <w:numPr>
          <w:ilvl w:val="0"/>
          <w:numId w:val="3"/>
        </w:numPr>
      </w:pPr>
      <w:r>
        <w:lastRenderedPageBreak/>
        <w:t xml:space="preserve">Investigate community assembly mechanisms of total and active communities using statistical, phylogenetic and null model analyses (see Cheng </w:t>
      </w:r>
      <w:r w:rsidRPr="000F0BC1">
        <w:rPr>
          <w:i/>
        </w:rPr>
        <w:t>et al.,</w:t>
      </w:r>
      <w:r>
        <w:t xml:space="preserve"> 2021; Le </w:t>
      </w:r>
      <w:proofErr w:type="spellStart"/>
      <w:r>
        <w:t>Moigne</w:t>
      </w:r>
      <w:proofErr w:type="spellEnd"/>
      <w:r>
        <w:t xml:space="preserve"> </w:t>
      </w:r>
      <w:r w:rsidRPr="000F0BC1">
        <w:rPr>
          <w:i/>
        </w:rPr>
        <w:t>et al.,</w:t>
      </w:r>
      <w:r>
        <w:t xml:space="preserve"> 2020; Gu </w:t>
      </w:r>
      <w:r w:rsidRPr="000F0BC1">
        <w:rPr>
          <w:i/>
        </w:rPr>
        <w:t>et al.,</w:t>
      </w:r>
      <w:r>
        <w:t xml:space="preserve"> 2020)</w:t>
      </w:r>
    </w:p>
    <w:p w14:paraId="560E075D" w14:textId="1EFCBC3D" w:rsidR="000F0BC1" w:rsidRDefault="000F0BC1" w:rsidP="000F0BC1">
      <w:pPr>
        <w:pStyle w:val="ListParagraph"/>
        <w:numPr>
          <w:ilvl w:val="0"/>
          <w:numId w:val="3"/>
        </w:numPr>
      </w:pPr>
      <w:r>
        <w:t>Conduct network analysis of total and active communities (see Gokul et al., 2016)</w:t>
      </w:r>
    </w:p>
    <w:p w14:paraId="60CE2548" w14:textId="2BCE4D76" w:rsidR="00E5037B" w:rsidRDefault="00E5037B" w:rsidP="00E5037B"/>
    <w:p w14:paraId="247E7B31" w14:textId="77777777" w:rsidR="00E5037B" w:rsidRDefault="00E5037B" w:rsidP="00E5037B"/>
    <w:p w14:paraId="08C1A5D2" w14:textId="02FD13FB" w:rsidR="00B14D3C" w:rsidRPr="00B14D3C" w:rsidRDefault="00E5037B" w:rsidP="00B14D3C">
      <w:pPr>
        <w:widowControl w:val="0"/>
        <w:autoSpaceDE w:val="0"/>
        <w:autoSpaceDN w:val="0"/>
        <w:adjustRightInd w:val="0"/>
        <w:ind w:left="480" w:hanging="480"/>
        <w:rPr>
          <w:rFonts w:ascii="Calibri" w:hAnsi="Calibri" w:cs="Times New Roman"/>
          <w:noProof/>
          <w:lang w:val="en-US"/>
        </w:rPr>
      </w:pPr>
      <w:r>
        <w:fldChar w:fldCharType="begin" w:fldLock="1"/>
      </w:r>
      <w:r>
        <w:instrText xml:space="preserve">ADDIN Mendeley Bibliography CSL_BIBLIOGRAPHY </w:instrText>
      </w:r>
      <w:r>
        <w:fldChar w:fldCharType="separate"/>
      </w:r>
      <w:r w:rsidR="00B14D3C" w:rsidRPr="00B14D3C">
        <w:rPr>
          <w:rFonts w:ascii="Calibri" w:hAnsi="Calibri" w:cs="Times New Roman"/>
          <w:noProof/>
          <w:lang w:val="en-US"/>
        </w:rPr>
        <w:t xml:space="preserve">Aanderud, Z. T., Vert, J. C., Lennon, J. T., Magnusson, T. W., Breakwell, D. P., &amp; Harker, A. R. (2016). Bacterial dormancy is more prevalent in freshwater than hypersaline lakes. </w:t>
      </w:r>
      <w:r w:rsidR="00B14D3C" w:rsidRPr="00B14D3C">
        <w:rPr>
          <w:rFonts w:ascii="Calibri" w:hAnsi="Calibri" w:cs="Times New Roman"/>
          <w:i/>
          <w:iCs/>
          <w:noProof/>
          <w:lang w:val="en-US"/>
        </w:rPr>
        <w:t>Frontiers in Microbiology</w:t>
      </w:r>
      <w:r w:rsidR="00B14D3C" w:rsidRPr="00B14D3C">
        <w:rPr>
          <w:rFonts w:ascii="Calibri" w:hAnsi="Calibri" w:cs="Times New Roman"/>
          <w:noProof/>
          <w:lang w:val="en-US"/>
        </w:rPr>
        <w:t xml:space="preserve">, </w:t>
      </w:r>
      <w:r w:rsidR="00B14D3C" w:rsidRPr="00B14D3C">
        <w:rPr>
          <w:rFonts w:ascii="Calibri" w:hAnsi="Calibri" w:cs="Times New Roman"/>
          <w:i/>
          <w:iCs/>
          <w:noProof/>
          <w:lang w:val="en-US"/>
        </w:rPr>
        <w:t>7</w:t>
      </w:r>
      <w:r w:rsidR="00B14D3C" w:rsidRPr="00B14D3C">
        <w:rPr>
          <w:rFonts w:ascii="Calibri" w:hAnsi="Calibri" w:cs="Times New Roman"/>
          <w:noProof/>
          <w:lang w:val="en-US"/>
        </w:rPr>
        <w:t>(JUN), 1–13. https://doi.org/10.3389/fmicb.2016.00853</w:t>
      </w:r>
    </w:p>
    <w:p w14:paraId="08031D85"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Fierer, N., Barberán, A., &amp; Laughlin, D. C. (2014). Seeing the forest for the genes: Using metagenomics to infer the aggregated traits of microbial communities. </w:t>
      </w:r>
      <w:r w:rsidRPr="00B14D3C">
        <w:rPr>
          <w:rFonts w:ascii="Calibri" w:hAnsi="Calibri" w:cs="Times New Roman"/>
          <w:i/>
          <w:iCs/>
          <w:noProof/>
          <w:lang w:val="en-US"/>
        </w:rPr>
        <w:t>Frontiers in Microbiology</w:t>
      </w:r>
      <w:r w:rsidRPr="00B14D3C">
        <w:rPr>
          <w:rFonts w:ascii="Calibri" w:hAnsi="Calibri" w:cs="Times New Roman"/>
          <w:noProof/>
          <w:lang w:val="en-US"/>
        </w:rPr>
        <w:t xml:space="preserve">, </w:t>
      </w:r>
      <w:r w:rsidRPr="00B14D3C">
        <w:rPr>
          <w:rFonts w:ascii="Calibri" w:hAnsi="Calibri" w:cs="Times New Roman"/>
          <w:i/>
          <w:iCs/>
          <w:noProof/>
          <w:lang w:val="en-US"/>
        </w:rPr>
        <w:t>5</w:t>
      </w:r>
      <w:r w:rsidRPr="00B14D3C">
        <w:rPr>
          <w:rFonts w:ascii="Calibri" w:hAnsi="Calibri" w:cs="Times New Roman"/>
          <w:noProof/>
          <w:lang w:val="en-US"/>
        </w:rPr>
        <w:t>(NOV), 1–6. https://doi.org/10.3389/fmicb.2014.00614</w:t>
      </w:r>
    </w:p>
    <w:p w14:paraId="7A901B94"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Fierer, N., Leff, J. W., Adams, B. J., Nielsen, U. N., Bates, S. T., Lauber, C. L., … Caporaso, J. G. (2012). Cross-biome metagenomic analyses of soil microbial communities and their functional attributes. </w:t>
      </w:r>
      <w:r w:rsidRPr="00B14D3C">
        <w:rPr>
          <w:rFonts w:ascii="Calibri" w:hAnsi="Calibri" w:cs="Times New Roman"/>
          <w:i/>
          <w:iCs/>
          <w:noProof/>
          <w:lang w:val="en-US"/>
        </w:rPr>
        <w:t>Proceedings of the National Academy of Sciences of the United States of America</w:t>
      </w:r>
      <w:r w:rsidRPr="00B14D3C">
        <w:rPr>
          <w:rFonts w:ascii="Calibri" w:hAnsi="Calibri" w:cs="Times New Roman"/>
          <w:noProof/>
          <w:lang w:val="en-US"/>
        </w:rPr>
        <w:t xml:space="preserve">, </w:t>
      </w:r>
      <w:r w:rsidRPr="00B14D3C">
        <w:rPr>
          <w:rFonts w:ascii="Calibri" w:hAnsi="Calibri" w:cs="Times New Roman"/>
          <w:i/>
          <w:iCs/>
          <w:noProof/>
          <w:lang w:val="en-US"/>
        </w:rPr>
        <w:t>109</w:t>
      </w:r>
      <w:r w:rsidRPr="00B14D3C">
        <w:rPr>
          <w:rFonts w:ascii="Calibri" w:hAnsi="Calibri" w:cs="Times New Roman"/>
          <w:noProof/>
          <w:lang w:val="en-US"/>
        </w:rPr>
        <w:t>(52), 21390–21395. https://doi.org/10.1073/pnas.1215210110</w:t>
      </w:r>
    </w:p>
    <w:p w14:paraId="057EF9AD"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Jo, J., Oh, J., &amp; Park, C. (2020). Microbial community analysis using high-throughput sequencing technology: a beginner’s guide for microbiologists. </w:t>
      </w:r>
      <w:r w:rsidRPr="00B14D3C">
        <w:rPr>
          <w:rFonts w:ascii="Calibri" w:hAnsi="Calibri" w:cs="Times New Roman"/>
          <w:i/>
          <w:iCs/>
          <w:noProof/>
          <w:lang w:val="en-US"/>
        </w:rPr>
        <w:t>Journal of Microbiology</w:t>
      </w:r>
      <w:r w:rsidRPr="00B14D3C">
        <w:rPr>
          <w:rFonts w:ascii="Calibri" w:hAnsi="Calibri" w:cs="Times New Roman"/>
          <w:noProof/>
          <w:lang w:val="en-US"/>
        </w:rPr>
        <w:t xml:space="preserve">, </w:t>
      </w:r>
      <w:r w:rsidRPr="00B14D3C">
        <w:rPr>
          <w:rFonts w:ascii="Calibri" w:hAnsi="Calibri" w:cs="Times New Roman"/>
          <w:i/>
          <w:iCs/>
          <w:noProof/>
          <w:lang w:val="en-US"/>
        </w:rPr>
        <w:t>58</w:t>
      </w:r>
      <w:r w:rsidRPr="00B14D3C">
        <w:rPr>
          <w:rFonts w:ascii="Calibri" w:hAnsi="Calibri" w:cs="Times New Roman"/>
          <w:noProof/>
          <w:lang w:val="en-US"/>
        </w:rPr>
        <w:t>(3), 176–192. https://doi.org/10.1007/s12275-020-9525-5</w:t>
      </w:r>
    </w:p>
    <w:p w14:paraId="733D0D87"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Latorre-Pérez, A., Pascual, J., Porcar, M., &amp; Vilanova, C. (2020). A lab in the field: applications of real-time, in situ metagenomic sequencing. </w:t>
      </w:r>
      <w:r w:rsidRPr="00B14D3C">
        <w:rPr>
          <w:rFonts w:ascii="Calibri" w:hAnsi="Calibri" w:cs="Times New Roman"/>
          <w:i/>
          <w:iCs/>
          <w:noProof/>
          <w:lang w:val="en-US"/>
        </w:rPr>
        <w:t>Biology Methods and Protocols</w:t>
      </w:r>
      <w:r w:rsidRPr="00B14D3C">
        <w:rPr>
          <w:rFonts w:ascii="Calibri" w:hAnsi="Calibri" w:cs="Times New Roman"/>
          <w:noProof/>
          <w:lang w:val="en-US"/>
        </w:rPr>
        <w:t xml:space="preserve">, </w:t>
      </w:r>
      <w:r w:rsidRPr="00B14D3C">
        <w:rPr>
          <w:rFonts w:ascii="Calibri" w:hAnsi="Calibri" w:cs="Times New Roman"/>
          <w:i/>
          <w:iCs/>
          <w:noProof/>
          <w:lang w:val="en-US"/>
        </w:rPr>
        <w:t>5</w:t>
      </w:r>
      <w:r w:rsidRPr="00B14D3C">
        <w:rPr>
          <w:rFonts w:ascii="Calibri" w:hAnsi="Calibri" w:cs="Times New Roman"/>
          <w:noProof/>
          <w:lang w:val="en-US"/>
        </w:rPr>
        <w:t>(1), 1–11. https://doi.org/10.1093/biomethods/bpaa016</w:t>
      </w:r>
    </w:p>
    <w:p w14:paraId="083CF047"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Lennon, J. T., &amp; Jones, S. E. (2011). Microbial seed banks: The ecological and evolutionary implications of dormancy. </w:t>
      </w:r>
      <w:r w:rsidRPr="00B14D3C">
        <w:rPr>
          <w:rFonts w:ascii="Calibri" w:hAnsi="Calibri" w:cs="Times New Roman"/>
          <w:i/>
          <w:iCs/>
          <w:noProof/>
          <w:lang w:val="en-US"/>
        </w:rPr>
        <w:t>Nature Reviews Microbiology</w:t>
      </w:r>
      <w:r w:rsidRPr="00B14D3C">
        <w:rPr>
          <w:rFonts w:ascii="Calibri" w:hAnsi="Calibri" w:cs="Times New Roman"/>
          <w:noProof/>
          <w:lang w:val="en-US"/>
        </w:rPr>
        <w:t xml:space="preserve">, </w:t>
      </w:r>
      <w:r w:rsidRPr="00B14D3C">
        <w:rPr>
          <w:rFonts w:ascii="Calibri" w:hAnsi="Calibri" w:cs="Times New Roman"/>
          <w:i/>
          <w:iCs/>
          <w:noProof/>
          <w:lang w:val="en-US"/>
        </w:rPr>
        <w:t>9</w:t>
      </w:r>
      <w:r w:rsidRPr="00B14D3C">
        <w:rPr>
          <w:rFonts w:ascii="Calibri" w:hAnsi="Calibri" w:cs="Times New Roman"/>
          <w:noProof/>
          <w:lang w:val="en-US"/>
        </w:rPr>
        <w:t>(2), 119–130. https://doi.org/10.1038/nrmicro2504</w:t>
      </w:r>
    </w:p>
    <w:p w14:paraId="24DA8D91"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Li, L., Ning, D., Jeon, Y., Ryu, H., Santo Domingo, J. W., Kang, D. W., … Seo, Y. (2021). Ecological insights into assembly processes and network structures of bacterial biofilms in full-scale biologically active carbon filters under ozone implementation. </w:t>
      </w:r>
      <w:r w:rsidRPr="00B14D3C">
        <w:rPr>
          <w:rFonts w:ascii="Calibri" w:hAnsi="Calibri" w:cs="Times New Roman"/>
          <w:i/>
          <w:iCs/>
          <w:noProof/>
          <w:lang w:val="en-US"/>
        </w:rPr>
        <w:t>Science of the Total Environment</w:t>
      </w:r>
      <w:r w:rsidRPr="00B14D3C">
        <w:rPr>
          <w:rFonts w:ascii="Calibri" w:hAnsi="Calibri" w:cs="Times New Roman"/>
          <w:noProof/>
          <w:lang w:val="en-US"/>
        </w:rPr>
        <w:t xml:space="preserve">, </w:t>
      </w:r>
      <w:r w:rsidRPr="00B14D3C">
        <w:rPr>
          <w:rFonts w:ascii="Calibri" w:hAnsi="Calibri" w:cs="Times New Roman"/>
          <w:i/>
          <w:iCs/>
          <w:noProof/>
          <w:lang w:val="en-US"/>
        </w:rPr>
        <w:t>751</w:t>
      </w:r>
      <w:r w:rsidRPr="00B14D3C">
        <w:rPr>
          <w:rFonts w:ascii="Calibri" w:hAnsi="Calibri" w:cs="Times New Roman"/>
          <w:noProof/>
          <w:lang w:val="en-US"/>
        </w:rPr>
        <w:t>, 141409. https://doi.org/10.1016/j.scitotenv.2020.141409</w:t>
      </w:r>
    </w:p>
    <w:p w14:paraId="6F75A8DF"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Li, R., Tun, H. M., Jahan, M., Zhang, Z., Kumar, A., Fernando, D., … Khafipour, E. (2017). Comparison of DNA-, PMA-, and RNA-based 16S rRNA Illumina sequencing for detection of live bacteria in water. </w:t>
      </w:r>
      <w:r w:rsidRPr="00B14D3C">
        <w:rPr>
          <w:rFonts w:ascii="Calibri" w:hAnsi="Calibri" w:cs="Times New Roman"/>
          <w:i/>
          <w:iCs/>
          <w:noProof/>
          <w:lang w:val="en-US"/>
        </w:rPr>
        <w:t>Scientific Reports</w:t>
      </w:r>
      <w:r w:rsidRPr="00B14D3C">
        <w:rPr>
          <w:rFonts w:ascii="Calibri" w:hAnsi="Calibri" w:cs="Times New Roman"/>
          <w:noProof/>
          <w:lang w:val="en-US"/>
        </w:rPr>
        <w:t xml:space="preserve">, </w:t>
      </w:r>
      <w:r w:rsidRPr="00B14D3C">
        <w:rPr>
          <w:rFonts w:ascii="Calibri" w:hAnsi="Calibri" w:cs="Times New Roman"/>
          <w:i/>
          <w:iCs/>
          <w:noProof/>
          <w:lang w:val="en-US"/>
        </w:rPr>
        <w:t>7</w:t>
      </w:r>
      <w:r w:rsidRPr="00B14D3C">
        <w:rPr>
          <w:rFonts w:ascii="Calibri" w:hAnsi="Calibri" w:cs="Times New Roman"/>
          <w:noProof/>
          <w:lang w:val="en-US"/>
        </w:rPr>
        <w:t>(1), 1–11. https://doi.org/10.1038/s41598-017-02516-3</w:t>
      </w:r>
    </w:p>
    <w:p w14:paraId="0FDC71DE"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MacKelprang, R., Burkert, A., Haw, M., Mahendrarajah, T., Conaway, C. H., Douglas, T. A., &amp; Waldrop, M. P. (2017). Microbial survival strategies in ancient permafrost: Insights from metagenomics. </w:t>
      </w:r>
      <w:r w:rsidRPr="00B14D3C">
        <w:rPr>
          <w:rFonts w:ascii="Calibri" w:hAnsi="Calibri" w:cs="Times New Roman"/>
          <w:i/>
          <w:iCs/>
          <w:noProof/>
          <w:lang w:val="en-US"/>
        </w:rPr>
        <w:t>ISME Journal</w:t>
      </w:r>
      <w:r w:rsidRPr="00B14D3C">
        <w:rPr>
          <w:rFonts w:ascii="Calibri" w:hAnsi="Calibri" w:cs="Times New Roman"/>
          <w:noProof/>
          <w:lang w:val="en-US"/>
        </w:rPr>
        <w:t xml:space="preserve">, </w:t>
      </w:r>
      <w:r w:rsidRPr="00B14D3C">
        <w:rPr>
          <w:rFonts w:ascii="Calibri" w:hAnsi="Calibri" w:cs="Times New Roman"/>
          <w:i/>
          <w:iCs/>
          <w:noProof/>
          <w:lang w:val="en-US"/>
        </w:rPr>
        <w:t>11</w:t>
      </w:r>
      <w:r w:rsidRPr="00B14D3C">
        <w:rPr>
          <w:rFonts w:ascii="Calibri" w:hAnsi="Calibri" w:cs="Times New Roman"/>
          <w:noProof/>
          <w:lang w:val="en-US"/>
        </w:rPr>
        <w:t>(10), 2305–2318. https://doi.org/10.1038/ismej.2017.93</w:t>
      </w:r>
    </w:p>
    <w:p w14:paraId="1709190F"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Shaiber, A., Willis, A., Delmont, T., Roux, S., Chen, L.-X., Schmid, A., … Eren, A. M. (2020). </w:t>
      </w:r>
      <w:r w:rsidRPr="00B14D3C">
        <w:rPr>
          <w:rFonts w:ascii="Calibri" w:hAnsi="Calibri" w:cs="Times New Roman"/>
          <w:i/>
          <w:iCs/>
          <w:noProof/>
          <w:lang w:val="en-US"/>
        </w:rPr>
        <w:t>Functional and genetic markers of niche partitioning among enigmatic members of the human oral microbiome</w:t>
      </w:r>
      <w:r w:rsidRPr="00B14D3C">
        <w:rPr>
          <w:rFonts w:ascii="Calibri" w:hAnsi="Calibri" w:cs="Times New Roman"/>
          <w:noProof/>
          <w:lang w:val="en-US"/>
        </w:rPr>
        <w:t>. 1–35. https://doi.org/10.1101/2020.04.29.069278</w:t>
      </w:r>
    </w:p>
    <w:p w14:paraId="53130BE5"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Singh, K. M., Reddy, B., Patel, A. K., Panchasara, H., Parmar, N., Patel, A. B., … Joshi, C. G. (2014). Metagenomic analysis of buffalo rumen microbiome: Effect of roughage diet on Dormancy and Sporulation genes. </w:t>
      </w:r>
      <w:r w:rsidRPr="00B14D3C">
        <w:rPr>
          <w:rFonts w:ascii="Calibri" w:hAnsi="Calibri" w:cs="Times New Roman"/>
          <w:i/>
          <w:iCs/>
          <w:noProof/>
          <w:lang w:val="en-US"/>
        </w:rPr>
        <w:t>Meta Gene</w:t>
      </w:r>
      <w:r w:rsidRPr="00B14D3C">
        <w:rPr>
          <w:rFonts w:ascii="Calibri" w:hAnsi="Calibri" w:cs="Times New Roman"/>
          <w:noProof/>
          <w:lang w:val="en-US"/>
        </w:rPr>
        <w:t xml:space="preserve">, </w:t>
      </w:r>
      <w:r w:rsidRPr="00B14D3C">
        <w:rPr>
          <w:rFonts w:ascii="Calibri" w:hAnsi="Calibri" w:cs="Times New Roman"/>
          <w:i/>
          <w:iCs/>
          <w:noProof/>
          <w:lang w:val="en-US"/>
        </w:rPr>
        <w:t>2</w:t>
      </w:r>
      <w:r w:rsidRPr="00B14D3C">
        <w:rPr>
          <w:rFonts w:ascii="Calibri" w:hAnsi="Calibri" w:cs="Times New Roman"/>
          <w:noProof/>
          <w:lang w:val="en-US"/>
        </w:rPr>
        <w:t>(1), 252–268. https://doi.org/10.1016/j.mgene.2014.01.005</w:t>
      </w:r>
    </w:p>
    <w:p w14:paraId="1CBC39EB"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Steven, B., Hesse, C., Soghigian, J., Gallegos-Graves, L. V., &amp; Dunbar, J. (2017). Simulated rRNA/DNA ratios show potential to misclassify active populations as dormant. </w:t>
      </w:r>
      <w:r w:rsidRPr="00B14D3C">
        <w:rPr>
          <w:rFonts w:ascii="Calibri" w:hAnsi="Calibri" w:cs="Times New Roman"/>
          <w:i/>
          <w:iCs/>
          <w:noProof/>
          <w:lang w:val="en-US"/>
        </w:rPr>
        <w:t>Applied and Environmental Microbiology</w:t>
      </w:r>
      <w:r w:rsidRPr="00B14D3C">
        <w:rPr>
          <w:rFonts w:ascii="Calibri" w:hAnsi="Calibri" w:cs="Times New Roman"/>
          <w:noProof/>
          <w:lang w:val="en-US"/>
        </w:rPr>
        <w:t xml:space="preserve">, </w:t>
      </w:r>
      <w:r w:rsidRPr="00B14D3C">
        <w:rPr>
          <w:rFonts w:ascii="Calibri" w:hAnsi="Calibri" w:cs="Times New Roman"/>
          <w:i/>
          <w:iCs/>
          <w:noProof/>
          <w:lang w:val="en-US"/>
        </w:rPr>
        <w:t>83</w:t>
      </w:r>
      <w:r w:rsidRPr="00B14D3C">
        <w:rPr>
          <w:rFonts w:ascii="Calibri" w:hAnsi="Calibri" w:cs="Times New Roman"/>
          <w:noProof/>
          <w:lang w:val="en-US"/>
        </w:rPr>
        <w:t>(11), 1–11. https://doi.org/10.1128/AEM.00696-17</w:t>
      </w:r>
    </w:p>
    <w:p w14:paraId="7C06AB28"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lastRenderedPageBreak/>
        <w:t xml:space="preserve">Vert, J. C. (2013). </w:t>
      </w:r>
      <w:r w:rsidRPr="00B14D3C">
        <w:rPr>
          <w:rFonts w:ascii="Calibri" w:hAnsi="Calibri" w:cs="Times New Roman"/>
          <w:i/>
          <w:iCs/>
          <w:noProof/>
          <w:lang w:val="en-US"/>
        </w:rPr>
        <w:t>Hypersaline Lake Environments Exhibit Reduced Microbial Dormancy</w:t>
      </w:r>
      <w:r w:rsidRPr="00B14D3C">
        <w:rPr>
          <w:rFonts w:ascii="Calibri" w:hAnsi="Calibri" w:cs="Times New Roman"/>
          <w:noProof/>
          <w:lang w:val="en-US"/>
        </w:rPr>
        <w:t>.</w:t>
      </w:r>
    </w:p>
    <w:p w14:paraId="26E125FA"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Xue, Y., Jonassen, I., Øvreås, L., &amp; Taş, N. (2020). Metagenome-assembled genome distribution and key functionality highlight importance of aerobic metabolism in Svalbard permafrost. </w:t>
      </w:r>
      <w:r w:rsidRPr="00B14D3C">
        <w:rPr>
          <w:rFonts w:ascii="Calibri" w:hAnsi="Calibri" w:cs="Times New Roman"/>
          <w:i/>
          <w:iCs/>
          <w:noProof/>
          <w:lang w:val="en-US"/>
        </w:rPr>
        <w:t>FEMS Microbiology Ecology</w:t>
      </w:r>
      <w:r w:rsidRPr="00B14D3C">
        <w:rPr>
          <w:rFonts w:ascii="Calibri" w:hAnsi="Calibri" w:cs="Times New Roman"/>
          <w:noProof/>
          <w:lang w:val="en-US"/>
        </w:rPr>
        <w:t xml:space="preserve">, </w:t>
      </w:r>
      <w:r w:rsidRPr="00B14D3C">
        <w:rPr>
          <w:rFonts w:ascii="Calibri" w:hAnsi="Calibri" w:cs="Times New Roman"/>
          <w:i/>
          <w:iCs/>
          <w:noProof/>
          <w:lang w:val="en-US"/>
        </w:rPr>
        <w:t>96</w:t>
      </w:r>
      <w:r w:rsidRPr="00B14D3C">
        <w:rPr>
          <w:rFonts w:ascii="Calibri" w:hAnsi="Calibri" w:cs="Times New Roman"/>
          <w:noProof/>
          <w:lang w:val="en-US"/>
        </w:rPr>
        <w:t>(5), 1–13. https://doi.org/10.1093/femsec/fiaa057</w:t>
      </w:r>
    </w:p>
    <w:p w14:paraId="267AB8D2" w14:textId="77777777" w:rsidR="00B14D3C" w:rsidRPr="00B14D3C" w:rsidRDefault="00B14D3C" w:rsidP="00B14D3C">
      <w:pPr>
        <w:widowControl w:val="0"/>
        <w:autoSpaceDE w:val="0"/>
        <w:autoSpaceDN w:val="0"/>
        <w:adjustRightInd w:val="0"/>
        <w:ind w:left="480" w:hanging="480"/>
        <w:rPr>
          <w:rFonts w:ascii="Calibri" w:hAnsi="Calibri" w:cs="Times New Roman"/>
          <w:noProof/>
          <w:lang w:val="en-US"/>
        </w:rPr>
      </w:pPr>
      <w:r w:rsidRPr="00B14D3C">
        <w:rPr>
          <w:rFonts w:ascii="Calibri" w:hAnsi="Calibri" w:cs="Times New Roman"/>
          <w:noProof/>
          <w:lang w:val="en-US"/>
        </w:rPr>
        <w:t xml:space="preserve">Yu, Z., Pei, Y., Zhao, S., Kakade, A., Khan, A., Sharma, M., … Li, X. (2020). Metatranscriptomic analysis reveals active microbes and genes responded to short-term Cr(VI) stress. </w:t>
      </w:r>
      <w:r w:rsidRPr="00B14D3C">
        <w:rPr>
          <w:rFonts w:ascii="Calibri" w:hAnsi="Calibri" w:cs="Times New Roman"/>
          <w:i/>
          <w:iCs/>
          <w:noProof/>
          <w:lang w:val="en-US"/>
        </w:rPr>
        <w:t>Ecotoxicology</w:t>
      </w:r>
      <w:r w:rsidRPr="00B14D3C">
        <w:rPr>
          <w:rFonts w:ascii="Calibri" w:hAnsi="Calibri" w:cs="Times New Roman"/>
          <w:noProof/>
          <w:lang w:val="en-US"/>
        </w:rPr>
        <w:t>, (Vi). https://doi.org/10.1007/s10646-020-02290-5</w:t>
      </w:r>
    </w:p>
    <w:p w14:paraId="4D111154" w14:textId="77777777" w:rsidR="00B14D3C" w:rsidRPr="00B14D3C" w:rsidRDefault="00B14D3C" w:rsidP="00B14D3C">
      <w:pPr>
        <w:widowControl w:val="0"/>
        <w:autoSpaceDE w:val="0"/>
        <w:autoSpaceDN w:val="0"/>
        <w:adjustRightInd w:val="0"/>
        <w:ind w:left="480" w:hanging="480"/>
        <w:rPr>
          <w:rFonts w:ascii="Calibri" w:hAnsi="Calibri"/>
          <w:noProof/>
        </w:rPr>
      </w:pPr>
      <w:r w:rsidRPr="00B14D3C">
        <w:rPr>
          <w:rFonts w:ascii="Calibri" w:hAnsi="Calibri" w:cs="Times New Roman"/>
          <w:noProof/>
          <w:lang w:val="en-US"/>
        </w:rPr>
        <w:t xml:space="preserve">Zhang, Y., Zhao, Z., Dai, M., Jiao, N., &amp; Herndl, G. J. (2014). Drivers shaping the diversity and biogeography of total and active bacterial communities in the South China Sea. </w:t>
      </w:r>
      <w:r w:rsidRPr="00B14D3C">
        <w:rPr>
          <w:rFonts w:ascii="Calibri" w:hAnsi="Calibri" w:cs="Times New Roman"/>
          <w:i/>
          <w:iCs/>
          <w:noProof/>
          <w:lang w:val="en-US"/>
        </w:rPr>
        <w:t>Molecular Ecology</w:t>
      </w:r>
      <w:r w:rsidRPr="00B14D3C">
        <w:rPr>
          <w:rFonts w:ascii="Calibri" w:hAnsi="Calibri" w:cs="Times New Roman"/>
          <w:noProof/>
          <w:lang w:val="en-US"/>
        </w:rPr>
        <w:t xml:space="preserve">, </w:t>
      </w:r>
      <w:r w:rsidRPr="00B14D3C">
        <w:rPr>
          <w:rFonts w:ascii="Calibri" w:hAnsi="Calibri" w:cs="Times New Roman"/>
          <w:i/>
          <w:iCs/>
          <w:noProof/>
          <w:lang w:val="en-US"/>
        </w:rPr>
        <w:t>23</w:t>
      </w:r>
      <w:r w:rsidRPr="00B14D3C">
        <w:rPr>
          <w:rFonts w:ascii="Calibri" w:hAnsi="Calibri" w:cs="Times New Roman"/>
          <w:noProof/>
          <w:lang w:val="en-US"/>
        </w:rPr>
        <w:t>(9), 2260–2274. https://doi.org/10.1111/mec.12739</w:t>
      </w:r>
    </w:p>
    <w:p w14:paraId="47B14316" w14:textId="5EBAEE2A" w:rsidR="00E5037B" w:rsidRDefault="00E5037B" w:rsidP="00B14D3C">
      <w:pPr>
        <w:widowControl w:val="0"/>
        <w:autoSpaceDE w:val="0"/>
        <w:autoSpaceDN w:val="0"/>
        <w:adjustRightInd w:val="0"/>
        <w:ind w:left="480" w:hanging="480"/>
      </w:pPr>
      <w:r>
        <w:fldChar w:fldCharType="end"/>
      </w:r>
    </w:p>
    <w:p w14:paraId="18FE820C" w14:textId="77777777" w:rsidR="000F0BC1" w:rsidRDefault="000F0BC1" w:rsidP="000F0BC1"/>
    <w:p w14:paraId="7C498016" w14:textId="76DF6652" w:rsidR="000F0BC1" w:rsidRDefault="000F0BC1" w:rsidP="000F0BC1"/>
    <w:p w14:paraId="1FF34A13" w14:textId="77777777" w:rsidR="00230713" w:rsidRDefault="00230713"/>
    <w:sectPr w:rsidR="00230713"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75A5B"/>
    <w:multiLevelType w:val="hybridMultilevel"/>
    <w:tmpl w:val="42563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97438"/>
    <w:multiLevelType w:val="hybridMultilevel"/>
    <w:tmpl w:val="C532B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3D4202"/>
    <w:multiLevelType w:val="hybridMultilevel"/>
    <w:tmpl w:val="F5A08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8121D7"/>
    <w:multiLevelType w:val="hybridMultilevel"/>
    <w:tmpl w:val="D550D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13"/>
    <w:rsid w:val="000F0BC1"/>
    <w:rsid w:val="0019669E"/>
    <w:rsid w:val="001D7BAE"/>
    <w:rsid w:val="00230713"/>
    <w:rsid w:val="002F41BB"/>
    <w:rsid w:val="00301941"/>
    <w:rsid w:val="003E04D9"/>
    <w:rsid w:val="004A519B"/>
    <w:rsid w:val="00511661"/>
    <w:rsid w:val="005155B5"/>
    <w:rsid w:val="005943BF"/>
    <w:rsid w:val="006514BB"/>
    <w:rsid w:val="0070373E"/>
    <w:rsid w:val="00704123"/>
    <w:rsid w:val="007574D4"/>
    <w:rsid w:val="007877CC"/>
    <w:rsid w:val="007B60A6"/>
    <w:rsid w:val="008F6434"/>
    <w:rsid w:val="00953A45"/>
    <w:rsid w:val="00B14D3C"/>
    <w:rsid w:val="00BD440D"/>
    <w:rsid w:val="00BE2B46"/>
    <w:rsid w:val="00CB0B2E"/>
    <w:rsid w:val="00CB6126"/>
    <w:rsid w:val="00DB482F"/>
    <w:rsid w:val="00DC528E"/>
    <w:rsid w:val="00E37CE2"/>
    <w:rsid w:val="00E5037B"/>
    <w:rsid w:val="00E52E3F"/>
    <w:rsid w:val="00ED152C"/>
    <w:rsid w:val="00F67176"/>
    <w:rsid w:val="00FC0D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7A705"/>
  <w14:defaultImageDpi w14:val="32767"/>
  <w15:chartTrackingRefBased/>
  <w15:docId w15:val="{EBF51E25-291D-3C4C-A6D6-B4015B61E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B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891731">
      <w:bodyDiv w:val="1"/>
      <w:marLeft w:val="0"/>
      <w:marRight w:val="0"/>
      <w:marTop w:val="0"/>
      <w:marBottom w:val="0"/>
      <w:divBdr>
        <w:top w:val="none" w:sz="0" w:space="0" w:color="auto"/>
        <w:left w:val="none" w:sz="0" w:space="0" w:color="auto"/>
        <w:bottom w:val="none" w:sz="0" w:space="0" w:color="auto"/>
        <w:right w:val="none" w:sz="0" w:space="0" w:color="auto"/>
      </w:divBdr>
    </w:div>
    <w:div w:id="970328447">
      <w:bodyDiv w:val="1"/>
      <w:marLeft w:val="0"/>
      <w:marRight w:val="0"/>
      <w:marTop w:val="0"/>
      <w:marBottom w:val="0"/>
      <w:divBdr>
        <w:top w:val="none" w:sz="0" w:space="0" w:color="auto"/>
        <w:left w:val="none" w:sz="0" w:space="0" w:color="auto"/>
        <w:bottom w:val="none" w:sz="0" w:space="0" w:color="auto"/>
        <w:right w:val="none" w:sz="0" w:space="0" w:color="auto"/>
      </w:divBdr>
    </w:div>
    <w:div w:id="1324121035">
      <w:bodyDiv w:val="1"/>
      <w:marLeft w:val="0"/>
      <w:marRight w:val="0"/>
      <w:marTop w:val="0"/>
      <w:marBottom w:val="0"/>
      <w:divBdr>
        <w:top w:val="none" w:sz="0" w:space="0" w:color="auto"/>
        <w:left w:val="none" w:sz="0" w:space="0" w:color="auto"/>
        <w:bottom w:val="none" w:sz="0" w:space="0" w:color="auto"/>
        <w:right w:val="none" w:sz="0" w:space="0" w:color="auto"/>
      </w:divBdr>
    </w:div>
    <w:div w:id="1338508068">
      <w:bodyDiv w:val="1"/>
      <w:marLeft w:val="0"/>
      <w:marRight w:val="0"/>
      <w:marTop w:val="0"/>
      <w:marBottom w:val="0"/>
      <w:divBdr>
        <w:top w:val="none" w:sz="0" w:space="0" w:color="auto"/>
        <w:left w:val="none" w:sz="0" w:space="0" w:color="auto"/>
        <w:bottom w:val="none" w:sz="0" w:space="0" w:color="auto"/>
        <w:right w:val="none" w:sz="0" w:space="0" w:color="auto"/>
      </w:divBdr>
    </w:div>
    <w:div w:id="213706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C464D-F02E-504F-8126-5A437477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6472</Words>
  <Characters>49778</Characters>
  <Application>Microsoft Office Word</Application>
  <DocSecurity>0</DocSecurity>
  <Lines>754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11</cp:revision>
  <dcterms:created xsi:type="dcterms:W3CDTF">2021-01-07T14:06:00Z</dcterms:created>
  <dcterms:modified xsi:type="dcterms:W3CDTF">2021-01-10T10:37:00Z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