
<file path=[Content_Types].xml><?xml version="1.0" encoding="utf-8"?>
<Types xmlns="http://schemas.openxmlformats.org/package/2006/content-types">
  <Default Extension="png" ContentType="image/pn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41A6A2C1" w14:textId="6056D610" w:rsidR="00973D01" w:rsidRPr="00E1565B" w:rsidRDefault="008803AD" w:rsidP="00E1565B">
      <w:pPr>
        <w:jc w:val="center"/>
        <w:rPr>
          <w:sz w:val="36"/>
        </w:rPr>
      </w:pPr>
      <w:r w:rsidRPr="00E1565B">
        <w:rPr>
          <w:sz w:val="36"/>
        </w:rPr>
        <w:t xml:space="preserve">Year One </w:t>
      </w:r>
      <w:r w:rsidR="001A3A9B" w:rsidRPr="00E1565B">
        <w:rPr>
          <w:sz w:val="36"/>
        </w:rPr>
        <w:t xml:space="preserve">Progression </w:t>
      </w:r>
      <w:r w:rsidR="00973D01" w:rsidRPr="00E1565B">
        <w:rPr>
          <w:sz w:val="36"/>
        </w:rPr>
        <w:t>Report</w:t>
      </w:r>
      <w:r w:rsidRPr="00E1565B">
        <w:rPr>
          <w:sz w:val="36"/>
        </w:rPr>
        <w:t xml:space="preserve"> 2021</w:t>
      </w:r>
    </w:p>
    <w:p w14:paraId="443850C0" w14:textId="3F7EB49C" w:rsidR="008803AD" w:rsidRPr="00E1565B" w:rsidRDefault="008803AD" w:rsidP="00E1565B">
      <w:pPr>
        <w:jc w:val="center"/>
        <w:rPr>
          <w:sz w:val="36"/>
        </w:rPr>
      </w:pPr>
    </w:p>
    <w:p w14:paraId="7AE39CDC" w14:textId="37D6E14E" w:rsidR="008803AD" w:rsidRPr="00E1565B" w:rsidRDefault="008803AD" w:rsidP="00E1565B">
      <w:pPr>
        <w:jc w:val="center"/>
        <w:rPr>
          <w:sz w:val="36"/>
        </w:rPr>
      </w:pPr>
      <w:r w:rsidRPr="00E1565B">
        <w:rPr>
          <w:sz w:val="36"/>
        </w:rPr>
        <w:t>Amy Solman</w:t>
      </w:r>
    </w:p>
    <w:p w14:paraId="38F8A92E" w14:textId="4A7FB2F8" w:rsidR="00140D15" w:rsidRDefault="00140D15" w:rsidP="00140D15"/>
    <w:p w14:paraId="0639EF21" w14:textId="794EE9B7" w:rsidR="005D32D0" w:rsidRDefault="001A3A9B" w:rsidP="00776274">
      <w:pPr>
        <w:pStyle w:val="Heading1"/>
      </w:pPr>
      <w:r>
        <w:t>Method</w:t>
      </w:r>
    </w:p>
    <w:p w14:paraId="63690EAF" w14:textId="50653D7E" w:rsidR="00F60544" w:rsidRDefault="00F60544" w:rsidP="00F60544"/>
    <w:p w14:paraId="56F4F685" w14:textId="015EADE1" w:rsidR="00F60544" w:rsidRPr="00F60544" w:rsidRDefault="00F60544" w:rsidP="00F60544">
      <w:pPr>
        <w:pStyle w:val="Heading2"/>
      </w:pPr>
      <w:r>
        <w:t xml:space="preserve">1 Gantt Chat </w:t>
      </w:r>
    </w:p>
    <w:p w14:paraId="0D317D3B" w14:textId="26AEE5CB" w:rsidR="00B909DC" w:rsidRDefault="00B909DC" w:rsidP="00B909DC"/>
    <w:p w14:paraId="7BD36ECF" w14:textId="4A618573" w:rsidR="00F60544" w:rsidRDefault="00314DC3" w:rsidP="00F60544">
      <w:r w:rsidRPr="00314DC3">
        <w:drawing>
          <wp:inline distT="0" distB="0" distL="0" distR="0" wp14:anchorId="1A496C3D" wp14:editId="0269C05E">
            <wp:extent cx="5727700" cy="6726555"/>
            <wp:effectExtent l="0" t="0" r="0" b="444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727700" cy="6726555"/>
                    </a:xfrm>
                    <a:prstGeom prst="rect">
                      <a:avLst/>
                    </a:prstGeom>
                  </pic:spPr>
                </pic:pic>
              </a:graphicData>
            </a:graphic>
          </wp:inline>
        </w:drawing>
      </w:r>
    </w:p>
    <w:p w14:paraId="2B5711AC" w14:textId="464DCE26" w:rsidR="00AF7B37" w:rsidRDefault="00AF7B37" w:rsidP="00B909DC">
      <w:pPr>
        <w:pStyle w:val="Heading2"/>
        <w:rPr>
          <w:rFonts w:asciiTheme="minorHAnsi" w:eastAsiaTheme="minorHAnsi" w:hAnsiTheme="minorHAnsi" w:cstheme="minorBidi"/>
          <w:color w:val="auto"/>
          <w:sz w:val="24"/>
          <w:szCs w:val="24"/>
        </w:rPr>
      </w:pPr>
    </w:p>
    <w:p w14:paraId="31EA5967" w14:textId="0E941D7F" w:rsidR="00AF7B37" w:rsidRDefault="00AF7B37" w:rsidP="00AF7B37">
      <w:r>
        <w:t>Conferences:</w:t>
      </w:r>
    </w:p>
    <w:p w14:paraId="633C3999" w14:textId="187A7FB8" w:rsidR="00AF7B37" w:rsidRDefault="00AF7B37" w:rsidP="00AF7B37"/>
    <w:p w14:paraId="2E828738" w14:textId="443A99B1" w:rsidR="00AF7B37" w:rsidRDefault="008A44EA" w:rsidP="008A44EA">
      <w:pPr>
        <w:pStyle w:val="ListParagraph"/>
        <w:numPr>
          <w:ilvl w:val="0"/>
          <w:numId w:val="1"/>
        </w:numPr>
      </w:pPr>
      <w:r>
        <w:t>Arctic Science Summit Week (</w:t>
      </w:r>
      <w:r w:rsidR="00AF7B37">
        <w:t>ASSW</w:t>
      </w:r>
      <w:r>
        <w:t xml:space="preserve">) </w:t>
      </w:r>
      <w:r w:rsidR="00AF7B37">
        <w:t>2021 Science Symposium</w:t>
      </w:r>
      <w:r>
        <w:t xml:space="preserve"> 20</w:t>
      </w:r>
      <w:r w:rsidRPr="008A44EA">
        <w:rPr>
          <w:vertAlign w:val="superscript"/>
        </w:rPr>
        <w:t>th</w:t>
      </w:r>
      <w:r>
        <w:t>-26</w:t>
      </w:r>
      <w:r w:rsidRPr="008A44EA">
        <w:rPr>
          <w:vertAlign w:val="superscript"/>
        </w:rPr>
        <w:t>th</w:t>
      </w:r>
      <w:r>
        <w:t xml:space="preserve"> March 2021 (Online) – Early Bird registration January 2021 – 28</w:t>
      </w:r>
      <w:r w:rsidRPr="008A44EA">
        <w:rPr>
          <w:vertAlign w:val="superscript"/>
        </w:rPr>
        <w:t>th</w:t>
      </w:r>
      <w:r>
        <w:t xml:space="preserve"> February 2021 (registration not open as of 14</w:t>
      </w:r>
      <w:r w:rsidRPr="008A44EA">
        <w:rPr>
          <w:vertAlign w:val="superscript"/>
        </w:rPr>
        <w:t>th</w:t>
      </w:r>
      <w:r>
        <w:t xml:space="preserve"> January 2021)</w:t>
      </w:r>
    </w:p>
    <w:p w14:paraId="7CA55516" w14:textId="6C242E89" w:rsidR="00AF7B37" w:rsidRDefault="008A44EA" w:rsidP="008A44EA">
      <w:pPr>
        <w:pStyle w:val="ListParagraph"/>
        <w:numPr>
          <w:ilvl w:val="0"/>
          <w:numId w:val="1"/>
        </w:numPr>
      </w:pPr>
      <w:r w:rsidRPr="008A44EA">
        <w:t>Astrobiology Science Conference</w:t>
      </w:r>
      <w:r>
        <w:t xml:space="preserve"> (</w:t>
      </w:r>
      <w:proofErr w:type="spellStart"/>
      <w:r w:rsidR="00AF7B37">
        <w:t>AbSciCon</w:t>
      </w:r>
      <w:proofErr w:type="spellEnd"/>
      <w:r w:rsidR="00AF7B37">
        <w:t xml:space="preserve"> 2022</w:t>
      </w:r>
      <w:r>
        <w:t>) 15</w:t>
      </w:r>
      <w:r w:rsidRPr="008A44EA">
        <w:rPr>
          <w:vertAlign w:val="superscript"/>
        </w:rPr>
        <w:t>th</w:t>
      </w:r>
      <w:r>
        <w:t xml:space="preserve"> May-20</w:t>
      </w:r>
      <w:r w:rsidRPr="008A44EA">
        <w:rPr>
          <w:vertAlign w:val="superscript"/>
        </w:rPr>
        <w:t>th</w:t>
      </w:r>
      <w:r>
        <w:t xml:space="preserve"> May 2022, Atlanta GA, USA – Abstract submissions November 2021 - January 2022</w:t>
      </w:r>
      <w:r w:rsidR="00314DC3">
        <w:t xml:space="preserve">. No registration deadline given by likely April 2022. No registration costs given but likely $245 (£179) as per </w:t>
      </w:r>
      <w:proofErr w:type="spellStart"/>
      <w:r w:rsidR="00314DC3">
        <w:t>AbSciCon</w:t>
      </w:r>
      <w:proofErr w:type="spellEnd"/>
      <w:r w:rsidR="00314DC3">
        <w:t xml:space="preserve"> 2019. </w:t>
      </w:r>
      <w:r w:rsidR="00314DC3" w:rsidRPr="00314DC3">
        <w:rPr>
          <w:b/>
        </w:rPr>
        <w:t>Present metadata/archive results.</w:t>
      </w:r>
    </w:p>
    <w:p w14:paraId="3679EDC3" w14:textId="0E0CD474" w:rsidR="008A44EA" w:rsidRDefault="008A44EA" w:rsidP="008A44EA">
      <w:pPr>
        <w:pStyle w:val="ListParagraph"/>
        <w:numPr>
          <w:ilvl w:val="0"/>
          <w:numId w:val="1"/>
        </w:numPr>
      </w:pPr>
      <w:r>
        <w:t>Goldschmi</w:t>
      </w:r>
      <w:r>
        <w:t>d</w:t>
      </w:r>
      <w:r>
        <w:t>t Conference July 202</w:t>
      </w:r>
      <w:r>
        <w:t>2</w:t>
      </w:r>
      <w:r>
        <w:t xml:space="preserve">, </w:t>
      </w:r>
      <w:r>
        <w:t>Chicago, IL, USA</w:t>
      </w:r>
      <w:r>
        <w:t xml:space="preserve"> – Estimated abstract deadline February 202</w:t>
      </w:r>
      <w:r>
        <w:t>2</w:t>
      </w:r>
      <w:r>
        <w:t>. Estimated early bird registration deadline May 202</w:t>
      </w:r>
      <w:r>
        <w:t>2</w:t>
      </w:r>
      <w:r>
        <w:t>.</w:t>
      </w:r>
      <w:r>
        <w:t xml:space="preserve"> Non-member student fee approximately </w:t>
      </w:r>
      <w:r>
        <w:rPr>
          <w:rFonts w:ascii="Calibri" w:hAnsi="Calibri"/>
        </w:rPr>
        <w:t>£340.</w:t>
      </w:r>
      <w:r w:rsidR="00314DC3">
        <w:rPr>
          <w:rFonts w:ascii="Calibri" w:hAnsi="Calibri"/>
        </w:rPr>
        <w:t xml:space="preserve"> </w:t>
      </w:r>
      <w:r w:rsidR="00314DC3">
        <w:rPr>
          <w:b/>
        </w:rPr>
        <w:t xml:space="preserve">Present </w:t>
      </w:r>
      <w:r w:rsidR="00314DC3" w:rsidRPr="00314DC3">
        <w:rPr>
          <w:b/>
        </w:rPr>
        <w:t>metadata/archive</w:t>
      </w:r>
      <w:r w:rsidR="00314DC3">
        <w:rPr>
          <w:b/>
        </w:rPr>
        <w:t>/</w:t>
      </w:r>
      <w:bookmarkStart w:id="0" w:name="_GoBack"/>
      <w:bookmarkEnd w:id="0"/>
      <w:r w:rsidR="00314DC3">
        <w:rPr>
          <w:b/>
        </w:rPr>
        <w:t xml:space="preserve">spring </w:t>
      </w:r>
      <w:proofErr w:type="spellStart"/>
      <w:r w:rsidR="00314DC3">
        <w:rPr>
          <w:b/>
        </w:rPr>
        <w:t>Foxfonna</w:t>
      </w:r>
      <w:proofErr w:type="spellEnd"/>
      <w:r w:rsidR="00314DC3">
        <w:rPr>
          <w:b/>
        </w:rPr>
        <w:t xml:space="preserve"> results</w:t>
      </w:r>
    </w:p>
    <w:p w14:paraId="5EBF1B8B" w14:textId="3C4B649B" w:rsidR="00AF7B37" w:rsidRPr="00314DC3" w:rsidRDefault="008A44EA" w:rsidP="008A44EA">
      <w:pPr>
        <w:pStyle w:val="ListParagraph"/>
        <w:numPr>
          <w:ilvl w:val="0"/>
          <w:numId w:val="1"/>
        </w:numPr>
        <w:rPr>
          <w:rFonts w:ascii="Times New Roman" w:eastAsia="Times New Roman" w:hAnsi="Times New Roman" w:cs="Times New Roman"/>
        </w:rPr>
      </w:pPr>
      <w:r w:rsidRPr="008A44EA">
        <w:rPr>
          <w:rFonts w:eastAsia="Times New Roman" w:cs="Times New Roman"/>
        </w:rPr>
        <w:t>18th International Symposium on Microbial Ecology</w:t>
      </w:r>
      <w:r>
        <w:rPr>
          <w:rFonts w:ascii="Times New Roman" w:eastAsia="Times New Roman" w:hAnsi="Times New Roman" w:cs="Times New Roman"/>
        </w:rPr>
        <w:t xml:space="preserve"> (</w:t>
      </w:r>
      <w:r w:rsidR="00AF7B37">
        <w:t>ISME18</w:t>
      </w:r>
      <w:r>
        <w:t>)</w:t>
      </w:r>
      <w:r w:rsidR="00AF7B37">
        <w:t xml:space="preserve"> 2022</w:t>
      </w:r>
      <w:r w:rsidR="00E566E6">
        <w:t xml:space="preserve"> </w:t>
      </w:r>
      <w:r>
        <w:t>21</w:t>
      </w:r>
      <w:r w:rsidRPr="008A44EA">
        <w:rPr>
          <w:vertAlign w:val="superscript"/>
        </w:rPr>
        <w:t>st</w:t>
      </w:r>
      <w:r>
        <w:t xml:space="preserve"> August 2022, Cape Town, South Africa </w:t>
      </w:r>
      <w:r w:rsidR="00E566E6">
        <w:t xml:space="preserve">– </w:t>
      </w:r>
      <w:r>
        <w:t>Abstract submission dates not announced</w:t>
      </w:r>
      <w:r w:rsidR="00314DC3">
        <w:t xml:space="preserve"> but likely March as per ISME17</w:t>
      </w:r>
      <w:r>
        <w:t>. Early bird student non-member fee R 8 500 (£412)</w:t>
      </w:r>
      <w:r w:rsidR="00314DC3">
        <w:t xml:space="preserve">, deadline likely June 2022. </w:t>
      </w:r>
      <w:r w:rsidR="00314DC3">
        <w:rPr>
          <w:b/>
        </w:rPr>
        <w:t xml:space="preserve">Present </w:t>
      </w:r>
      <w:r w:rsidR="00314DC3" w:rsidRPr="00314DC3">
        <w:rPr>
          <w:b/>
        </w:rPr>
        <w:t>metadata/archive</w:t>
      </w:r>
      <w:r w:rsidR="00314DC3">
        <w:rPr>
          <w:b/>
        </w:rPr>
        <w:t xml:space="preserve">/spring </w:t>
      </w:r>
      <w:proofErr w:type="spellStart"/>
      <w:r w:rsidR="00314DC3">
        <w:rPr>
          <w:b/>
        </w:rPr>
        <w:t>Foxfonna</w:t>
      </w:r>
      <w:proofErr w:type="spellEnd"/>
      <w:r w:rsidR="00314DC3">
        <w:rPr>
          <w:b/>
        </w:rPr>
        <w:t xml:space="preserve"> results</w:t>
      </w:r>
    </w:p>
    <w:p w14:paraId="64D187B0" w14:textId="6AB31370" w:rsidR="00314DC3" w:rsidRPr="00314DC3" w:rsidRDefault="00314DC3" w:rsidP="00314DC3">
      <w:pPr>
        <w:pStyle w:val="ListParagraph"/>
        <w:numPr>
          <w:ilvl w:val="0"/>
          <w:numId w:val="1"/>
        </w:numPr>
      </w:pPr>
      <w:r w:rsidRPr="008A44EA">
        <w:t xml:space="preserve">International Conference on Polar Microbiology and Ecology </w:t>
      </w:r>
      <w:r>
        <w:t>(ICPME) 24</w:t>
      </w:r>
      <w:r w:rsidRPr="008A44EA">
        <w:rPr>
          <w:vertAlign w:val="superscript"/>
        </w:rPr>
        <w:t>th</w:t>
      </w:r>
      <w:r>
        <w:t>-25</w:t>
      </w:r>
      <w:r w:rsidRPr="008A44EA">
        <w:rPr>
          <w:vertAlign w:val="superscript"/>
        </w:rPr>
        <w:t>th</w:t>
      </w:r>
      <w:r>
        <w:t xml:space="preserve"> June 2023, </w:t>
      </w:r>
      <w:proofErr w:type="gramStart"/>
      <w:r>
        <w:t>Oslo,  Norway</w:t>
      </w:r>
      <w:proofErr w:type="gramEnd"/>
      <w:r>
        <w:t xml:space="preserve"> – Abstract submission deadline 13</w:t>
      </w:r>
      <w:r w:rsidRPr="008A44EA">
        <w:rPr>
          <w:vertAlign w:val="superscript"/>
        </w:rPr>
        <w:t>th</w:t>
      </w:r>
      <w:r>
        <w:t xml:space="preserve"> February 2022. Registration deadline 24</w:t>
      </w:r>
      <w:r w:rsidRPr="008A44EA">
        <w:rPr>
          <w:vertAlign w:val="superscript"/>
        </w:rPr>
        <w:t>th</w:t>
      </w:r>
      <w:r>
        <w:t xml:space="preserve"> May 2023. Student oral/poster presenter registration </w:t>
      </w:r>
      <w:r>
        <w:rPr>
          <w:rFonts w:ascii="Calibri" w:hAnsi="Calibri"/>
        </w:rPr>
        <w:t>€</w:t>
      </w:r>
      <w:r>
        <w:t xml:space="preserve">350 (£311). </w:t>
      </w:r>
      <w:r>
        <w:rPr>
          <w:b/>
        </w:rPr>
        <w:t xml:space="preserve">Present </w:t>
      </w:r>
      <w:r w:rsidRPr="00314DC3">
        <w:rPr>
          <w:b/>
        </w:rPr>
        <w:t>metadata/archive</w:t>
      </w:r>
      <w:r>
        <w:rPr>
          <w:b/>
        </w:rPr>
        <w:t xml:space="preserve">/spring </w:t>
      </w:r>
      <w:proofErr w:type="spellStart"/>
      <w:r>
        <w:rPr>
          <w:b/>
        </w:rPr>
        <w:t>Foxfonna</w:t>
      </w:r>
      <w:proofErr w:type="spellEnd"/>
      <w:r>
        <w:rPr>
          <w:b/>
        </w:rPr>
        <w:t xml:space="preserve"> results</w:t>
      </w:r>
    </w:p>
    <w:p w14:paraId="6B5070B7" w14:textId="74F7A7D9" w:rsidR="00AF7B37" w:rsidRDefault="00AF7B37" w:rsidP="008A44EA">
      <w:pPr>
        <w:pStyle w:val="ListParagraph"/>
        <w:numPr>
          <w:ilvl w:val="0"/>
          <w:numId w:val="1"/>
        </w:numPr>
      </w:pPr>
      <w:r>
        <w:t>Goldschmi</w:t>
      </w:r>
      <w:r w:rsidR="008A44EA">
        <w:t>d</w:t>
      </w:r>
      <w:r>
        <w:t xml:space="preserve">t Conference </w:t>
      </w:r>
      <w:r w:rsidR="008A44EA">
        <w:t>9</w:t>
      </w:r>
      <w:r w:rsidR="008A44EA" w:rsidRPr="008A44EA">
        <w:rPr>
          <w:vertAlign w:val="superscript"/>
        </w:rPr>
        <w:t>th</w:t>
      </w:r>
      <w:r w:rsidR="008A44EA">
        <w:t xml:space="preserve"> – 14</w:t>
      </w:r>
      <w:r w:rsidR="008A44EA" w:rsidRPr="008A44EA">
        <w:rPr>
          <w:vertAlign w:val="superscript"/>
        </w:rPr>
        <w:t>th</w:t>
      </w:r>
      <w:r w:rsidR="008A44EA">
        <w:t xml:space="preserve"> July 2023, Prague, Czech Republic </w:t>
      </w:r>
      <w:r w:rsidR="00E566E6">
        <w:t xml:space="preserve">– </w:t>
      </w:r>
      <w:r w:rsidR="008A44EA">
        <w:t>Estimated abstract deadline February 2023. Estimated early bird registration deadline May 2023.</w:t>
      </w:r>
      <w:r w:rsidR="00314DC3">
        <w:t xml:space="preserve"> </w:t>
      </w:r>
      <w:r w:rsidR="00314DC3" w:rsidRPr="00314DC3">
        <w:rPr>
          <w:b/>
        </w:rPr>
        <w:t xml:space="preserve">Present summer </w:t>
      </w:r>
      <w:proofErr w:type="spellStart"/>
      <w:r w:rsidR="00314DC3" w:rsidRPr="00314DC3">
        <w:rPr>
          <w:b/>
        </w:rPr>
        <w:t>Foxfonna</w:t>
      </w:r>
      <w:proofErr w:type="spellEnd"/>
      <w:r w:rsidR="00314DC3" w:rsidRPr="00314DC3">
        <w:rPr>
          <w:b/>
        </w:rPr>
        <w:t xml:space="preserve"> results.</w:t>
      </w:r>
    </w:p>
    <w:p w14:paraId="27603F7E" w14:textId="77777777" w:rsidR="00AF7B37" w:rsidRPr="00AF7B37" w:rsidRDefault="00AF7B37" w:rsidP="00AF7B37"/>
    <w:p w14:paraId="4F1E46BC" w14:textId="46183FDE" w:rsidR="00B909DC" w:rsidRDefault="00F60544" w:rsidP="00B909DC">
      <w:pPr>
        <w:pStyle w:val="Heading2"/>
      </w:pPr>
      <w:r>
        <w:t>2</w:t>
      </w:r>
      <w:r w:rsidR="00B909DC">
        <w:t xml:space="preserve"> Cryoconite metadata analysis</w:t>
      </w:r>
    </w:p>
    <w:p w14:paraId="0CAE613C" w14:textId="18D50547" w:rsidR="004F1438" w:rsidRDefault="004F1438" w:rsidP="004F1438"/>
    <w:p w14:paraId="3F383D66" w14:textId="23F109F0" w:rsidR="004F1438" w:rsidRDefault="00F60544" w:rsidP="007805F8">
      <w:pPr>
        <w:pStyle w:val="Heading3"/>
      </w:pPr>
      <w:r>
        <w:t>2</w:t>
      </w:r>
      <w:r w:rsidR="004F1438">
        <w:t>.1 Datasets</w:t>
      </w:r>
    </w:p>
    <w:p w14:paraId="51C038CF" w14:textId="41162E4C" w:rsidR="004F1438" w:rsidRDefault="004F1438" w:rsidP="004F1438"/>
    <w:p w14:paraId="0AFAF181" w14:textId="4A0DEE55" w:rsidR="00F60544" w:rsidRDefault="00F60544" w:rsidP="004F1438">
      <w:r>
        <w:t>DNA sequencing data from pervious cryoconite studies will be downloaded from their respective repositories</w:t>
      </w:r>
      <w:r w:rsidR="00247449">
        <w:t xml:space="preserve">. Associated spatial and environmental characteristics will also be obtained where available. Community, spatial and environmental data will be compiled into a metadata table. </w:t>
      </w:r>
    </w:p>
    <w:p w14:paraId="047C8F0B" w14:textId="77777777" w:rsidR="00F60544" w:rsidRDefault="00F60544" w:rsidP="004F1438"/>
    <w:p w14:paraId="5CD429A2" w14:textId="1D47A122" w:rsidR="004F1438" w:rsidRDefault="00F60544" w:rsidP="007805F8">
      <w:pPr>
        <w:pStyle w:val="Heading3"/>
      </w:pPr>
      <w:r>
        <w:t>2</w:t>
      </w:r>
      <w:r w:rsidR="004F1438">
        <w:t xml:space="preserve">.2 </w:t>
      </w:r>
      <w:r w:rsidR="004F1438">
        <w:t>Bioinformatic analysis</w:t>
      </w:r>
    </w:p>
    <w:p w14:paraId="7A1000EA" w14:textId="77777777" w:rsidR="004F1438" w:rsidRDefault="004F1438" w:rsidP="004F1438"/>
    <w:p w14:paraId="53000E49" w14:textId="13473A09" w:rsidR="004F1438" w:rsidRDefault="00F60544" w:rsidP="004F1438">
      <w:pPr>
        <w:pStyle w:val="Heading3"/>
      </w:pPr>
      <w:r>
        <w:t>2</w:t>
      </w:r>
      <w:r w:rsidR="004F1438">
        <w:t>.</w:t>
      </w:r>
      <w:r w:rsidR="007805F8">
        <w:t>2.1</w:t>
      </w:r>
      <w:r w:rsidR="004F1438">
        <w:t xml:space="preserve"> Classification of ASVs and ecological functions</w:t>
      </w:r>
    </w:p>
    <w:p w14:paraId="764FCDC9" w14:textId="6E968A48" w:rsidR="004F1438" w:rsidRDefault="004F1438" w:rsidP="004F1438"/>
    <w:p w14:paraId="5465D90F" w14:textId="77777777" w:rsidR="00ED1C35" w:rsidRDefault="004F1438" w:rsidP="004F1438">
      <w:r>
        <w:t xml:space="preserve">Where raw reads are available </w:t>
      </w:r>
      <w:r>
        <w:t>QIIME2 will be used to process sequence libraries</w:t>
      </w:r>
      <w:r w:rsidR="00247449">
        <w:t xml:space="preserve"> into ASVs rather than OTUs</w:t>
      </w:r>
      <w:r>
        <w:t xml:space="preserve">. </w:t>
      </w:r>
      <w:r w:rsidR="003B61D7">
        <w:t>ASVs offer the benefits of close-reference and do novo OTU methods in that they are reusable across studies, are suitable for use in future studies and for application to communities lacking deep coverage in reference database</w:t>
      </w:r>
      <w:r w:rsidR="00ED1C35">
        <w:t>s</w:t>
      </w:r>
      <w:r w:rsidR="003B61D7">
        <w:t xml:space="preserve"> </w:t>
      </w:r>
      <w:r w:rsidR="003B61D7">
        <w:fldChar w:fldCharType="begin" w:fldLock="1"/>
      </w:r>
      <w:r w:rsidR="003B61D7">
        <w:instrText>ADDIN CSL_CITATION {"citationItems":[{"id":"ITEM-1","itemData":{"DOI":"10.1038/ismej.2017.119","ISSN":"17517370","PMID":"28731476","abstract":"Recent advances have made it possible to analyze high-throughput marker-gene sequencing data without resorting to the customary construction of molecular operational taxonomic units (OTUs): clusters of sequencing reads that differ by less than a fixed dissimilarity threshold. New methods control errors sufficiently such that amplicon sequence variants (ASVs) can be resolved exactly, down to the level of single-nucleotide differences over the sequenced gene region. The benefits of finer resolution are immediately apparent, and arguments for ASV methods have focused on their improved resolution. Less obvious, but we believe more important, are the broad benefits that derive from the status of ASVs as consistent labels with intrinsic biological meaning identified independently from a reference database. Here we discuss how these features grant ASVs the combined advantages of closed-reference OTUs - including computational costs that scale linearly with study size, simple merging between independently processed data sets, and forward prediction - and of de novo OTUs - including accurate measurement of diversity and applicability to communities lacking deep coverage in reference databases. We argue that the improvements in reusability, reproducibility and comprehensiveness are sufficiently great that ASVs should replace OTUs as the standard unit of marker-gene analysis and reporting.","author":[{"dropping-particle":"","family":"Callahan","given":"Benjamin J.","non-dropping-particle":"","parse-names":false,"suffix":""},{"dropping-particle":"","family":"McMurdie","given":"Paul J.","non-dropping-particle":"","parse-names":false,"suffix":""},{"dropping-particle":"","family":"Holmes","given":"Susan P.","non-dropping-particle":"","parse-names":false,"suffix":""}],"container-title":"ISME Journal","id":"ITEM-1","issue":"12","issued":{"date-parts":[["2017"]]},"page":"2639-2643","publisher":"Nature Publishing Group","title":"Exact sequence variants should replace operational taxonomic units in marker-gene data analysis","type":"article-journal","volume":"11"},"uris":["http://www.mendeley.com/documents/?uuid=b61dcb80-c1f6-40bc-a5a1-aec4d7297fef"]}],"mendeley":{"formattedCitation":"(Callahan, McMurdie, &amp; Holmes, 2017)","plainTextFormattedCitation":"(Callahan, McMurdie, &amp; Holmes, 2017)"},"properties":{"noteIndex":0},"schema":"https://github.com/citation-style-language/schema/raw/master/csl-citation.json"}</w:instrText>
      </w:r>
      <w:r w:rsidR="003B61D7">
        <w:fldChar w:fldCharType="separate"/>
      </w:r>
      <w:r w:rsidR="003B61D7" w:rsidRPr="003B61D7">
        <w:rPr>
          <w:noProof/>
        </w:rPr>
        <w:t>(Callahan, McMurdie, &amp; Holmes, 2017)</w:t>
      </w:r>
      <w:r w:rsidR="003B61D7">
        <w:fldChar w:fldCharType="end"/>
      </w:r>
      <w:r w:rsidR="003B61D7">
        <w:t xml:space="preserve">. </w:t>
      </w:r>
    </w:p>
    <w:p w14:paraId="2626CC8A" w14:textId="0D0E352C" w:rsidR="004F1438" w:rsidRDefault="00ED1C35" w:rsidP="004F1438">
      <w:r>
        <w:t xml:space="preserve">  </w:t>
      </w:r>
      <w:r w:rsidR="004F1438">
        <w:t>Barcodes and primers will be trimmed and quality controlled. Denoised paired ends will be merged and chimeras removed using Divisive Amplicon Denoising Algorithm 2 (DADA2). Single-read amplicon sequence variants (ASVs) will be removed and remaining ASVs classified against the Silva rRNA database. Community compositions will be compared a</w:t>
      </w:r>
      <w:r w:rsidR="004F1438">
        <w:t>t</w:t>
      </w:r>
      <w:r w:rsidR="004F1438">
        <w:t xml:space="preserve"> </w:t>
      </w:r>
      <w:r w:rsidR="004F1438">
        <w:lastRenderedPageBreak/>
        <w:t>equal sampling depths by randomly selecting 95% of the minimum sequence number (i.e. 95% of the smallest number of sequences among</w:t>
      </w:r>
      <w:r w:rsidR="004F1438">
        <w:t xml:space="preserve"> </w:t>
      </w:r>
      <w:r w:rsidR="004F1438">
        <w:t xml:space="preserve">samples) from each sample. </w:t>
      </w:r>
    </w:p>
    <w:p w14:paraId="3DAE13A4" w14:textId="77777777" w:rsidR="004F1438" w:rsidRDefault="004F1438" w:rsidP="004F1438">
      <w:r>
        <w:t xml:space="preserve">  I will also use QIIME2 to calculate Good’s coverage to indicate if the sequencing effort has covered the majority of taxa. Alpha diversity indices including Faith’s phylogenetic diversity (PD), Shannon’s diversity index, Chao1 and </w:t>
      </w:r>
      <w:proofErr w:type="spellStart"/>
      <w:r>
        <w:t>Pielou’s</w:t>
      </w:r>
      <w:proofErr w:type="spellEnd"/>
      <w:r>
        <w:t xml:space="preserve"> evenness index, will be calculated for each sample so I can use multiple indices for community comparison. </w:t>
      </w:r>
    </w:p>
    <w:p w14:paraId="398189BF" w14:textId="3DC7D531" w:rsidR="004F1438" w:rsidRDefault="004F1438" w:rsidP="004F1438">
      <w:r>
        <w:t xml:space="preserve">  </w:t>
      </w:r>
      <w:r>
        <w:t>The functional annotation of prokaryotic taxa database (FAPROTAX) will be used to infer the ecological functions of sample communities.</w:t>
      </w:r>
    </w:p>
    <w:p w14:paraId="398E4665" w14:textId="77777777" w:rsidR="004F1438" w:rsidRDefault="004F1438" w:rsidP="004F1438"/>
    <w:p w14:paraId="222F5AA6" w14:textId="4F64E407" w:rsidR="004F1438" w:rsidRDefault="00F60544" w:rsidP="004F1438">
      <w:pPr>
        <w:pStyle w:val="Heading3"/>
      </w:pPr>
      <w:r>
        <w:t>2</w:t>
      </w:r>
      <w:r w:rsidR="007805F8">
        <w:t>.2</w:t>
      </w:r>
      <w:r w:rsidR="007805F8">
        <w:t>.2</w:t>
      </w:r>
      <w:r w:rsidR="007805F8">
        <w:t xml:space="preserve"> </w:t>
      </w:r>
      <w:r w:rsidR="004F1438">
        <w:t xml:space="preserve">Quantification of abundant and rare taxa </w:t>
      </w:r>
    </w:p>
    <w:p w14:paraId="0DB55080" w14:textId="77777777" w:rsidR="004F1438" w:rsidRDefault="004F1438" w:rsidP="004F1438"/>
    <w:p w14:paraId="7FDDE8D5" w14:textId="563F4DE4" w:rsidR="004F1438" w:rsidRDefault="000E46FE" w:rsidP="004F1438">
      <w:r>
        <w:t xml:space="preserve">The novel analysis I will bring to my metadata analysis is the quantification of abundant and rare taxa, to be used for geographic analysis, community assembly analysis and co-occurrence network analysis. </w:t>
      </w:r>
      <w:r w:rsidR="004F1438">
        <w:t xml:space="preserve">Differentiating between abundant and rare taxa is necessary as they can exhibit different biogeographic patterns </w:t>
      </w:r>
      <w:r w:rsidR="004F1438">
        <w:fldChar w:fldCharType="begin" w:fldLock="1"/>
      </w:r>
      <w:r w:rsidR="004F1438">
        <w:instrText>ADDIN CSL_CITATION {"citationItems":[{"id":"ITEM-1","itemData":{"DOI":"10.1038/ismej.2015.29","ISSN":"17517370","PMID":"25748371","abstract":"Bacteria play key roles in the ecology of both aquatic and terrestrial ecosystems; however, little is known about their diversity and biogeography, especially in the rare microbial biosphere of inland freshwater ecosystems. Here we investigated aspects of the community ecology and geographical distribution of abundant and rare bacterioplankton using high-throughput sequencing and examined the relative influence of local environmental variables and regional (spatial) factors on their geographical distribution patterns in 42 lakes and reservoirs across China. Our results showed that the geographical patterns of abundant and rare bacterial subcommunities were generally similar, and both of them showed a significant distance-decay relationship. This suggests that the rare bacterial biosphere is not a random assembly, as some authors have assumed, and that its distribution is most likely subject to the same ecological processes that control abundant taxa. However, we identified some differences between the abundant and rare groups as both groups of bacteria showed a significant positive relationship between sites occupancy and abundance, but the abundant bacteria exhibited a weaker distance-decay relationship than the rare bacteria. Our results implied that rare subcommunities were mostly governed by local environmental variables, whereas the abundant subcommunities were mainly affected by regional factors. In addition, both local and regional variables that were significantly related to the spatial variation of abundant bacterial community composition were different to those of rare ones, suggesting that abundant and rare bacteria may have discrepant ecological niches and may play different roles in natural ecosystems.","author":[{"dropping-particle":"","family":"Liu","given":"Lemian","non-dropping-particle":"","parse-names":false,"suffix":""},{"dropping-particle":"","family":"Yang","given":"Jun","non-dropping-particle":"","parse-names":false,"suffix":""},{"dropping-particle":"","family":"Yu","given":"Zheng","non-dropping-particle":"","parse-names":false,"suffix":""},{"dropping-particle":"","family":"Wilkinson","given":"David M.","non-dropping-particle":"","parse-names":false,"suffix":""}],"container-title":"ISME Journal","id":"ITEM-1","issue":"9","issued":{"date-parts":[["2015"]]},"page":"2068-2077","publisher":"Nature Publishing Group","title":"The biogeography of abundant and rare bacterioplankton in the lakes and reservoirs of China","type":"article-journal","volume":"9"},"uris":["http://www.mendeley.com/documents/?uuid=d2bf8fa9-f042-48db-9be7-ac918e674cef"]}],"mendeley":{"formattedCitation":"(Liu, Yang, Yu, &amp; Wilkinson, 2015)","plainTextFormattedCitation":"(Liu, Yang, Yu, &amp; Wilkinson, 2015)","previouslyFormattedCitation":"(Liu, Yang, Yu, &amp; Wilkinson, 2015)"},"properties":{"noteIndex":0},"schema":"https://github.com/citation-style-language/schema/raw/master/csl-citation.json"}</w:instrText>
      </w:r>
      <w:r w:rsidR="004F1438">
        <w:fldChar w:fldCharType="separate"/>
      </w:r>
      <w:r w:rsidR="004F1438" w:rsidRPr="00773497">
        <w:rPr>
          <w:noProof/>
        </w:rPr>
        <w:t>(Liu, Yang, Yu, &amp; Wilkinson, 2015)</w:t>
      </w:r>
      <w:r w:rsidR="004F1438">
        <w:fldChar w:fldCharType="end"/>
      </w:r>
      <w:r w:rsidR="004F1438">
        <w:t xml:space="preserve">. Rare ASVs are important to quantify as they may play key roles in ecosystem function and resilience, acting as reservoirs of diversity to buffer against environmental change </w:t>
      </w:r>
      <w:r w:rsidR="004F1438">
        <w:fldChar w:fldCharType="begin" w:fldLock="1"/>
      </w:r>
      <w:r w:rsidR="004F1438">
        <w:instrText>ADDIN CSL_CITATION {"citationItems":[{"id":"ITEM-1","itemData":{"DOI":"10.1038/nrmicro3400","ISSN":"17401534","PMID":"25730701","abstract":"The profound influence of microorganisms on human life and global biogeochemical cycles underlines the value of studying the biogeography of microorganisms, exploring microbial genomes and expanding our understanding of most microbial species on Earth: that is, those present at low relative abundance. The detection and subsequent analysis of low-abundance microbial populations-the 'rare biosphere'-have demonstrated the persistence, population dynamics, dispersion and predation of these microbial species. We discuss the ecology of rare microbial populations, and highlight molecular and computational methods for targeting taxonomic 'blind spots' within the rare biosphere of complex microbial communities.","author":[{"dropping-particle":"","family":"Lynch","given":"Michael D.J.","non-dropping-particle":"","parse-names":false,"suffix":""},{"dropping-particle":"","family":"Neufeld","given":"Josh D.","non-dropping-particle":"","parse-names":false,"suffix":""}],"container-title":"Nature Reviews Microbiology","id":"ITEM-1","issue":"4","issued":{"date-parts":[["2015"]]},"page":"217-229","publisher":"Nature Publishing Group","title":"Ecology and exploration of the rare biosphere","type":"article-journal","volume":"13"},"uris":["http://www.mendeley.com/documents/?uuid=f63d4d6b-58f7-4e58-9b57-b536ae50dc81"]}],"mendeley":{"formattedCitation":"(Lynch &amp; Neufeld, 2015)","plainTextFormattedCitation":"(Lynch &amp; Neufeld, 2015)","previouslyFormattedCitation":"(Lynch &amp; Neufeld, 2015)"},"properties":{"noteIndex":0},"schema":"https://github.com/citation-style-language/schema/raw/master/csl-citation.json"}</w:instrText>
      </w:r>
      <w:r w:rsidR="004F1438">
        <w:fldChar w:fldCharType="separate"/>
      </w:r>
      <w:r w:rsidR="004F1438" w:rsidRPr="00773497">
        <w:rPr>
          <w:noProof/>
        </w:rPr>
        <w:t>(Lynch &amp; Neufeld, 2015)</w:t>
      </w:r>
      <w:r w:rsidR="004F1438">
        <w:fldChar w:fldCharType="end"/>
      </w:r>
      <w:r w:rsidR="004F1438">
        <w:t xml:space="preserve">. Abundant and rare taxa will be classified based on their relative abundance in local and metacommunities. Locally abundant ASVs are those that comprise &gt;1% of a sample, while abundant ASVs in the metacommunity are those that comprise &gt;0.1% of average local abundance. Locally rare ASVs are those that comprise &lt;0.01% of a sample, whilst rare ASVs in the metacommunity are those that comprise &lt;0.001% of average local abundance. </w:t>
      </w:r>
    </w:p>
    <w:p w14:paraId="7F3A2544" w14:textId="77777777" w:rsidR="004F1438" w:rsidRDefault="004F1438" w:rsidP="004F1438"/>
    <w:p w14:paraId="74B4A580" w14:textId="6F0D854E" w:rsidR="004F1438" w:rsidRDefault="00F60544" w:rsidP="004F1438">
      <w:pPr>
        <w:pStyle w:val="Heading3"/>
      </w:pPr>
      <w:r>
        <w:t>2</w:t>
      </w:r>
      <w:r w:rsidR="007805F8">
        <w:t>.2</w:t>
      </w:r>
      <w:r w:rsidR="007805F8">
        <w:t>.3</w:t>
      </w:r>
      <w:r w:rsidR="007805F8">
        <w:t xml:space="preserve"> </w:t>
      </w:r>
      <w:r w:rsidR="004F1438">
        <w:t>Differences between communities and environmental factors</w:t>
      </w:r>
    </w:p>
    <w:p w14:paraId="35767998" w14:textId="77777777" w:rsidR="004F1438" w:rsidRDefault="004F1438" w:rsidP="004F1438"/>
    <w:p w14:paraId="7577DAB3" w14:textId="7F31699A" w:rsidR="004F1438" w:rsidRDefault="004F1438" w:rsidP="004F1438">
      <w:r>
        <w:t xml:space="preserve">I will use Mann-Whitney tests to compare environmental characteristics, </w:t>
      </w:r>
      <w:r w:rsidR="00EC1979">
        <w:t xml:space="preserve">total, abundant and rare </w:t>
      </w:r>
      <w:r>
        <w:t xml:space="preserve">community abundances, and diversity </w:t>
      </w:r>
      <w:r w:rsidR="00EC1979">
        <w:t>between datasets</w:t>
      </w:r>
      <w:r w:rsidR="007805F8">
        <w:t>.</w:t>
      </w:r>
      <w:r w:rsidR="00EC1979">
        <w:t xml:space="preserve"> </w:t>
      </w:r>
    </w:p>
    <w:p w14:paraId="7814D16B" w14:textId="77777777" w:rsidR="004F1438" w:rsidRDefault="004F1438" w:rsidP="004F1438"/>
    <w:p w14:paraId="51B2EBA8" w14:textId="0187053C" w:rsidR="004F1438" w:rsidRPr="00DB6EB4" w:rsidRDefault="00F60544" w:rsidP="004F1438">
      <w:pPr>
        <w:pStyle w:val="Heading3"/>
      </w:pPr>
      <w:r>
        <w:t>2</w:t>
      </w:r>
      <w:r w:rsidR="007805F8">
        <w:t>.2.</w:t>
      </w:r>
      <w:r w:rsidR="007805F8">
        <w:t>4</w:t>
      </w:r>
      <w:r w:rsidR="007805F8">
        <w:t xml:space="preserve"> </w:t>
      </w:r>
      <w:r w:rsidR="004F1438">
        <w:t xml:space="preserve">Geographic Analysis </w:t>
      </w:r>
    </w:p>
    <w:p w14:paraId="58077A8D" w14:textId="77777777" w:rsidR="004F1438" w:rsidRDefault="004F1438" w:rsidP="004F1438"/>
    <w:p w14:paraId="3123649A" w14:textId="7F402E9F" w:rsidR="004F1438" w:rsidRDefault="007805F8" w:rsidP="007805F8">
      <w:r>
        <w:t xml:space="preserve">Where geographic coordinates are available, </w:t>
      </w:r>
      <w:r w:rsidRPr="007805F8">
        <w:t xml:space="preserve">cluster </w:t>
      </w:r>
      <w:r w:rsidR="004F1438">
        <w:t>analysis of community composition between samples will be performed using unweighted par-group method with arithmetic means (UPGMA) based on Bray-Curtis distance. Geographic patterns of communities will be investigated using principal coordinates analysis (</w:t>
      </w:r>
      <w:proofErr w:type="spellStart"/>
      <w:r w:rsidR="004F1438">
        <w:t>PCoA</w:t>
      </w:r>
      <w:proofErr w:type="spellEnd"/>
      <w:r w:rsidR="004F1438">
        <w:t>) based on Bray-Curtis distance.</w:t>
      </w:r>
    </w:p>
    <w:p w14:paraId="35D72AA2" w14:textId="77777777" w:rsidR="004F1438" w:rsidRDefault="004F1438" w:rsidP="004F1438"/>
    <w:p w14:paraId="6E61C879" w14:textId="32E171B9" w:rsidR="004F1438" w:rsidRDefault="004F1438" w:rsidP="004F1438">
      <w:r>
        <w:t xml:space="preserve">I will carry out analysis of similarity (ANOSIM) to evaluate the difference in bacterial and archaeal communities between </w:t>
      </w:r>
      <w:r w:rsidR="007805F8">
        <w:t>metadata samples</w:t>
      </w:r>
    </w:p>
    <w:p w14:paraId="3854BDDF" w14:textId="77777777" w:rsidR="004F1438" w:rsidRDefault="004F1438" w:rsidP="004F1438"/>
    <w:p w14:paraId="0AF33F0B" w14:textId="3168B9E5" w:rsidR="004F1438" w:rsidRDefault="004F1438" w:rsidP="004F1438">
      <w:r>
        <w:t xml:space="preserve">I will carry out </w:t>
      </w:r>
      <w:proofErr w:type="spellStart"/>
      <w:r>
        <w:t>PCoA</w:t>
      </w:r>
      <w:proofErr w:type="spellEnd"/>
      <w:r>
        <w:t xml:space="preserve"> to investigate if there is a clear separation of bacterial and archaeal communities, based on total ASVs, abundant ASVs and rare ASVs.</w:t>
      </w:r>
    </w:p>
    <w:p w14:paraId="30C630DC" w14:textId="77777777" w:rsidR="004F1438" w:rsidRDefault="004F1438" w:rsidP="004F1438"/>
    <w:p w14:paraId="32C43FD3" w14:textId="77777777" w:rsidR="004F1438" w:rsidRDefault="004F1438" w:rsidP="004F1438">
      <w:r>
        <w:t xml:space="preserve">The DDR will be assessed using geographic distances calculated from GPS coordinates using the “geosphere” package in R. Geographic distances will be plotted against Bray-Curtis dissimilarities between samples for total, abundance and rare ASVs in bacterial and archaeal communities. Spearman’s rank correlation coefficients will be calculated to look for significant correlations between distance and Bray-Curtis dissimilarity index. </w:t>
      </w:r>
    </w:p>
    <w:p w14:paraId="2DD16289" w14:textId="77777777" w:rsidR="004F1438" w:rsidRDefault="004F1438" w:rsidP="004F1438"/>
    <w:p w14:paraId="54BDF64A" w14:textId="22991A42" w:rsidR="004F1438" w:rsidRDefault="00F60544" w:rsidP="00E15A2F">
      <w:pPr>
        <w:pStyle w:val="Heading4"/>
      </w:pPr>
      <w:r>
        <w:t>2</w:t>
      </w:r>
      <w:r w:rsidR="007805F8">
        <w:t>.2.</w:t>
      </w:r>
      <w:r w:rsidR="00E15A2F">
        <w:t>4.1</w:t>
      </w:r>
      <w:r w:rsidR="007805F8">
        <w:t xml:space="preserve"> </w:t>
      </w:r>
      <w:r w:rsidR="004F1438">
        <w:t>ISAR</w:t>
      </w:r>
    </w:p>
    <w:p w14:paraId="31DEC740" w14:textId="4E1BB1A2" w:rsidR="004F1438" w:rsidRDefault="007805F8" w:rsidP="004F1438">
      <w:pPr>
        <w:rPr>
          <w:rFonts w:eastAsiaTheme="minorEastAsia"/>
        </w:rPr>
      </w:pPr>
      <w:r>
        <w:t>Where cryoconite hole size data is available, f</w:t>
      </w:r>
      <w:r w:rsidR="004F1438">
        <w:t xml:space="preserve">ollowing the method employed by </w:t>
      </w:r>
      <w:r w:rsidR="004F1438">
        <w:fldChar w:fldCharType="begin" w:fldLock="1"/>
      </w:r>
      <w:r w:rsidR="00CC2A97">
        <w:instrText>ADDIN CSL_CITATION {"citationItems":[{"id":"ITEM-1","itemData":{"DOI":"10.3389/fevo.2018.00180","ISSN":"2296701X","abstract":"Cryoconite holes are holes in a glacier's surface caused by sediment melting into the glacier. These holes are self-contained ecosystems that include abundant bacterial life within their sediment and liquid water, and have recently gained the attention of microbial ecologists looking to use cryoconite holes as \"natural microcosms\" to study microbial community assembly. Here, we explore the idea that cryoconite holes can be viewed as \"islands,\" in the same sense that an island in the ocean is an area of habitat surrounded by a barrier to entry. In the case of a classic oceanic island, the ocean is a barrier between islands, but in the case of cryoconite holes, the ocean is comprised of impermeable solid ice. We test two hypotheses, born out of island biogeographic theory, that can be readily applied to cryoconite hole bacteria. First, we ask to what extent the size of a cryoconite hole is related to the amount of bacterial diversity found within it. Second, we ask to what extent cryoconite holes exhibit distance decay of similarity, meaning that geographically close holes are expected to harbor similar bacterial communities, and distant holes are expected to harbor more different bacterial communities. To test the island size hypothesis, we measured the sizes of cryoconite holes on three glaciers in Antarctica's Taylor Valley and used DNA sequencing to measure diversity of bacterial communities within them. We found that for two of these glaciers, there is a strong relationship between hole size and bacterial phylogenetic diversity, supporting the idea that cryoconite holes on those glaciers are \"islands.\" The high biomass dispersing to the third glacier we measured could explain the lack of size-diversity relationship, remaining consistent with island biogeography. To test the distance decay of similarity hypothesis, we used DNA sequence data from several previous studies of cryoconite hole bacteria from across the world. Combined with our Taylor Valley data, those data showed that cryoconite holes have strong spatial structuring at scales of one to several hundred kilometers, also supporting the idea that these dirty holes on glaciers are really islands in the cryosphere.","author":[{"dropping-particle":"","family":"Darcy","given":"John L.","non-dropping-particle":"","parse-names":false,"suffix":""},{"dropping-particle":"","family":"Gendron","given":"Eli M.S.","non-dropping-particle":"","parse-names":false,"suffix":""},{"dropping-particle":"","family":"Sommers","given":"Pacifica","non-dropping-particle":"","parse-names":false,"suffix":""},{"dropping-particle":"","family":"Porazinska","given":"Dorota L.","non-dropping-particle":"","parse-names":false,"suffix":""},{"dropping-particle":"","family":"Schmidt","given":"Steven K.","non-dropping-particle":"","parse-names":false,"suffix":""}],"container-title":"Frontiers in Ecology and Evolution","id":"ITEM-1","issue":"NOV","issued":{"date-parts":[["2018"]]},"page":"1-9","title":"Island biogeography of cryoconite hole bacteria in Antarctica's Taylor Valley and around the world","type":"article-journal","volume":"6"},"uris":["http://www.mendeley.com/documents/?uuid=6281d091-dbde-401f-87d0-70d8858286ee"]}],"mendeley":{"formattedCitation":"(Darcy, Gendron, Sommers, Porazinska, &amp; Schmidt, 2018)","manualFormatting":"Darcy et al., 2018","plainTextFormattedCitation":"(Darcy, Gendron, Sommers, Porazinska, &amp; Schmidt, 2018)","previouslyFormattedCitation":"(Darcy, Gendron, Sommers, Porazinska, &amp; Schmidt, 2018)"},"properties":{"noteIndex":0},"schema":"https://github.com/citation-style-language/schema/raw/master/csl-citation.json"}</w:instrText>
      </w:r>
      <w:r w:rsidR="004F1438">
        <w:fldChar w:fldCharType="separate"/>
      </w:r>
      <w:r w:rsidR="004F1438" w:rsidRPr="000104C9">
        <w:rPr>
          <w:noProof/>
        </w:rPr>
        <w:t>Darcy et al., 2018</w:t>
      </w:r>
      <w:r w:rsidR="004F1438">
        <w:fldChar w:fldCharType="end"/>
      </w:r>
      <w:r w:rsidR="004F1438">
        <w:t xml:space="preserve">, </w:t>
      </w:r>
      <w:r>
        <w:t xml:space="preserve">analysis </w:t>
      </w:r>
      <w:r w:rsidR="004F1438">
        <w:rPr>
          <w:rFonts w:eastAsiaTheme="minorEastAsia"/>
        </w:rPr>
        <w:t>of the effect of island size will be carried out using Faith’s PD and ASV richness</w:t>
      </w:r>
      <w:r>
        <w:rPr>
          <w:rFonts w:eastAsiaTheme="minorEastAsia"/>
        </w:rPr>
        <w:t xml:space="preserve"> for total, abundant and rare groups</w:t>
      </w:r>
      <w:r w:rsidR="004F1438">
        <w:rPr>
          <w:rFonts w:eastAsiaTheme="minorEastAsia"/>
        </w:rPr>
        <w:t>. A linear model will be fit to log</w:t>
      </w:r>
      <w:r w:rsidR="004F1438" w:rsidRPr="00500F98">
        <w:rPr>
          <w:rFonts w:eastAsiaTheme="minorEastAsia"/>
          <w:vertAlign w:val="subscript"/>
        </w:rPr>
        <w:t>10</w:t>
      </w:r>
      <w:r w:rsidR="004F1438">
        <w:rPr>
          <w:rFonts w:eastAsiaTheme="minorEastAsia"/>
        </w:rPr>
        <w:t>-transformed Faith’s PD (as well as ASV richness) as modelled by log</w:t>
      </w:r>
      <w:r w:rsidR="004F1438" w:rsidRPr="00500F98">
        <w:rPr>
          <w:rFonts w:eastAsiaTheme="minorEastAsia"/>
          <w:vertAlign w:val="subscript"/>
        </w:rPr>
        <w:t>10</w:t>
      </w:r>
      <w:r w:rsidR="004F1438">
        <w:rPr>
          <w:rFonts w:eastAsiaTheme="minorEastAsia"/>
        </w:rPr>
        <w:t>-transformed cryoconite area.</w:t>
      </w:r>
    </w:p>
    <w:p w14:paraId="4A8EC1DC" w14:textId="77777777" w:rsidR="004F1438" w:rsidRDefault="004F1438" w:rsidP="004F1438"/>
    <w:p w14:paraId="2149E5E4" w14:textId="5EF54633" w:rsidR="004F1438" w:rsidRDefault="00F60544" w:rsidP="00E15A2F">
      <w:pPr>
        <w:pStyle w:val="Heading4"/>
      </w:pPr>
      <w:r>
        <w:t>2</w:t>
      </w:r>
      <w:r w:rsidR="00E521DC">
        <w:t>.2.</w:t>
      </w:r>
      <w:r w:rsidR="00E15A2F">
        <w:t>4.2</w:t>
      </w:r>
      <w:r w:rsidR="00E521DC">
        <w:t xml:space="preserve"> </w:t>
      </w:r>
      <w:r w:rsidR="004F1438">
        <w:t>DDR</w:t>
      </w:r>
    </w:p>
    <w:p w14:paraId="2B051A18" w14:textId="34537009" w:rsidR="004F1438" w:rsidRPr="000104C9" w:rsidRDefault="004F1438" w:rsidP="004F1438">
      <w:r>
        <w:t xml:space="preserve">Following the method employed by </w:t>
      </w:r>
      <w:r>
        <w:fldChar w:fldCharType="begin" w:fldLock="1"/>
      </w:r>
      <w:r w:rsidR="00247449">
        <w:instrText>ADDIN CSL_CITATION {"citationItems":[{"id":"ITEM-1","itemData":{"DOI":"10.3389/fevo.2018.00180","ISSN":"2296701X","abstract":"Cryoconite holes are holes in a glacier's surface caused by sediment melting into the glacier. These holes are self-contained ecosystems that include abundant bacterial life within their sediment and liquid water, and have recently gained the attention of microbial ecologists looking to use cryoconite holes as \"natural microcosms\" to study microbial community assembly. Here, we explore the idea that cryoconite holes can be viewed as \"islands,\" in the same sense that an island in the ocean is an area of habitat surrounded by a barrier to entry. In the case of a classic oceanic island, the ocean is a barrier between islands, but in the case of cryoconite holes, the ocean is comprised of impermeable solid ice. We test two hypotheses, born out of island biogeographic theory, that can be readily applied to cryoconite hole bacteria. First, we ask to what extent the size of a cryoconite hole is related to the amount of bacterial diversity found within it. Second, we ask to what extent cryoconite holes exhibit distance decay of similarity, meaning that geographically close holes are expected to harbor similar bacterial communities, and distant holes are expected to harbor more different bacterial communities. To test the island size hypothesis, we measured the sizes of cryoconite holes on three glaciers in Antarctica's Taylor Valley and used DNA sequencing to measure diversity of bacterial communities within them. We found that for two of these glaciers, there is a strong relationship between hole size and bacterial phylogenetic diversity, supporting the idea that cryoconite holes on those glaciers are \"islands.\" The high biomass dispersing to the third glacier we measured could explain the lack of size-diversity relationship, remaining consistent with island biogeography. To test the distance decay of similarity hypothesis, we used DNA sequence data from several previous studies of cryoconite hole bacteria from across the world. Combined with our Taylor Valley data, those data showed that cryoconite holes have strong spatial structuring at scales of one to several hundred kilometers, also supporting the idea that these dirty holes on glaciers are really islands in the cryosphere.","author":[{"dropping-particle":"","family":"Darcy","given":"John L.","non-dropping-particle":"","parse-names":false,"suffix":""},{"dropping-particle":"","family":"Gendron","given":"Eli M.S.","non-dropping-particle":"","parse-names":false,"suffix":""},{"dropping-particle":"","family":"Sommers","given":"Pacifica","non-dropping-particle":"","parse-names":false,"suffix":""},{"dropping-particle":"","family":"Porazinska","given":"Dorota L.","non-dropping-particle":"","parse-names":false,"suffix":""},{"dropping-particle":"","family":"Schmidt","given":"Steven K.","non-dropping-particle":"","parse-names":false,"suffix":""}],"container-title":"Frontiers in Ecology and Evolution","id":"ITEM-1","issue":"NOV","issued":{"date-parts":[["2018"]]},"page":"1-9","title":"Island biogeography of cryoconite hole bacteria in Antarctica's Taylor Valley and around the world","type":"article-journal","volume":"6"},"uris":["http://www.mendeley.com/documents/?uuid=6281d091-dbde-401f-87d0-70d8858286ee"]}],"mendeley":{"formattedCitation":"(Darcy et al., 2018)","manualFormatting":"Darcy et al., 2018","plainTextFormattedCitation":"(Darcy et al., 2018)","previouslyFormattedCitation":"(Darcy et al., 2018)"},"properties":{"noteIndex":0},"schema":"https://github.com/citation-style-language/schema/raw/master/csl-citation.json"}</w:instrText>
      </w:r>
      <w:r>
        <w:fldChar w:fldCharType="separate"/>
      </w:r>
      <w:r w:rsidRPr="000104C9">
        <w:rPr>
          <w:noProof/>
        </w:rPr>
        <w:t>Darcy et al., 2018</w:t>
      </w:r>
      <w:r>
        <w:fldChar w:fldCharType="end"/>
      </w:r>
      <w:r>
        <w:t xml:space="preserve">, in QIIME I will use unweighted </w:t>
      </w:r>
      <w:proofErr w:type="spellStart"/>
      <w:r>
        <w:t>UniFrac</w:t>
      </w:r>
      <w:proofErr w:type="spellEnd"/>
      <w:r>
        <w:t xml:space="preserve"> distances (similar to Faith’s PD because </w:t>
      </w:r>
      <w:proofErr w:type="spellStart"/>
      <w:r>
        <w:t>UniFrac</w:t>
      </w:r>
      <w:proofErr w:type="spellEnd"/>
      <w:r>
        <w:t xml:space="preserve"> distances take microbial phylogeny into account) to calculate pair-wise compositional dissimilarity between </w:t>
      </w:r>
      <w:proofErr w:type="spellStart"/>
      <w:r>
        <w:t>Foxfonna</w:t>
      </w:r>
      <w:proofErr w:type="spellEnd"/>
      <w:r>
        <w:t xml:space="preserve"> cryoconite samples. </w:t>
      </w:r>
      <w:proofErr w:type="spellStart"/>
      <w:r>
        <w:t>UniFrac</w:t>
      </w:r>
      <w:proofErr w:type="spellEnd"/>
      <w:r>
        <w:t xml:space="preserve"> distances are the fraction of branch lengths in a phylogenetic tree containing all ASVs between two communities that are not shared by those communities. This will be carried out using the </w:t>
      </w:r>
      <w:proofErr w:type="spellStart"/>
      <w:r>
        <w:t>GreenGenes</w:t>
      </w:r>
      <w:proofErr w:type="spellEnd"/>
      <w:r>
        <w:t xml:space="preserve"> database. The dissimilarity matrix will be used to test for spatial autocorrelation between cryoconite samples on </w:t>
      </w:r>
      <w:proofErr w:type="spellStart"/>
      <w:r>
        <w:t>Foxfonna</w:t>
      </w:r>
      <w:proofErr w:type="spellEnd"/>
      <w:r>
        <w:t xml:space="preserve"> glacier. Using the R package “vegan”, Mantel tests will be used to test for statistical significance in the relationship between geographic and phylogenetic distance. A linear model will be fit to the unweighted </w:t>
      </w:r>
      <w:proofErr w:type="spellStart"/>
      <w:r>
        <w:t>UniFrac</w:t>
      </w:r>
      <w:proofErr w:type="spellEnd"/>
      <w:r>
        <w:t xml:space="preserve"> dissimilarities </w:t>
      </w:r>
      <w:r>
        <w:rPr>
          <w:rFonts w:eastAsiaTheme="minorEastAsia"/>
        </w:rPr>
        <w:t>as modelled by log</w:t>
      </w:r>
      <w:r w:rsidRPr="00500F98">
        <w:rPr>
          <w:rFonts w:eastAsiaTheme="minorEastAsia"/>
          <w:vertAlign w:val="subscript"/>
        </w:rPr>
        <w:t>10</w:t>
      </w:r>
      <w:r>
        <w:rPr>
          <w:rFonts w:eastAsiaTheme="minorEastAsia"/>
        </w:rPr>
        <w:t>-transformed distance between samples.</w:t>
      </w:r>
    </w:p>
    <w:p w14:paraId="7DC6E262" w14:textId="77777777" w:rsidR="004F1438" w:rsidRDefault="004F1438" w:rsidP="004F1438"/>
    <w:p w14:paraId="41729566" w14:textId="46EF72D9" w:rsidR="004F1438" w:rsidRDefault="00F60544" w:rsidP="000E46FE">
      <w:pPr>
        <w:pStyle w:val="Heading3"/>
      </w:pPr>
      <w:r>
        <w:t>2</w:t>
      </w:r>
      <w:r w:rsidR="00E521DC">
        <w:t>.2.</w:t>
      </w:r>
      <w:r w:rsidR="00E521DC">
        <w:t xml:space="preserve">7 </w:t>
      </w:r>
      <w:r w:rsidR="004F1438">
        <w:t>Effect of spatial and environmental factors</w:t>
      </w:r>
    </w:p>
    <w:p w14:paraId="63DA3462" w14:textId="77777777" w:rsidR="004F1438" w:rsidRDefault="004F1438" w:rsidP="004F1438">
      <w:r>
        <w:t xml:space="preserve">Canonical correlation analysis (CCA) will be used to investigate the impact of spatial and environmental factors on community assembly. It will indicate which spatial and environmental factors shape the total, abundant and rare total and active microbial communities. CCA will help elucidate if total, abundant or rare groups are differentially affected by the number and type of factor. </w:t>
      </w:r>
    </w:p>
    <w:p w14:paraId="451874A2" w14:textId="77777777" w:rsidR="004F1438" w:rsidRDefault="004F1438" w:rsidP="004F1438"/>
    <w:p w14:paraId="563F4D4E" w14:textId="77777777" w:rsidR="004F1438" w:rsidRDefault="004F1438" w:rsidP="004F1438">
      <w:r>
        <w:t>Distance-based Moran’s eigenvector maps (</w:t>
      </w:r>
      <w:proofErr w:type="spellStart"/>
      <w:r>
        <w:t>dbMEM</w:t>
      </w:r>
      <w:proofErr w:type="spellEnd"/>
      <w:r>
        <w:t>) will be created using the “</w:t>
      </w:r>
      <w:proofErr w:type="spellStart"/>
      <w:r>
        <w:t>adespatial</w:t>
      </w:r>
      <w:proofErr w:type="spellEnd"/>
      <w:r>
        <w:t xml:space="preserve">” package in R. </w:t>
      </w:r>
      <w:proofErr w:type="spellStart"/>
      <w:r>
        <w:t>dbMEM</w:t>
      </w:r>
      <w:proofErr w:type="spellEnd"/>
      <w:r>
        <w:t xml:space="preserve"> is a spatial eigenfunction method that </w:t>
      </w:r>
      <w:proofErr w:type="spellStart"/>
      <w:r>
        <w:t>breaksdown</w:t>
      </w:r>
      <w:proofErr w:type="spellEnd"/>
      <w:r>
        <w:t xml:space="preserve"> the spatial structure of the dataset into eigenfunctions. </w:t>
      </w:r>
      <w:proofErr w:type="spellStart"/>
      <w:r>
        <w:t>Eignevalues</w:t>
      </w:r>
      <w:proofErr w:type="spellEnd"/>
      <w:r>
        <w:t xml:space="preserve"> with significant autocorrelation can be used in </w:t>
      </w:r>
      <w:proofErr w:type="spellStart"/>
      <w:r>
        <w:t>futher</w:t>
      </w:r>
      <w:proofErr w:type="spellEnd"/>
      <w:r>
        <w:t xml:space="preserve"> analysis. </w:t>
      </w:r>
      <w:proofErr w:type="spellStart"/>
      <w:r>
        <w:t>dbMEM</w:t>
      </w:r>
      <w:proofErr w:type="spellEnd"/>
      <w:r>
        <w:t xml:space="preserve"> will be used to generate a set of spatial factors based on Cartesian coordinates from GPS coordinates using the “</w:t>
      </w:r>
      <w:proofErr w:type="spellStart"/>
      <w:r>
        <w:t>SoDA</w:t>
      </w:r>
      <w:proofErr w:type="spellEnd"/>
      <w:r>
        <w:t xml:space="preserve">” package in R. </w:t>
      </w:r>
      <w:proofErr w:type="spellStart"/>
      <w:r>
        <w:t>dbMEM</w:t>
      </w:r>
      <w:proofErr w:type="spellEnd"/>
      <w:r>
        <w:t xml:space="preserve"> will be used to see if bacterial or archaeal 16S rRNA gene abundance and gene transcript abundance positively or negatively correlate with any of the generated </w:t>
      </w:r>
      <w:proofErr w:type="spellStart"/>
      <w:r>
        <w:t>eighenvalues</w:t>
      </w:r>
      <w:proofErr w:type="spellEnd"/>
      <w:r>
        <w:t xml:space="preserve">. </w:t>
      </w:r>
    </w:p>
    <w:p w14:paraId="55859D19" w14:textId="77777777" w:rsidR="004F1438" w:rsidRDefault="004F1438" w:rsidP="004F1438"/>
    <w:p w14:paraId="01E8BA47" w14:textId="77777777" w:rsidR="004F1438" w:rsidRDefault="004F1438" w:rsidP="004F1438">
      <w:r>
        <w:t xml:space="preserve">Spatial and environmental factors will be tested for significance in shaping the total and active communities. </w:t>
      </w:r>
    </w:p>
    <w:p w14:paraId="583EE260" w14:textId="77777777" w:rsidR="004F1438" w:rsidRDefault="004F1438" w:rsidP="004F1438"/>
    <w:p w14:paraId="7F7F59A3" w14:textId="77777777" w:rsidR="004F1438" w:rsidRDefault="004F1438" w:rsidP="004F1438">
      <w:r>
        <w:t>Collinearity between factors will be eliminated by selecting environmental factors with a variance inflation factor &lt;10.</w:t>
      </w:r>
    </w:p>
    <w:p w14:paraId="539EAE1C" w14:textId="77777777" w:rsidR="004F1438" w:rsidRDefault="004F1438" w:rsidP="004F1438"/>
    <w:p w14:paraId="098A5798" w14:textId="77777777" w:rsidR="004F1438" w:rsidRDefault="004F1438" w:rsidP="004F1438">
      <w:r>
        <w:t xml:space="preserve">Variation partitioning analysis (VPA) will be using to assess the relative role of spatial and environmental factors in explaining community variation. This will indicate what percentage of community variation can be explained by spatial or environmental factors, as well as combined spatial and environmental factors, for total, abundance and rare total and active bacterial and archaeal communities. High VPA residuals will indicate complex community assembly mechanisms. </w:t>
      </w:r>
    </w:p>
    <w:p w14:paraId="1B4F1985" w14:textId="77777777" w:rsidR="004F1438" w:rsidRDefault="004F1438" w:rsidP="004F1438"/>
    <w:p w14:paraId="4492B8BE" w14:textId="77777777" w:rsidR="004F1438" w:rsidRDefault="004F1438" w:rsidP="004F1438">
      <w:r>
        <w:t>Randomization tests will be used to test for pure effects of spatial and environmental factors.</w:t>
      </w:r>
    </w:p>
    <w:p w14:paraId="4BC6180E" w14:textId="77777777" w:rsidR="004F1438" w:rsidRDefault="004F1438" w:rsidP="004F1438"/>
    <w:p w14:paraId="0995B26C" w14:textId="77777777" w:rsidR="004F1438" w:rsidRDefault="004F1438" w:rsidP="004F1438">
      <w:r>
        <w:t xml:space="preserve">Mantel tests will be used to verify the contributions of spatial and environmental factors on total, abundance and rare total and active communities. Partial Mantel tests will be used to verify the contributions of spatial factors while controlling for environmental factors and vice versa for total, abundance and rare total and active communities. Mantel and partial mantel test results can be compared with VPA results to see if they are consistent with their interpretation of the relative contribution of spatial and environmental factors in shaping total and active microbial community assembly. </w:t>
      </w:r>
    </w:p>
    <w:p w14:paraId="4EEA8AD6" w14:textId="77777777" w:rsidR="004F1438" w:rsidRDefault="004F1438" w:rsidP="004F1438"/>
    <w:p w14:paraId="16DD1706" w14:textId="77777777" w:rsidR="004F1438" w:rsidRDefault="004F1438" w:rsidP="004F1438">
      <w:r>
        <w:t>The number of o</w:t>
      </w:r>
      <w:r w:rsidRPr="004864FB">
        <w:t>ccurrence</w:t>
      </w:r>
      <w:r>
        <w:t>s</w:t>
      </w:r>
      <w:r w:rsidRPr="004864FB">
        <w:t xml:space="preserve"> of ASVs in samples </w:t>
      </w:r>
      <w:r>
        <w:t xml:space="preserve">will be plotted </w:t>
      </w:r>
      <w:r w:rsidRPr="004864FB">
        <w:t>against the</w:t>
      </w:r>
      <w:r>
        <w:t>ir</w:t>
      </w:r>
      <w:r w:rsidRPr="004864FB">
        <w:t xml:space="preserve"> average relative abundance </w:t>
      </w:r>
      <w:r>
        <w:t>and</w:t>
      </w:r>
      <w:r w:rsidRPr="004864FB">
        <w:t xml:space="preserve"> Spearman’s rank correlations</w:t>
      </w:r>
      <w:r>
        <w:t xml:space="preserve"> calculated to assess if there is a significant positive relationship between the number of sites occupied and the average relative abundance of ASVs to indicate if rare taxa experience limited dispersal and/or adaption.</w:t>
      </w:r>
    </w:p>
    <w:p w14:paraId="3AC90E82" w14:textId="77777777" w:rsidR="004F1438" w:rsidRDefault="004F1438" w:rsidP="004F1438"/>
    <w:p w14:paraId="4E3E5616" w14:textId="3F63ED46" w:rsidR="004F1438" w:rsidRDefault="00F60544" w:rsidP="004F1438">
      <w:pPr>
        <w:pStyle w:val="Heading3"/>
      </w:pPr>
      <w:r>
        <w:t>2</w:t>
      </w:r>
      <w:r w:rsidR="00E521DC">
        <w:t>.2.</w:t>
      </w:r>
      <w:r w:rsidR="00E521DC">
        <w:t xml:space="preserve">8 </w:t>
      </w:r>
      <w:r w:rsidR="004F1438">
        <w:t>Community assembly processes</w:t>
      </w:r>
    </w:p>
    <w:p w14:paraId="4879610F" w14:textId="77777777" w:rsidR="004F1438" w:rsidRDefault="004F1438" w:rsidP="004F1438"/>
    <w:p w14:paraId="738D58D5" w14:textId="77777777" w:rsidR="004F1438" w:rsidRDefault="004F1438" w:rsidP="004F1438">
      <w:r>
        <w:t xml:space="preserve">I will quantify the relative contribution of community assembly processes in shaping total DNA-based and RNA-based bacterial and archaeal communities using the analytical framework set out by </w:t>
      </w:r>
      <w:r>
        <w:fldChar w:fldCharType="begin" w:fldLock="1"/>
      </w:r>
      <w:r>
        <w:instrText xml:space="preserve">ADDIN CSL_CITATION {"citationItems":[{"id":"ITEM-1","itemData":{"DOI":"10.1038/ismej.2013.93","ISSN":"17517362","PMID":"23739053","abstract":"Spatial turnover in the composition of biological communities is governed by (ecological) Drift, Selection and Dispersal. Commonly applied statistical tools cannot quantitatively estimate these processes, nor identify abiotic features that impose these processes. For interrogation of subsurface microbial communities distributed across two geologically distinct formations of the unconfined aquifer underlying the Hanford Site in southeastern Washington State, we developed an analytical framework that advances ecological understanding in two primary ways. First, we quantitatively estimate influences of Drift, Selection and Dispersal. Second, ecological patterns are used to characterize measured and unmeasured abiotic variables that impose Selection or that result in low levels of Dispersal. We find that (i) Drift alone consistently governs </w:instrText>
      </w:r>
      <w:r>
        <w:rPr>
          <w:rFonts w:ascii="Cambria Math" w:hAnsi="Cambria Math" w:cs="Cambria Math"/>
        </w:rPr>
        <w:instrText>∼</w:instrText>
      </w:r>
      <w:r>
        <w:instrText xml:space="preserve">25% of spatial turnover in community composition; (ii) in deeper, finer-grained sediments, Selection is strong (governing </w:instrText>
      </w:r>
      <w:r>
        <w:rPr>
          <w:rFonts w:ascii="Cambria Math" w:hAnsi="Cambria Math" w:cs="Cambria Math"/>
        </w:rPr>
        <w:instrText>∼</w:instrText>
      </w:r>
      <w:r>
        <w:instrText xml:space="preserve">60% of turnover), being imposed by an unmeasured but spatially structured environmental variable; (iii) in shallower, coarser-grained sediments, Selection is weaker (governing </w:instrText>
      </w:r>
      <w:r>
        <w:rPr>
          <w:rFonts w:ascii="Cambria Math" w:hAnsi="Cambria Math" w:cs="Cambria Math"/>
        </w:rPr>
        <w:instrText>∼</w:instrText>
      </w:r>
      <w:r>
        <w:instrText>30% of turnover), being imposed by vertically and horizontally structured hydrological factors;(iv) low levels of Dispersal can govern nearly 30% of turnover and be caused primarily by spatial isolation resulting from limited exchange between finer and coarser-grain sediments; and (v) highly permeable sediments are associated with high levels of Dispersal that homogenize community composition and govern over 20% of turnover. We further show that our framework provides inferences that cannot be achieved using preexisting approaches, and suggest that their broad application will facilitate a unified understanding of microbial communities. © 2013 International Society for Microbial Ecology All rights reserved.","author":[{"dropping-particle":"","family":"Stegen","given":"James C.","non-dropping-particle":"","parse-names":false,"suffix":""},{"dropping-particle":"","family":"Lin","given":"Xueju","non-dropping-particle":"","parse-names":false,"suffix":""},{"dropping-particle":"","family":"Fredrickson","given":"Jim K.","non-dropping-particle":"","parse-names":false,"suffix":""},{"dropping-particle":"","family":"Chen","given":"Xingyuan","non-dropping-particle":"","parse-names":false,"suffix":""},{"dropping-particle":"","family":"Kennedy","given":"David W.","non-dropping-particle":"","parse-names":false,"suffix":""},{"dropping-particle":"","family":"Murray","given":"Christopher J.","non-dropping-particle":"","parse-names":false,"suffix":""},{"dropping-particle":"","family":"Rockhold","given":"Mark L.","non-dropping-particle":"","parse-names":false,"suffix":""},{"dropping-particle":"","family":"Konopka","given":"Allan","non-dropping-particle":"","parse-names":false,"suffix":""}],"container-title":"ISME Journal","id":"ITEM-1","issue":"11","issued":{"date-parts":[["2013"]]},"page":"2069-2079","publisher":"Nature Publishing Group","title":"Quantifying community assembly processes and identifying features that impose them","type":"article-journal","volume":"7"},"uris":["http://www.mendeley.com/documents/?uuid=f9baf325-4ba9-4723-b316-1d8652a63d41"]}],"mendeley":{"formattedCitation":"(Stegen et al., 2013)","manualFormatting":"Stegen et al., 2013","plainTextFormattedCitation":"(Stegen et al., 2013)","previouslyFormattedCitation":"(Stegen et al., 2013)"},"properties":{"noteIndex":0},"schema":"https://github.com/citation-style-language/schema/raw/master/csl-citation.json"}</w:instrText>
      </w:r>
      <w:r>
        <w:fldChar w:fldCharType="separate"/>
      </w:r>
      <w:r w:rsidRPr="00531F7F">
        <w:rPr>
          <w:noProof/>
        </w:rPr>
        <w:t>Stegen et al., 2013</w:t>
      </w:r>
      <w:r>
        <w:fldChar w:fldCharType="end"/>
      </w:r>
      <w:r>
        <w:t xml:space="preserve">. This framework is dependent on phylogenetic turnover (evolutionary distance of ASVs between communities). In order to use phylogenetic turnover to infer ecological processes we need to confirm the presence of significate phylogenetic signal in the ASVs optimal environmental conditions. That is, we are looking for evidence of phylogenetic similarity between ASVs that share similar habitat preferences. The framework relies on more closely related ASVs exhibiting more similar habitat preferences. </w:t>
      </w:r>
    </w:p>
    <w:p w14:paraId="1095E229" w14:textId="77777777" w:rsidR="004F1438" w:rsidRDefault="004F1438" w:rsidP="004F1438"/>
    <w:p w14:paraId="6111FF42" w14:textId="77777777" w:rsidR="004F1438" w:rsidRDefault="004F1438" w:rsidP="004F1438">
      <w:r>
        <w:t xml:space="preserve">I will carry out a phylogenetic Mantel correlogram to indicate if there are significant phylogenetic signals across relatively short phylogenetic distances for this method to be appropriate. </w:t>
      </w:r>
      <w:r>
        <w:rPr>
          <w:rFonts w:eastAsiaTheme="minorEastAsia"/>
        </w:rPr>
        <w:t>The Mantel correlogram takes two distance matrices: between-ASV differences in environmental optima, between-ASV phylogenetic distances</w:t>
      </w:r>
    </w:p>
    <w:p w14:paraId="0A7A61F1" w14:textId="77777777" w:rsidR="004F1438" w:rsidRDefault="004F1438" w:rsidP="004F1438"/>
    <w:p w14:paraId="140C21A9" w14:textId="77777777" w:rsidR="004F1438" w:rsidRDefault="004F1438" w:rsidP="004F1438">
      <w:pPr>
        <w:rPr>
          <w:rFonts w:eastAsiaTheme="minorEastAsia"/>
        </w:rPr>
      </w:pPr>
      <w:r>
        <w:t xml:space="preserve">I will perform a Mantel correlogram to test for phylogenetic signal. I will look for evidence of significant phylogenetic signals across relatively short phylogenetic distances for the samples. This would insure that phylogenetic turnover is appropriate to infer ecological processes and </w:t>
      </w:r>
      <m:oMath>
        <m:r>
          <w:rPr>
            <w:rFonts w:ascii="Cambria Math" w:hAnsi="Cambria Math"/>
          </w:rPr>
          <m:t>β</m:t>
        </m:r>
      </m:oMath>
      <w:r>
        <w:rPr>
          <w:rFonts w:eastAsiaTheme="minorEastAsia"/>
        </w:rPr>
        <w:t xml:space="preserve">MNTD is a suitable distance to measure that turnover. </w:t>
      </w:r>
      <m:oMath>
        <m:r>
          <w:rPr>
            <w:rFonts w:ascii="Cambria Math" w:hAnsi="Cambria Math"/>
          </w:rPr>
          <m:t>β</m:t>
        </m:r>
      </m:oMath>
      <w:r>
        <w:rPr>
          <w:rFonts w:eastAsiaTheme="minorEastAsia"/>
        </w:rPr>
        <w:t xml:space="preserve">MNTD quantifies the phylogenetic distance between ASVs in a community and </w:t>
      </w:r>
      <w:proofErr w:type="spellStart"/>
      <w:r>
        <w:rPr>
          <w:rFonts w:eastAsiaTheme="minorEastAsia"/>
        </w:rPr>
        <w:t>it’s</w:t>
      </w:r>
      <w:proofErr w:type="spellEnd"/>
      <w:r>
        <w:rPr>
          <w:rFonts w:eastAsiaTheme="minorEastAsia"/>
        </w:rPr>
        <w:t xml:space="preserve"> closest relative in another community.</w:t>
      </w:r>
    </w:p>
    <w:p w14:paraId="30741255" w14:textId="77777777" w:rsidR="004F1438" w:rsidRDefault="004F1438" w:rsidP="004F1438"/>
    <w:p w14:paraId="6FF01AB9" w14:textId="77777777" w:rsidR="004F1438" w:rsidRDefault="004F1438" w:rsidP="004F1438">
      <w:r>
        <w:t xml:space="preserve">Within the framework of </w:t>
      </w:r>
      <w:r>
        <w:fldChar w:fldCharType="begin" w:fldLock="1"/>
      </w:r>
      <w:r>
        <w:instrText xml:space="preserve">ADDIN CSL_CITATION {"citationItems":[{"id":"ITEM-1","itemData":{"DOI":"10.1038/ismej.2013.93","ISSN":"17517362","PMID":"23739053","abstract":"Spatial turnover in the composition of biological communities is governed by (ecological) Drift, Selection and Dispersal. Commonly applied statistical tools cannot quantitatively estimate these processes, nor identify abiotic features that impose these processes. For interrogation of subsurface microbial communities distributed across two geologically distinct formations of the unconfined aquifer underlying the Hanford Site in southeastern Washington State, we developed an analytical framework that advances ecological understanding in two primary ways. First, we quantitatively estimate influences of Drift, Selection and Dispersal. Second, ecological patterns are used to characterize measured and unmeasured abiotic variables that impose Selection or that result in low levels of Dispersal. We find that (i) Drift alone consistently governs </w:instrText>
      </w:r>
      <w:r>
        <w:rPr>
          <w:rFonts w:ascii="Cambria Math" w:hAnsi="Cambria Math" w:cs="Cambria Math"/>
        </w:rPr>
        <w:instrText>∼</w:instrText>
      </w:r>
      <w:r>
        <w:instrText xml:space="preserve">25% of spatial turnover in community composition; (ii) in deeper, finer-grained sediments, Selection is strong (governing </w:instrText>
      </w:r>
      <w:r>
        <w:rPr>
          <w:rFonts w:ascii="Cambria Math" w:hAnsi="Cambria Math" w:cs="Cambria Math"/>
        </w:rPr>
        <w:instrText>∼</w:instrText>
      </w:r>
      <w:r>
        <w:instrText xml:space="preserve">60% of turnover), being imposed by an unmeasured but spatially structured environmental variable; (iii) in shallower, coarser-grained sediments, Selection is weaker (governing </w:instrText>
      </w:r>
      <w:r>
        <w:rPr>
          <w:rFonts w:ascii="Cambria Math" w:hAnsi="Cambria Math" w:cs="Cambria Math"/>
        </w:rPr>
        <w:instrText>∼</w:instrText>
      </w:r>
      <w:r>
        <w:instrText>30% of turnover), being imposed by vertically and horizontally structured hydrological factors;(iv) low levels of Dispersal can govern nearly 30% of turnover and be caused primarily by spatial isolation resulting from limited exchange between finer and coarser-grain sediments; and (v) highly permeable sediments are associated with high levels of Dispersal that homogenize community composition and govern over 20% of turnover. We further show that our framework provides inferences that cannot be achieved using preexisting approaches, and suggest that their broad application will facilitate a unified understanding of microbial communities. © 2013 International Society for Microbial Ecology All rights reserved.","author":[{"dropping-particle":"","family":"Stegen","given":"James C.","non-dropping-particle":"","parse-names":false,"suffix":""},{"dropping-particle":"","family":"Lin","given":"Xueju","non-dropping-particle":"","parse-names":false,"suffix":""},{"dropping-particle":"","family":"Fredrickson","given":"Jim K.","non-dropping-particle":"","parse-names":false,"suffix":""},{"dropping-particle":"","family":"Chen","given":"Xingyuan","non-dropping-particle":"","parse-names":false,"suffix":""},{"dropping-particle":"","family":"Kennedy","given":"David W.","non-dropping-particle":"","parse-names":false,"suffix":""},{"dropping-particle":"","family":"Murray","given":"Christopher J.","non-dropping-particle":"","parse-names":false,"suffix":""},{"dropping-particle":"","family":"Rockhold","given":"Mark L.","non-dropping-particle":"","parse-names":false,"suffix":""},{"dropping-particle":"","family":"Konopka","given":"Allan","non-dropping-particle":"","parse-names":false,"suffix":""}],"container-title":"ISME Journal","id":"ITEM-1","issue":"11","issued":{"date-parts":[["2013"]]},"page":"2069-2079","publisher":"Nature Publishing Group","title":"Quantifying community assembly processes and identifying features that impose them","type":"article-journal","volume":"7"},"uris":["http://www.mendeley.com/documents/?uuid=f9baf325-4ba9-4723-b316-1d8652a63d41"]}],"mendeley":{"formattedCitation":"(Stegen et al., 2013)","manualFormatting":"Stegen et al., 2013","plainTextFormattedCitation":"(Stegen et al., 2013)","previouslyFormattedCitation":"(Stegen et al., 2013)"},"properties":{"noteIndex":0},"schema":"https://github.com/citation-style-language/schema/raw/master/csl-citation.json"}</w:instrText>
      </w:r>
      <w:r>
        <w:fldChar w:fldCharType="separate"/>
      </w:r>
      <w:r w:rsidRPr="00531F7F">
        <w:rPr>
          <w:noProof/>
        </w:rPr>
        <w:t>Stegen et al., 2013</w:t>
      </w:r>
      <w:r>
        <w:fldChar w:fldCharType="end"/>
      </w:r>
      <w:r>
        <w:t xml:space="preserve">, community assembly processes may be deterministic (niche-based) or stochastic (neutral). Deterministic processes include heterogenous selection, whereby selective pressure leads to high compositional turnover, or homogenous selection, whereby selective pressure leads to low compositional turnover. Stochastic processes include dispersal limitation, where low immigration rates lead to high compositional turnover, homogenizing dispersal, where high immigration rates lead to low </w:t>
      </w:r>
      <w:r>
        <w:lastRenderedPageBreak/>
        <w:t xml:space="preserve">compositional turnover, and drift, where random birth/death events lead to compositional turnover. </w:t>
      </w:r>
    </w:p>
    <w:p w14:paraId="693E0EDC" w14:textId="77777777" w:rsidR="004F1438" w:rsidRDefault="004F1438" w:rsidP="004F1438"/>
    <w:p w14:paraId="0CCCFE3E" w14:textId="77777777" w:rsidR="004F1438" w:rsidRDefault="004F1438" w:rsidP="004F1438">
      <w:pPr>
        <w:rPr>
          <w:rFonts w:eastAsiaTheme="minorEastAsia"/>
        </w:rPr>
      </w:pPr>
      <w:r>
        <w:t xml:space="preserve">Ecological processes are evaluated using weighted </w:t>
      </w:r>
      <m:oMath>
        <m:r>
          <w:rPr>
            <w:rFonts w:ascii="Cambria Math" w:hAnsi="Cambria Math"/>
          </w:rPr>
          <m:t>β</m:t>
        </m:r>
      </m:oMath>
      <w:r>
        <w:rPr>
          <w:rFonts w:eastAsiaTheme="minorEastAsia"/>
        </w:rPr>
        <w:t>-nearest taxon index (</w:t>
      </w:r>
      <m:oMath>
        <m:r>
          <w:rPr>
            <w:rFonts w:ascii="Cambria Math" w:hAnsi="Cambria Math"/>
          </w:rPr>
          <m:t>β</m:t>
        </m:r>
      </m:oMath>
      <w:r>
        <w:rPr>
          <w:rFonts w:eastAsiaTheme="minorEastAsia"/>
        </w:rPr>
        <w:t>NTI) and Bray-Curtis based Raup-Crick (</w:t>
      </w:r>
      <w:proofErr w:type="spellStart"/>
      <w:r>
        <w:rPr>
          <w:rFonts w:eastAsiaTheme="minorEastAsia"/>
        </w:rPr>
        <w:t>RC</w:t>
      </w:r>
      <w:r w:rsidRPr="004E2BA6">
        <w:rPr>
          <w:rFonts w:eastAsiaTheme="minorEastAsia"/>
          <w:vertAlign w:val="subscript"/>
        </w:rPr>
        <w:t>bray</w:t>
      </w:r>
      <w:proofErr w:type="spellEnd"/>
      <w:r>
        <w:rPr>
          <w:rFonts w:eastAsiaTheme="minorEastAsia"/>
        </w:rPr>
        <w:t xml:space="preserve">) null models. Phylogenetic turnover between the communities will be analysed using R package “picante” to calculate the weighted </w:t>
      </w:r>
      <m:oMath>
        <m:r>
          <w:rPr>
            <w:rFonts w:ascii="Cambria Math" w:hAnsi="Cambria Math"/>
          </w:rPr>
          <m:t>β</m:t>
        </m:r>
      </m:oMath>
      <w:r>
        <w:rPr>
          <w:rFonts w:eastAsiaTheme="minorEastAsia"/>
        </w:rPr>
        <w:t>-mean nearest ta</w:t>
      </w:r>
      <w:proofErr w:type="spellStart"/>
      <w:r>
        <w:rPr>
          <w:rFonts w:eastAsiaTheme="minorEastAsia"/>
        </w:rPr>
        <w:t>xon</w:t>
      </w:r>
      <w:proofErr w:type="spellEnd"/>
      <w:r>
        <w:rPr>
          <w:rFonts w:eastAsiaTheme="minorEastAsia"/>
        </w:rPr>
        <w:t xml:space="preserve"> distance (</w:t>
      </w:r>
      <m:oMath>
        <m:r>
          <w:rPr>
            <w:rFonts w:ascii="Cambria Math" w:hAnsi="Cambria Math"/>
          </w:rPr>
          <m:t>β</m:t>
        </m:r>
      </m:oMath>
      <w:r>
        <w:rPr>
          <w:rFonts w:eastAsiaTheme="minorEastAsia"/>
        </w:rPr>
        <w:t xml:space="preserve">MNTD). </w:t>
      </w:r>
      <m:oMath>
        <m:r>
          <w:rPr>
            <w:rFonts w:ascii="Cambria Math" w:hAnsi="Cambria Math"/>
          </w:rPr>
          <m:t>β</m:t>
        </m:r>
      </m:oMath>
      <w:r>
        <w:rPr>
          <w:rFonts w:eastAsiaTheme="minorEastAsia"/>
        </w:rPr>
        <w:t xml:space="preserve">NTI is the number of standard deviations of the </w:t>
      </w:r>
      <m:oMath>
        <m:r>
          <w:rPr>
            <w:rFonts w:ascii="Cambria Math" w:hAnsi="Cambria Math"/>
          </w:rPr>
          <m:t>β</m:t>
        </m:r>
      </m:oMath>
      <w:r>
        <w:rPr>
          <w:rFonts w:eastAsiaTheme="minorEastAsia"/>
        </w:rPr>
        <w:t xml:space="preserve">MNTD from the null distribution. If </w:t>
      </w:r>
      <m:oMath>
        <m:r>
          <w:rPr>
            <w:rFonts w:ascii="Cambria Math" w:hAnsi="Cambria Math"/>
          </w:rPr>
          <m:t>β</m:t>
        </m:r>
      </m:oMath>
      <w:r>
        <w:rPr>
          <w:rFonts w:eastAsiaTheme="minorEastAsia"/>
        </w:rPr>
        <w:t xml:space="preserve">NTI is &gt;2 is it suggestive of heterogenous selection, if </w:t>
      </w:r>
      <m:oMath>
        <m:r>
          <w:rPr>
            <w:rFonts w:ascii="Cambria Math" w:hAnsi="Cambria Math"/>
          </w:rPr>
          <m:t>β</m:t>
        </m:r>
      </m:oMath>
      <w:r>
        <w:rPr>
          <w:rFonts w:eastAsiaTheme="minorEastAsia"/>
        </w:rPr>
        <w:t>NTI is &lt;-2 this is evidence of homogenous selection. If |</w:t>
      </w:r>
      <m:oMath>
        <m:r>
          <w:rPr>
            <w:rFonts w:ascii="Cambria Math" w:hAnsi="Cambria Math"/>
          </w:rPr>
          <m:t>β</m:t>
        </m:r>
      </m:oMath>
      <w:r>
        <w:rPr>
          <w:rFonts w:eastAsiaTheme="minorEastAsia"/>
        </w:rPr>
        <w:t xml:space="preserve">NTI| is &lt;2 </w:t>
      </w:r>
      <w:proofErr w:type="spellStart"/>
      <w:r>
        <w:rPr>
          <w:rFonts w:eastAsiaTheme="minorEastAsia"/>
        </w:rPr>
        <w:t>RC</w:t>
      </w:r>
      <w:r w:rsidRPr="00C018B2">
        <w:rPr>
          <w:rFonts w:eastAsiaTheme="minorEastAsia"/>
          <w:vertAlign w:val="subscript"/>
        </w:rPr>
        <w:t>bray</w:t>
      </w:r>
      <w:proofErr w:type="spellEnd"/>
      <w:r>
        <w:rPr>
          <w:rFonts w:eastAsiaTheme="minorEastAsia"/>
        </w:rPr>
        <w:t xml:space="preserve"> values are used to indicate dispersal limitation (</w:t>
      </w:r>
      <w:proofErr w:type="spellStart"/>
      <w:r>
        <w:rPr>
          <w:rFonts w:eastAsiaTheme="minorEastAsia"/>
        </w:rPr>
        <w:t>RC</w:t>
      </w:r>
      <w:r w:rsidRPr="00C018B2">
        <w:rPr>
          <w:rFonts w:eastAsiaTheme="minorEastAsia"/>
          <w:vertAlign w:val="subscript"/>
        </w:rPr>
        <w:t>bray</w:t>
      </w:r>
      <w:proofErr w:type="spellEnd"/>
      <w:r>
        <w:rPr>
          <w:rFonts w:eastAsiaTheme="minorEastAsia"/>
        </w:rPr>
        <w:t xml:space="preserve"> &gt;0.95), homogenizing dispersal (</w:t>
      </w:r>
      <w:proofErr w:type="spellStart"/>
      <w:r>
        <w:rPr>
          <w:rFonts w:eastAsiaTheme="minorEastAsia"/>
        </w:rPr>
        <w:t>RC</w:t>
      </w:r>
      <w:r w:rsidRPr="00C018B2">
        <w:rPr>
          <w:rFonts w:eastAsiaTheme="minorEastAsia"/>
          <w:vertAlign w:val="subscript"/>
        </w:rPr>
        <w:t>bray</w:t>
      </w:r>
      <w:proofErr w:type="spellEnd"/>
      <w:r>
        <w:rPr>
          <w:rFonts w:eastAsiaTheme="minorEastAsia"/>
        </w:rPr>
        <w:t xml:space="preserve"> &lt;-0.95) and drift (|</w:t>
      </w:r>
      <w:proofErr w:type="spellStart"/>
      <w:r>
        <w:rPr>
          <w:rFonts w:eastAsiaTheme="minorEastAsia"/>
        </w:rPr>
        <w:t>RC</w:t>
      </w:r>
      <w:r w:rsidRPr="00C018B2">
        <w:rPr>
          <w:rFonts w:eastAsiaTheme="minorEastAsia"/>
          <w:vertAlign w:val="subscript"/>
        </w:rPr>
        <w:t>bray</w:t>
      </w:r>
      <w:proofErr w:type="spellEnd"/>
      <w:r>
        <w:rPr>
          <w:rFonts w:eastAsiaTheme="minorEastAsia"/>
        </w:rPr>
        <w:t>|&lt;0.95).</w:t>
      </w:r>
    </w:p>
    <w:p w14:paraId="2F424EB7" w14:textId="77777777" w:rsidR="004F1438" w:rsidRDefault="004F1438" w:rsidP="004F1438">
      <w:pPr>
        <w:rPr>
          <w:rFonts w:eastAsiaTheme="minorEastAsia"/>
        </w:rPr>
      </w:pPr>
    </w:p>
    <w:p w14:paraId="1DD2932E" w14:textId="77777777" w:rsidR="004F1438" w:rsidRDefault="004F1438" w:rsidP="004F1438">
      <w:pPr>
        <w:rPr>
          <w:rFonts w:eastAsiaTheme="minorEastAsia"/>
        </w:rPr>
      </w:pPr>
      <w:r>
        <w:rPr>
          <w:rFonts w:eastAsiaTheme="minorEastAsia"/>
        </w:rPr>
        <w:t xml:space="preserve">For total DNA-based and RNA-based bacterial and archaeal communities, the percentage contribution of the 5 ecological processes driving community assembly will be calculated. </w:t>
      </w:r>
    </w:p>
    <w:p w14:paraId="3265173D" w14:textId="77777777" w:rsidR="004F1438" w:rsidRDefault="004F1438" w:rsidP="004F1438">
      <w:pPr>
        <w:rPr>
          <w:rFonts w:eastAsiaTheme="minorEastAsia"/>
        </w:rPr>
      </w:pPr>
    </w:p>
    <w:p w14:paraId="6B395C98" w14:textId="49AA4490" w:rsidR="004F1438" w:rsidRDefault="00F60544" w:rsidP="004F1438">
      <w:pPr>
        <w:pStyle w:val="Heading3"/>
        <w:rPr>
          <w:rFonts w:eastAsiaTheme="minorEastAsia"/>
        </w:rPr>
      </w:pPr>
      <w:r>
        <w:t>2</w:t>
      </w:r>
      <w:r w:rsidR="00E521DC">
        <w:t>.2.</w:t>
      </w:r>
      <w:r w:rsidR="00E521DC">
        <w:t xml:space="preserve">9 </w:t>
      </w:r>
      <w:r w:rsidR="004F1438">
        <w:rPr>
          <w:rFonts w:eastAsiaTheme="minorEastAsia"/>
        </w:rPr>
        <w:t>Co-occurrence network analysis</w:t>
      </w:r>
    </w:p>
    <w:p w14:paraId="12A22078" w14:textId="77777777" w:rsidR="004F1438" w:rsidRDefault="004F1438" w:rsidP="004F1438">
      <w:pPr>
        <w:rPr>
          <w:rFonts w:eastAsiaTheme="minorEastAsia"/>
        </w:rPr>
      </w:pPr>
    </w:p>
    <w:p w14:paraId="70C448C6" w14:textId="77777777" w:rsidR="004F1438" w:rsidRDefault="004F1438" w:rsidP="004F1438">
      <w:pPr>
        <w:rPr>
          <w:rFonts w:eastAsiaTheme="minorEastAsia"/>
        </w:rPr>
      </w:pPr>
      <w:r>
        <w:rPr>
          <w:rFonts w:eastAsiaTheme="minorEastAsia"/>
        </w:rPr>
        <w:t xml:space="preserve">Community co-occurrence network models will be constructed to compare total and active community interactions for bacteria and archaea. </w:t>
      </w:r>
    </w:p>
    <w:p w14:paraId="3528C213" w14:textId="77777777" w:rsidR="004F1438" w:rsidRDefault="004F1438" w:rsidP="004F1438">
      <w:pPr>
        <w:rPr>
          <w:rFonts w:eastAsiaTheme="minorEastAsia"/>
        </w:rPr>
      </w:pPr>
    </w:p>
    <w:p w14:paraId="77AA2D56" w14:textId="77777777" w:rsidR="004F1438" w:rsidRDefault="004F1438" w:rsidP="004F1438">
      <w:pPr>
        <w:rPr>
          <w:rFonts w:eastAsiaTheme="minorEastAsia"/>
        </w:rPr>
      </w:pPr>
      <w:r>
        <w:rPr>
          <w:rFonts w:eastAsiaTheme="minorEastAsia"/>
        </w:rPr>
        <w:t>Total and active bacterial and archaeal community co-occurrence network analysis will be carried out using R packages “vegan”, “</w:t>
      </w:r>
      <w:proofErr w:type="spellStart"/>
      <w:r>
        <w:rPr>
          <w:rFonts w:eastAsiaTheme="minorEastAsia"/>
        </w:rPr>
        <w:t>igraph</w:t>
      </w:r>
      <w:proofErr w:type="spellEnd"/>
      <w:r>
        <w:rPr>
          <w:rFonts w:eastAsiaTheme="minorEastAsia"/>
        </w:rPr>
        <w:t>” and “</w:t>
      </w:r>
      <w:proofErr w:type="spellStart"/>
      <w:r>
        <w:rPr>
          <w:rFonts w:eastAsiaTheme="minorEastAsia"/>
        </w:rPr>
        <w:t>Hmisc</w:t>
      </w:r>
      <w:proofErr w:type="spellEnd"/>
      <w:r>
        <w:rPr>
          <w:rFonts w:eastAsiaTheme="minorEastAsia"/>
        </w:rPr>
        <w:t xml:space="preserve">”. Co-occurrence network analysis can highlight positive (cooperative) and negative (competitive) connections between ASVs. </w:t>
      </w:r>
    </w:p>
    <w:p w14:paraId="569A45A9" w14:textId="77777777" w:rsidR="004F1438" w:rsidRDefault="004F1438" w:rsidP="004F1438">
      <w:pPr>
        <w:rPr>
          <w:rFonts w:eastAsiaTheme="minorEastAsia"/>
        </w:rPr>
      </w:pPr>
    </w:p>
    <w:p w14:paraId="776F4353" w14:textId="77777777" w:rsidR="004F1438" w:rsidRDefault="004F1438" w:rsidP="004F1438">
      <w:pPr>
        <w:rPr>
          <w:rFonts w:eastAsiaTheme="minorEastAsia"/>
        </w:rPr>
      </w:pPr>
      <w:r>
        <w:rPr>
          <w:rFonts w:eastAsiaTheme="minorEastAsia"/>
        </w:rPr>
        <w:t xml:space="preserve">Significant correlations will be indicated by Pearson’s correlation coefficients of &gt;0.6 or &lt;-0.6 with significance level &lt;0.05. I will only use ASVs that are present in at least 30% of samples will be retained for network construction. </w:t>
      </w:r>
    </w:p>
    <w:p w14:paraId="0276CCAE" w14:textId="77777777" w:rsidR="004F1438" w:rsidRDefault="004F1438" w:rsidP="004F1438">
      <w:pPr>
        <w:rPr>
          <w:rFonts w:eastAsiaTheme="minorEastAsia"/>
        </w:rPr>
      </w:pPr>
    </w:p>
    <w:p w14:paraId="2296D6B3" w14:textId="77777777" w:rsidR="004F1438" w:rsidRDefault="004F1438" w:rsidP="004F1438">
      <w:pPr>
        <w:rPr>
          <w:rFonts w:eastAsiaTheme="minorEastAsia"/>
        </w:rPr>
      </w:pPr>
      <w:r>
        <w:rPr>
          <w:rFonts w:eastAsiaTheme="minorEastAsia"/>
        </w:rPr>
        <w:t xml:space="preserve">I will generate a network diagram using </w:t>
      </w:r>
      <w:proofErr w:type="spellStart"/>
      <w:r>
        <w:rPr>
          <w:rFonts w:eastAsiaTheme="minorEastAsia"/>
        </w:rPr>
        <w:t>Gephi</w:t>
      </w:r>
      <w:proofErr w:type="spellEnd"/>
      <w:r>
        <w:rPr>
          <w:rFonts w:eastAsiaTheme="minorEastAsia"/>
        </w:rPr>
        <w:t xml:space="preserve"> software. </w:t>
      </w:r>
    </w:p>
    <w:p w14:paraId="0FB7604F" w14:textId="77777777" w:rsidR="004F1438" w:rsidRDefault="004F1438" w:rsidP="004F1438">
      <w:pPr>
        <w:rPr>
          <w:rFonts w:eastAsiaTheme="minorEastAsia"/>
        </w:rPr>
      </w:pPr>
    </w:p>
    <w:p w14:paraId="08F66190" w14:textId="77777777" w:rsidR="004F1438" w:rsidRDefault="004F1438" w:rsidP="004F1438">
      <w:pPr>
        <w:rPr>
          <w:rFonts w:eastAsiaTheme="minorEastAsia"/>
        </w:rPr>
      </w:pPr>
      <w:r>
        <w:rPr>
          <w:rFonts w:eastAsiaTheme="minorEastAsia"/>
        </w:rPr>
        <w:t>For each sample a subnetwork will be constructed.</w:t>
      </w:r>
    </w:p>
    <w:p w14:paraId="6F0980E4" w14:textId="77777777" w:rsidR="004F1438" w:rsidRDefault="004F1438" w:rsidP="004F1438">
      <w:pPr>
        <w:rPr>
          <w:rFonts w:eastAsiaTheme="minorEastAsia"/>
        </w:rPr>
      </w:pPr>
    </w:p>
    <w:p w14:paraId="5AA291C7" w14:textId="77777777" w:rsidR="004F1438" w:rsidRDefault="004F1438" w:rsidP="004F1438">
      <w:pPr>
        <w:rPr>
          <w:rFonts w:eastAsiaTheme="minorEastAsia"/>
        </w:rPr>
      </w:pPr>
      <w:r>
        <w:rPr>
          <w:rFonts w:eastAsiaTheme="minorEastAsia"/>
        </w:rPr>
        <w:t>To assess the DDRs of microbial co-occurrence patterns will be analysed by calculating subnetwork topological features, including: number of nodes and edges, average node degree, modularity, clustering coefficient, short path, length graph density, betweenness centralization, degree centralization and network diameter. The relationship between distance and co-occurrence pattern dissimilarities will be plotted and Spearman’s correlation coefficient calculated. If there is a significant positive correlation between distance and co-occurrence patterns this will be evidence for significant DDRs for total and active community network structures (i.e. the community structures are spatially autocorrelated and change with increasing distance from one another).</w:t>
      </w:r>
    </w:p>
    <w:p w14:paraId="29BF6F50" w14:textId="77777777" w:rsidR="004F1438" w:rsidRDefault="004F1438" w:rsidP="004F1438">
      <w:pPr>
        <w:rPr>
          <w:rFonts w:eastAsiaTheme="minorEastAsia"/>
        </w:rPr>
      </w:pPr>
    </w:p>
    <w:p w14:paraId="301E18BF" w14:textId="77777777" w:rsidR="004F1438" w:rsidRPr="0098799B" w:rsidRDefault="004F1438" w:rsidP="004F1438">
      <w:pPr>
        <w:rPr>
          <w:rFonts w:eastAsiaTheme="minorEastAsia"/>
        </w:rPr>
      </w:pPr>
      <w:r>
        <w:rPr>
          <w:rFonts w:eastAsiaTheme="minorEastAsia"/>
        </w:rPr>
        <w:t xml:space="preserve">Previous investigations have found predominantly positive connections in DNA-based (total) community co-occurrence network analysis and predominately negative connections in RNA-based (active) community co-occurrence network analysis </w:t>
      </w:r>
      <w:r>
        <w:rPr>
          <w:rFonts w:eastAsiaTheme="minorEastAsia"/>
        </w:rPr>
        <w:fldChar w:fldCharType="begin" w:fldLock="1"/>
      </w:r>
      <w:r>
        <w:rPr>
          <w:rFonts w:eastAsiaTheme="minorEastAsia"/>
        </w:rPr>
        <w:instrText>ADDIN CSL_CITATION {"citationItems":[{"id":"ITEM-1","itemData":{"DOI":"10.1111/mec.12739","ISSN":"1365294X","PMID":"24684298","abstract":"To test the hypothesis that different drivers shape the diversity and biogeography of the total and active bacterial community, we examined the bacterial community composition along two transects, one from the inner Pearl River estuary to the open waters of the South China Sea (SCS) and the other from the Luzon Strait to the SCS basin, using 454 pyrosequencing of the 16S rRNA and 16S rRNA gene (V1-3 regions) and thereby characterizing the active and total bacterial community, respectively. The diversity and biogeographic patterns differed substantially between the active and total bacterial communities. Although the composition of both the total and active bacterial community was strongly correlated with environmental factors and weakly correlated with geographic distance, the active bacterial community displayed higher environmental sensitivity than the total community and particularly a greater distance effect largely caused by the active assemblage from deep waters. The 16S rRNA vs. rDNA relationships indicated that the active bacteria were low in relative abundance in the SCS. This might be due to a high competition between active bacterial taxa as indicated by our community network models. Based on these analyses, we speculate that high competition could cause some dispersal limitation of the active bacterial community resulting in a distinct distance-decay relationship. Altogether, our results indicated that the biogeographic distribution of bacteria in the SCS is the result of both environmental control and distance decay. © 2014 The Authors. Molecular Ecology Published by John Wiley &amp; Sons Ltd.","author":[{"dropping-particle":"","family":"Zhang","given":"Yao","non-dropping-particle":"","parse-names":false,"suffix":""},{"dropping-particle":"","family":"Zhao","given":"Zihao","non-dropping-particle":"","parse-names":false,"suffix":""},{"dropping-particle":"","family":"Dai","given":"Minhan","non-dropping-particle":"","parse-names":false,"suffix":""},{"dropping-particle":"","family":"Jiao","given":"Nianzhi","non-dropping-particle":"","parse-names":false,"suffix":""},{"dropping-particle":"","family":"Herndl","given":"Gerhard J.","non-dropping-particle":"","parse-names":false,"suffix":""}],"container-title":"Molecular Ecology","id":"ITEM-1","issue":"9","issued":{"date-parts":[["2014"]]},"page":"2260-2274","title":"Drivers shaping the diversity and biogeography of total and active bacterial communities in the South China Sea","type":"article-journal","volume":"23"},"uris":["http://www.mendeley.com/documents/?uuid=c89ee646-7dd8-4b6a-a9b4-540bc0d5b52e"]},{"id":"ITEM-2","itemData":{"DOI":"10.3389/fmicb.2019.02404","ISSN":"1664302X","abstract":"The Sansha Yongle Blue Hole is the deepest blue hole in the world and exhibits unique environmental characteristics. In this paper, Illumina sequencing and qPCR analysis were conducted to obtain the microbial information in this special ecosystem. The results showed that the richness and diversity of bacterial communities in the hole was greater than those of archaeal communities, and bacterial and archaeal communities were dominated by Proteobacteria and Euryarchaeota, respectively. Temperature and nitrate concentration significantly contributed to the heterogeneous distribution of major bacterial clades; salinity explained most variations of the archaeal communities, but not significant. A sudden increase of bacterial 16S rRNA, archaeal 16S rRNA, ANAMMOX 16S rRNA, nirS and dsrB gene was noticed from 90 to 100 m in the hole probably due to more phytoplankton at this depth. Sulfur oxidation and nitrate reduction were the most abundant predicted ecological functions in the hole, while lots of archaea were predicted to be involved in aerobic ammonia oxidation and methanogenesis. The co-occurrence network analysis illustrated that a synergistic effect between sulfate reduction and sulfur oxidation, and between nitrogen fixation and denitrification, a certain degree of coupling between sulfur and nitrogen cycle was also observed in the hole. The comparisons of bacterial and archaeal communities between the hole and other caves in the world (or other areas of the South China Sea) suggest that similar conditions are hypothesized to give rise to similar microbial communities, and environmental conditions may contribute significantly to the bacterial and archaeal communities.","author":[{"dropping-particle":"","family":"He","given":"Hui","non-dropping-particle":"","parse-names":false,"suffix":""},{"dropping-particle":"","family":"Fu","given":"Lulu","non-dropping-particle":"","parse-names":false,"suffix":""},{"dropping-particle":"","family":"Liu","given":"Qian","non-dropping-particle":"","parse-names":false,"suffix":""},{"dropping-particle":"","family":"Fu","given":"Liang","non-dropping-particle":"","parse-names":false,"suffix":""},{"dropping-particle":"","family":"Bi","given":"Naishuang","non-dropping-particle":"","parse-names":false,"suffix":""},{"dropping-particle":"","family":"Yang","given":"Zuosheng","non-dropping-particle":"","parse-names":false,"suffix":""},{"dropping-particle":"","family":"Zhen","given":"Yu","non-dropping-particle":"","parse-names":false,"suffix":""}],"container-title":"Frontiers in Microbiology","id":"ITEM-2","issue":"October","issued":{"date-parts":[["2019"]]},"page":"1-16","title":"Community Structure, Abundance and Potential Functions of Bacteria and Archaea in the Sansha Yongle Blue Hole, Xisha, South China Sea","type":"article-journal","volume":"10"},"uris":["http://www.mendeley.com/documents/?uuid=0ece5bc7-d8b0-447f-a94c-28d116c564ff"]}],"mendeley":{"formattedCitation":"(He et al., 2019; Zhang, Zhao, Dai, Jiao, &amp; Herndl, 2014)","plainTextFormattedCitation":"(He et al., 2019; Zhang, Zhao, Dai, Jiao, &amp; Herndl, 2014)","previouslyFormattedCitation":"(He et al., 2019; Zhang, Zhao, Dai, Jiao, &amp; Herndl, 2014)"},"properties":{"noteIndex":0},"schema":"https://github.com/citation-style-language/schema/raw/master/csl-citation.json"}</w:instrText>
      </w:r>
      <w:r>
        <w:rPr>
          <w:rFonts w:eastAsiaTheme="minorEastAsia"/>
        </w:rPr>
        <w:fldChar w:fldCharType="separate"/>
      </w:r>
      <w:r w:rsidRPr="008803AD">
        <w:rPr>
          <w:rFonts w:eastAsiaTheme="minorEastAsia"/>
          <w:noProof/>
        </w:rPr>
        <w:t>(He et al., 2019; Zhang, Zhao, Dai, Jiao, &amp; Herndl, 2014)</w:t>
      </w:r>
      <w:r>
        <w:rPr>
          <w:rFonts w:eastAsiaTheme="minorEastAsia"/>
        </w:rPr>
        <w:fldChar w:fldCharType="end"/>
      </w:r>
      <w:r>
        <w:rPr>
          <w:rFonts w:eastAsiaTheme="minorEastAsia"/>
        </w:rPr>
        <w:t xml:space="preserve">. Dominant positive connections within DNA-based networks </w:t>
      </w:r>
      <w:r>
        <w:rPr>
          <w:rFonts w:eastAsiaTheme="minorEastAsia"/>
        </w:rPr>
        <w:lastRenderedPageBreak/>
        <w:t xml:space="preserve">may be a result of mutual cooperation between taxa after long periods of co-evolution, whilst negative connections in RNA-based networks may be evidence of resource competition </w:t>
      </w:r>
      <w:r>
        <w:rPr>
          <w:rFonts w:eastAsiaTheme="minorEastAsia"/>
        </w:rPr>
        <w:fldChar w:fldCharType="begin" w:fldLock="1"/>
      </w:r>
      <w:r>
        <w:rPr>
          <w:rFonts w:eastAsiaTheme="minorEastAsia"/>
        </w:rPr>
        <w:instrText>ADDIN CSL_CITATION {"citationItems":[{"id":"ITEM-1","itemData":{"DOI":"10.1111/mec.12739","ISSN":"1365294X","PMID":"24684298","abstract":"To test the hypothesis that different drivers shape the diversity and biogeography of the total and active bacterial community, we examined the bacterial community composition along two transects, one from the inner Pearl River estuary to the open waters of the South China Sea (SCS) and the other from the Luzon Strait to the SCS basin, using 454 pyrosequencing of the 16S rRNA and 16S rRNA gene (V1-3 regions) and thereby characterizing the active and total bacterial community, respectively. The diversity and biogeographic patterns differed substantially between the active and total bacterial communities. Although the composition of both the total and active bacterial community was strongly correlated with environmental factors and weakly correlated with geographic distance, the active bacterial community displayed higher environmental sensitivity than the total community and particularly a greater distance effect largely caused by the active assemblage from deep waters. The 16S rRNA vs. rDNA relationships indicated that the active bacteria were low in relative abundance in the SCS. This might be due to a high competition between active bacterial taxa as indicated by our community network models. Based on these analyses, we speculate that high competition could cause some dispersal limitation of the active bacterial community resulting in a distinct distance-decay relationship. Altogether, our results indicated that the biogeographic distribution of bacteria in the SCS is the result of both environmental control and distance decay. © 2014 The Authors. Molecular Ecology Published by John Wiley &amp; Sons Ltd.","author":[{"dropping-particle":"","family":"Zhang","given":"Yao","non-dropping-particle":"","parse-names":false,"suffix":""},{"dropping-particle":"","family":"Zhao","given":"Zihao","non-dropping-particle":"","parse-names":false,"suffix":""},{"dropping-particle":"","family":"Dai","given":"Minhan","non-dropping-particle":"","parse-names":false,"suffix":""},{"dropping-particle":"","family":"Jiao","given":"Nianzhi","non-dropping-particle":"","parse-names":false,"suffix":""},{"dropping-particle":"","family":"Herndl","given":"Gerhard J.","non-dropping-particle":"","parse-names":false,"suffix":""}],"container-title":"Molecular Ecology","id":"ITEM-1","issue":"9","issued":{"date-parts":[["2014"]]},"page":"2260-2274","title":"Drivers shaping the diversity and biogeography of total and active bacterial communities in the South China Sea","type":"article-journal","volume":"23"},"uris":["http://www.mendeley.com/documents/?uuid=c89ee646-7dd8-4b6a-a9b4-540bc0d5b52e"]}],"mendeley":{"formattedCitation":"(Zhang et al., 2014)","plainTextFormattedCitation":"(Zhang et al., 2014)","previouslyFormattedCitation":"(Zhang et al., 2014)"},"properties":{"noteIndex":0},"schema":"https://github.com/citation-style-language/schema/raw/master/csl-citation.json"}</w:instrText>
      </w:r>
      <w:r>
        <w:rPr>
          <w:rFonts w:eastAsiaTheme="minorEastAsia"/>
        </w:rPr>
        <w:fldChar w:fldCharType="separate"/>
      </w:r>
      <w:r w:rsidRPr="008803AD">
        <w:rPr>
          <w:rFonts w:eastAsiaTheme="minorEastAsia"/>
          <w:noProof/>
        </w:rPr>
        <w:t>(Zhang et al., 2014)</w:t>
      </w:r>
      <w:r>
        <w:rPr>
          <w:rFonts w:eastAsiaTheme="minorEastAsia"/>
        </w:rPr>
        <w:fldChar w:fldCharType="end"/>
      </w:r>
      <w:r>
        <w:rPr>
          <w:rFonts w:eastAsiaTheme="minorEastAsia"/>
        </w:rPr>
        <w:t xml:space="preserve">.    </w:t>
      </w:r>
    </w:p>
    <w:p w14:paraId="4042C6DF" w14:textId="77777777" w:rsidR="004F1438" w:rsidRPr="004F1438" w:rsidRDefault="004F1438" w:rsidP="004F1438"/>
    <w:p w14:paraId="75363642" w14:textId="3BCC7897" w:rsidR="00B909DC" w:rsidRDefault="00B909DC" w:rsidP="00B909DC"/>
    <w:p w14:paraId="2E3B0103" w14:textId="5B24F452" w:rsidR="00B909DC" w:rsidRDefault="00F60544" w:rsidP="00B909DC">
      <w:pPr>
        <w:pStyle w:val="Heading2"/>
      </w:pPr>
      <w:r>
        <w:t>3</w:t>
      </w:r>
      <w:r w:rsidR="00B909DC">
        <w:t xml:space="preserve"> Archived cryoconite analysis</w:t>
      </w:r>
    </w:p>
    <w:p w14:paraId="2E66C87D" w14:textId="38262114" w:rsidR="0098799B" w:rsidRDefault="0098799B" w:rsidP="0098799B"/>
    <w:p w14:paraId="22675D3D" w14:textId="132FF6B2" w:rsidR="0098799B" w:rsidRDefault="00F60544" w:rsidP="0098799B">
      <w:pPr>
        <w:pStyle w:val="Heading3"/>
      </w:pPr>
      <w:r>
        <w:t>3</w:t>
      </w:r>
      <w:r w:rsidR="00E521DC">
        <w:t>.1</w:t>
      </w:r>
      <w:r w:rsidR="0098799B">
        <w:t xml:space="preserve"> DNA and RNA extraction</w:t>
      </w:r>
    </w:p>
    <w:p w14:paraId="4ECA2AFF" w14:textId="77777777" w:rsidR="0098799B" w:rsidRDefault="0098799B" w:rsidP="0098799B"/>
    <w:p w14:paraId="3CE069DB" w14:textId="0486AF1D" w:rsidR="0098799B" w:rsidRDefault="0098799B" w:rsidP="0098799B">
      <w:r>
        <w:t xml:space="preserve">DNA/RNA extraction protocol taken from </w:t>
      </w:r>
      <w:r>
        <w:fldChar w:fldCharType="begin" w:fldLock="1"/>
      </w:r>
      <w:r>
        <w:instrText>ADDIN CSL_CITATION {"citationItems":[{"id":"ITEM-1","itemData":{"DOI":"10.1016/j.scitotenv.2020.142252","ISSN":"18791026","PMID":"33182220","abstract":"The biogeography of active microbial communities and the underlying mechanisms in marine sediments are important in microbial ecology but remain unclear. Here, using qPCR and high-throughput sequencing, we investigated bacterial and archaeal community abundances and activities by quantifying the abundance and expression of the 16S rRNA gene respectively, RNA-derived bacterial and archaeal community biogeography, assembly mechanisms and co-occurrence relationships in surface sediment samples from the Bohai Sea (BS), South Yellow Sea (SYS) and the north East China Sea (NECS) of the eastern Chinese marginal seas. The results revealed a higher heterogeneity of bacterial and archaeal community activities than of abundances and heterogeneous ecological functions among areas reflected by community compositions. Furthermore, clear geographic groups (i.e., the BS, SYS and NECS groups) were observed for all, abundant and rare active bacterial and archaeal communities, accompanied by significant distance-decay patterns. However, the abundant and rare taxa showed inconsistent geographic patterns. More importantly, deterministic processes played a greater role than stochastic processes in active bacterial and archaeal community assembly. The rare taxa had weaker abilities to disperse and/or adapt and more complex ecological processes than the abundant taxa. In addition, this study also showed that intertaxa competition was the dominant interaction between active bacterial and archaeal members, which could greatly contribute to dispersal limitation. Moreover, active bacterial and archaeal co-occurrence patterns showed significant distance-decay patterns, which were consistent with the community compositions.","author":[{"dropping-particle":"","family":"Li","given":"Mingyue","non-dropping-particle":"","parse-names":false,"suffix":""},{"dropping-particle":"","family":"Mi","given":"Tiezhu","non-dropping-particle":"","parse-names":false,"suffix":""},{"dropping-particle":"","family":"He","given":"Hui","non-dropping-particle":"","parse-names":false,"suffix":""},{"dropping-particle":"","family":"Chen","given":"Ye","non-dropping-particle":"","parse-names":false,"suffix":""},{"dropping-particle":"","family":"Zhen","given":"Yu","non-dropping-particle":"","parse-names":false,"suffix":""},{"dropping-particle":"","family":"Yu","given":"Zhigang","non-dropping-particle":"","parse-names":false,"suffix":""}],"container-title":"Science of the Total Environment","id":"ITEM-1","issued":{"date-parts":[["2021"]]},"page":"142252","publisher":"Elsevier B.V.","title":"Active bacterial and archaeal communities in coastal sediments: Biogeography pattern, assembly process and co-occurrence relationship","type":"article-journal","volume":"750"},"uris":["http://www.mendeley.com/documents/?uuid=c3c93744-0349-4388-bfe7-7b70eaf3d39f"]}],"mendeley":{"formattedCitation":"(Li et al., 2021)","manualFormatting":"Li et al., 2021","plainTextFormattedCitation":"(Li et al., 2021)","previouslyFormattedCitation":"(Li et al., 2021)"},"properties":{"noteIndex":0},"schema":"https://github.com/citation-style-language/schema/raw/master/csl-citation.json"}</w:instrText>
      </w:r>
      <w:r>
        <w:fldChar w:fldCharType="separate"/>
      </w:r>
      <w:r w:rsidRPr="00973D01">
        <w:rPr>
          <w:noProof/>
        </w:rPr>
        <w:t>Li et al., 2021</w:t>
      </w:r>
      <w:r>
        <w:fldChar w:fldCharType="end"/>
      </w:r>
      <w:r>
        <w:t xml:space="preserve">. A DNA extraction kit will be used to extract total DNA from 0.25g (wet weight) sediment per sample. </w:t>
      </w:r>
      <w:r w:rsidR="004F1438">
        <w:t>An</w:t>
      </w:r>
      <w:r>
        <w:t xml:space="preserve"> RNA extraction kit will be used to extract RNA from 4g (wet weight) sediment per sample. RNA will be purified using DNase Max Kit or similar to remove coextracted DNA. Purified RNA will be used to synthesize complementary DNA (cDNA) using a </w:t>
      </w:r>
      <w:proofErr w:type="spellStart"/>
      <w:r>
        <w:t>Transcriptor</w:t>
      </w:r>
      <w:proofErr w:type="spellEnd"/>
      <w:r>
        <w:t xml:space="preserve"> First Strand cDNA Synthesis Kit or similar. DNA and cDNA will then be stored at -80</w:t>
      </w:r>
      <w:r>
        <w:rPr>
          <w:rFonts w:ascii="Calibri" w:hAnsi="Calibri"/>
        </w:rPr>
        <w:t>°</w:t>
      </w:r>
      <w:r>
        <w:t>C until further analysis. DNA will be used for quantitative p</w:t>
      </w:r>
      <w:r w:rsidRPr="00973D01">
        <w:t>olymerase chain reaction</w:t>
      </w:r>
      <w:r>
        <w:t xml:space="preserve"> (qPCR). cDNA will be used for qPCR and pyrosequencing. </w:t>
      </w:r>
    </w:p>
    <w:p w14:paraId="0849BBA5" w14:textId="77777777" w:rsidR="0098799B" w:rsidRDefault="0098799B" w:rsidP="0098799B"/>
    <w:p w14:paraId="0FB06E8E" w14:textId="577293E2" w:rsidR="0098799B" w:rsidRDefault="00F60544" w:rsidP="0098799B">
      <w:pPr>
        <w:pStyle w:val="Heading3"/>
      </w:pPr>
      <w:r>
        <w:t>3</w:t>
      </w:r>
      <w:r w:rsidR="00E521DC">
        <w:t>.</w:t>
      </w:r>
      <w:r w:rsidR="00E521DC">
        <w:t>2</w:t>
      </w:r>
      <w:r w:rsidR="00E521DC">
        <w:t xml:space="preserve"> </w:t>
      </w:r>
      <w:r w:rsidR="0098799B">
        <w:t>BONCAT</w:t>
      </w:r>
    </w:p>
    <w:p w14:paraId="7E8DE73E" w14:textId="77777777" w:rsidR="0098799B" w:rsidRDefault="0098799B" w:rsidP="0098799B"/>
    <w:p w14:paraId="24ED356E" w14:textId="570F1260" w:rsidR="0098799B" w:rsidRDefault="00F60544" w:rsidP="003F2AD4">
      <w:pPr>
        <w:pStyle w:val="Heading4"/>
      </w:pPr>
      <w:r>
        <w:t>3</w:t>
      </w:r>
      <w:r w:rsidR="00E521DC">
        <w:t>.2.1</w:t>
      </w:r>
      <w:r w:rsidR="0098799B">
        <w:t xml:space="preserve"> BONCAT (visualizing single-cell microbial activity)</w:t>
      </w:r>
    </w:p>
    <w:p w14:paraId="3B2772D6" w14:textId="77777777" w:rsidR="0098799B" w:rsidRDefault="0098799B" w:rsidP="0098799B">
      <w:proofErr w:type="spellStart"/>
      <w:r>
        <w:t>Bioorthogonal</w:t>
      </w:r>
      <w:proofErr w:type="spellEnd"/>
      <w:r>
        <w:t xml:space="preserve"> noncanonical amino acid tagging (BONCAT) is a method for identifying metabolically active cells by tracking the incorporation of </w:t>
      </w:r>
      <w:r w:rsidRPr="006524CC">
        <w:t>﻿</w:t>
      </w:r>
      <w:proofErr w:type="spellStart"/>
      <w:r w:rsidRPr="006524CC">
        <w:t>azide</w:t>
      </w:r>
      <w:proofErr w:type="spellEnd"/>
      <w:r w:rsidRPr="006524CC">
        <w:t xml:space="preserve">‐ or alkyne-bearing methionine </w:t>
      </w:r>
      <w:r>
        <w:t xml:space="preserve">(amino acid) </w:t>
      </w:r>
      <w:r w:rsidRPr="006524CC">
        <w:t>analogues</w:t>
      </w:r>
      <w:r>
        <w:t xml:space="preserve"> into newly synthesized proteins </w:t>
      </w:r>
      <w:r>
        <w:fldChar w:fldCharType="begin" w:fldLock="1"/>
      </w:r>
      <w:r>
        <w:instrText>ADDIN CSL_CITATION {"citationItems":[{"id":"ITEM-1","itemData":{"DOI":"10.1073/pnas.1603757113","ISSN":"10916490","PMID":"27357680","abstract":"To understand the biogeochemical roles of microorganisms in the environment, it is important to determine when and under which conditions they are metabolically active. Bioorthogonal noncanonical amino acid tagging (BONCAT) can reveal active cells by tracking the incorporation of synthetic amino acids into newly synthesized proteins. The phylogenetic identity of translationally active cells can be determined by combining BONCAT with rRNA-targeted fluorescence in situ hybridization (BONCAT-FISH). In theory, BONCAT-labeled cells could be isolated with fluorescence-activated cell sorting (BONCAT-FACS) for subsequent genetic analyses. Here, in the first application, to our knowledge, of BONCAT-FISH and BONCAT-FACS within an environmental context, we probe the translational activity of microbial consortia catalyzing the anaerobic oxidation of methane (AOM), a dominant sink of methane in the ocean. These consortia, which typically are composed of anaerobic methane-oxidizing archaea (ANME) and sulfate-reducing bacteria, have been difficult to study due to their slow in situ growth rates, and fundamental questions remain about their ecology and diversity of interactions occurring between ANME and associated partners. Our activity-correlated analyses of &gt;16,400 microbial aggregates provide the first evidence, to our knowledge, that AOM consortia affiliated with all five major ANME clades are concurrently active under controlled conditions. Surprisingly, sorting of individual BONCAT-labeled consortia followed by whole-genome amplification and 16S rRNA gene sequencing revealed previously unrecognized interactions of ANME with members of the poorly understood phylum Verrucomicrobia. This finding, together with our observation that ANME-associated Verrucomicrobia are found in a variety of geographically distinct methane seep environments, suggests a broader range of symbiotic relationships within AOM consortia than previously thought.","author":[{"dropping-particle":"","family":"Hatzenpichler","given":"Roland","non-dropping-particle":"","parse-names":false,"suffix":""},{"dropping-particle":"","family":"Connon","given":"Stephanie A.","non-dropping-particle":"","parse-names":false,"suffix":""},{"dropping-particle":"","family":"Goudeau","given":"Danielle","non-dropping-particle":"","parse-names":false,"suffix":""},{"dropping-particle":"","family":"Malmstrom","given":"Rex R.","non-dropping-particle":"","parse-names":false,"suffix":""},{"dropping-particle":"","family":"Woyke","given":"Tanja","non-dropping-particle":"","parse-names":false,"suffix":""},{"dropping-particle":"","family":"Orphan","given":"Victoria J.","non-dropping-particle":"","parse-names":false,"suffix":""}],"container-title":"Proceedings of the National Academy of Sciences of the United States of America","id":"ITEM-1","issue":"28","issued":{"date-parts":[["2016","7","12"]]},"page":"E4069-E4078","publisher":"National Academy of Sciences","title":"Visualizing in situ translational activity for identifying and sorting slow-growing archaeal - bacterial consortia","type":"article-journal","volume":"113"},"uris":["http://www.mendeley.com/documents/?uuid=1379aa43-f064-3adf-b409-2f45f8937226"]}],"mendeley":{"formattedCitation":"(Hatzenpichler et al., 2016)","plainTextFormattedCitation":"(Hatzenpichler et al., 2016)","previouslyFormattedCitation":"(Hatzenpichler et al., 2016)"},"properties":{"noteIndex":0},"schema":"https://github.com/citation-style-language/schema/raw/master/csl-citation.json"}</w:instrText>
      </w:r>
      <w:r>
        <w:fldChar w:fldCharType="separate"/>
      </w:r>
      <w:r w:rsidRPr="00352379">
        <w:rPr>
          <w:noProof/>
        </w:rPr>
        <w:t>(Hatzenpichler et al., 2016)</w:t>
      </w:r>
      <w:r>
        <w:fldChar w:fldCharType="end"/>
      </w:r>
      <w:r>
        <w:t>. Translational activity refers to the translation of a messenger RNA (mRNA) molecule sequence to an amino acid sequence during protein synthesis. mRNA is a type of RNA made in the nucleolus before being transported into the cytoplasm to the translational machinery. The translational machinery binds to mRNA molecule and reads the genetic code to build new proteins. So, DNA is transcribed into an mRNA molecule that binds with translational machinery in the cytoplasm to synthesize a new protein. Translationally active cells can be identified by combining BONCAT with rRNA-targeted fluorescence in situ hybridization (BONCAT-FISH). Genetic analysis of BONCAT-labelled cells could be carried out by isolating those cells via fluorescence-activated cell sorting (BONCAT-FACS).</w:t>
      </w:r>
    </w:p>
    <w:p w14:paraId="736D4638" w14:textId="77777777" w:rsidR="0098799B" w:rsidRDefault="0098799B" w:rsidP="0098799B">
      <w:r>
        <w:t xml:space="preserve">  I will incubate cryoconite samples with a biorthogonal synthetic amino acid such as </w:t>
      </w:r>
      <w:r w:rsidRPr="00352379">
        <w:t xml:space="preserve">﻿L-methionine (Met) surrogates L-azidohomoalanine (AHA) </w:t>
      </w:r>
      <w:r>
        <w:t>or</w:t>
      </w:r>
      <w:r w:rsidRPr="00352379">
        <w:t xml:space="preserve"> L-homopropargylglycine (HPG)</w:t>
      </w:r>
      <w:r>
        <w:t>. During incubation the synthetic amino acid will enter the cell. Translationally active cells will incorporate the synthetic amino acid into newly synthesized proteins, in place of Met. Proteins containing the synthetic amino acid are fluorescently labelled via a Cu(I)-</w:t>
      </w:r>
      <w:proofErr w:type="spellStart"/>
      <w:r>
        <w:t>catalyzed</w:t>
      </w:r>
      <w:proofErr w:type="spellEnd"/>
      <w:r>
        <w:t xml:space="preserve"> </w:t>
      </w:r>
      <w:proofErr w:type="spellStart"/>
      <w:r>
        <w:t>azide</w:t>
      </w:r>
      <w:proofErr w:type="spellEnd"/>
      <w:r>
        <w:t xml:space="preserve">−alkyne click reaction. </w:t>
      </w:r>
    </w:p>
    <w:p w14:paraId="63AFB70A" w14:textId="77777777" w:rsidR="0098799B" w:rsidRDefault="0098799B" w:rsidP="0098799B"/>
    <w:p w14:paraId="670DDEA9" w14:textId="45EB75F8" w:rsidR="0098799B" w:rsidRDefault="0098799B" w:rsidP="0098799B">
      <w:r>
        <w:t xml:space="preserve">BONCAT is the labelling of cells actively synthesising proteins while qPCR of 16S rRNA gene transcripts works on the assumption that rRNA is a structural component of ribosomes and ribosomes will increase with metabolic activity. BONCAT is then a more accurate method for labelling translationally active cells, as opposed to quantifying gene transcript numbers which may not necessarily be indicative of true cellular activity. Dormant cells may harbour ribosomes for use when activity recommences in favourable environmental conditions. </w:t>
      </w:r>
    </w:p>
    <w:p w14:paraId="1A23E60B" w14:textId="77777777" w:rsidR="0098799B" w:rsidRDefault="0098799B" w:rsidP="0098799B"/>
    <w:p w14:paraId="6E3CF601" w14:textId="3F56FCC8" w:rsidR="0098799B" w:rsidRDefault="00F60544" w:rsidP="003F2AD4">
      <w:pPr>
        <w:pStyle w:val="Heading3"/>
      </w:pPr>
      <w:r>
        <w:lastRenderedPageBreak/>
        <w:t>3</w:t>
      </w:r>
      <w:r w:rsidR="00E521DC">
        <w:t>.3</w:t>
      </w:r>
      <w:r w:rsidR="0098799B">
        <w:t xml:space="preserve"> qPCR</w:t>
      </w:r>
    </w:p>
    <w:p w14:paraId="33B6858A" w14:textId="77777777" w:rsidR="0098799B" w:rsidRDefault="0098799B" w:rsidP="0098799B"/>
    <w:p w14:paraId="7C2DDEAA" w14:textId="0D1E0357" w:rsidR="0098799B" w:rsidRDefault="003F2AD4" w:rsidP="0098799B">
      <w:r>
        <w:t xml:space="preserve">qPCR of DNA and RNA will be used to verify </w:t>
      </w:r>
      <w:r w:rsidR="00D16011">
        <w:t xml:space="preserve">results of </w:t>
      </w:r>
      <w:r>
        <w:t xml:space="preserve">the active and in-active cell BONCAT quantification. </w:t>
      </w:r>
      <w:r w:rsidR="0098799B">
        <w:t xml:space="preserve">qPCR protocol taken from </w:t>
      </w:r>
      <w:r w:rsidR="0098799B">
        <w:fldChar w:fldCharType="begin" w:fldLock="1"/>
      </w:r>
      <w:r w:rsidR="0098799B">
        <w:instrText>ADDIN CSL_CITATION {"citationItems":[{"id":"ITEM-1","itemData":{"DOI":"10.1016/j.scitotenv.2020.142252","ISSN":"18791026","PMID":"33182220","abstract":"The biogeography of active microbial communities and the underlying mechanisms in marine sediments are important in microbial ecology but remain unclear. Here, using qPCR and high-throughput sequencing, we investigated bacterial and archaeal community abundances and activities by quantifying the abundance and expression of the 16S rRNA gene respectively, RNA-derived bacterial and archaeal community biogeography, assembly mechanisms and co-occurrence relationships in surface sediment samples from the Bohai Sea (BS), South Yellow Sea (SYS) and the north East China Sea (NECS) of the eastern Chinese marginal seas. The results revealed a higher heterogeneity of bacterial and archaeal community activities than of abundances and heterogeneous ecological functions among areas reflected by community compositions. Furthermore, clear geographic groups (i.e., the BS, SYS and NECS groups) were observed for all, abundant and rare active bacterial and archaeal communities, accompanied by significant distance-decay patterns. However, the abundant and rare taxa showed inconsistent geographic patterns. More importantly, deterministic processes played a greater role than stochastic processes in active bacterial and archaeal community assembly. The rare taxa had weaker abilities to disperse and/or adapt and more complex ecological processes than the abundant taxa. In addition, this study also showed that intertaxa competition was the dominant interaction between active bacterial and archaeal members, which could greatly contribute to dispersal limitation. Moreover, active bacterial and archaeal co-occurrence patterns showed significant distance-decay patterns, which were consistent with the community compositions.","author":[{"dropping-particle":"","family":"Li","given":"Mingyue","non-dropping-particle":"","parse-names":false,"suffix":""},{"dropping-particle":"","family":"Mi","given":"Tiezhu","non-dropping-particle":"","parse-names":false,"suffix":""},{"dropping-particle":"","family":"He","given":"Hui","non-dropping-particle":"","parse-names":false,"suffix":""},{"dropping-particle":"","family":"Chen","given":"Ye","non-dropping-particle":"","parse-names":false,"suffix":""},{"dropping-particle":"","family":"Zhen","given":"Yu","non-dropping-particle":"","parse-names":false,"suffix":""},{"dropping-particle":"","family":"Yu","given":"Zhigang","non-dropping-particle":"","parse-names":false,"suffix":""}],"container-title":"Science of the Total Environment","id":"ITEM-1","issued":{"date-parts":[["2021"]]},"page":"142252","publisher":"Elsevier B.V.","title":"Active bacterial and archaeal communities in coastal sediments: Biogeography pattern, assembly process and co-occurrence relationship","type":"article-journal","volume":"750"},"uris":["http://www.mendeley.com/documents/?uuid=c3c93744-0349-4388-bfe7-7b70eaf3d39f"]}],"mendeley":{"formattedCitation":"(Li et al., 2021)","manualFormatting":"Li et al., 2021","plainTextFormattedCitation":"(Li et al., 2021)","previouslyFormattedCitation":"(Li et al., 2021)"},"properties":{"noteIndex":0},"schema":"https://github.com/citation-style-language/schema/raw/master/csl-citation.json"}</w:instrText>
      </w:r>
      <w:r w:rsidR="0098799B">
        <w:fldChar w:fldCharType="separate"/>
      </w:r>
      <w:r w:rsidR="0098799B" w:rsidRPr="00973D01">
        <w:rPr>
          <w:noProof/>
        </w:rPr>
        <w:t>Li et al., 2021</w:t>
      </w:r>
      <w:r w:rsidR="0098799B">
        <w:fldChar w:fldCharType="end"/>
      </w:r>
      <w:r w:rsidR="0098799B">
        <w:t xml:space="preserve">. qPCR will be used to calculate bacterial and archaeal abundance of total (DNA) and active (cDNA) communities for each sample, allowing me to compare the ratio of 16S rRNA gene transcript abundance to 16S rRNA gene abundance for bacterial and archaeal communities and which of 16S rRNA gene transcript abundance and 16S rRNA gene abundance is more heterogenous across samples. DNA and cDNA will be used a template for qPCR with appropriate primers for bacterial and archaeal 16S rRNA genes. qPCR assays will be performed in triplicate, along with positive and negative controls will be used to ensure assays are stable and uncontaminated. Total and active abundances will then be calculated using standard curves.  </w:t>
      </w:r>
    </w:p>
    <w:p w14:paraId="06C4104E" w14:textId="77777777" w:rsidR="0098799B" w:rsidRDefault="0098799B" w:rsidP="0098799B"/>
    <w:p w14:paraId="2AB22D38" w14:textId="4A1877FE" w:rsidR="0098799B" w:rsidRDefault="00F60544" w:rsidP="003F2AD4">
      <w:pPr>
        <w:pStyle w:val="Heading3"/>
      </w:pPr>
      <w:r>
        <w:t>3</w:t>
      </w:r>
      <w:r w:rsidR="00E521DC">
        <w:t>.4</w:t>
      </w:r>
      <w:r w:rsidR="0098799B">
        <w:t xml:space="preserve"> Amplification and sequencing </w:t>
      </w:r>
    </w:p>
    <w:p w14:paraId="107D8F9E" w14:textId="77777777" w:rsidR="0098799B" w:rsidRPr="003D6CD2" w:rsidRDefault="0098799B" w:rsidP="0098799B"/>
    <w:p w14:paraId="3BFB64CF" w14:textId="77777777" w:rsidR="0098799B" w:rsidRDefault="0098799B" w:rsidP="0098799B">
      <w:r>
        <w:t>DNA extraction and metagenome sequencing to assess community-wide gene functions (who’s there, what is their genomic potential)</w:t>
      </w:r>
    </w:p>
    <w:p w14:paraId="36572CD2" w14:textId="77777777" w:rsidR="0098799B" w:rsidRDefault="0098799B" w:rsidP="0098799B"/>
    <w:p w14:paraId="495F430A" w14:textId="77777777" w:rsidR="0098799B" w:rsidRDefault="0098799B" w:rsidP="0098799B">
      <w:r>
        <w:t xml:space="preserve">RNA extraction and </w:t>
      </w:r>
      <w:proofErr w:type="spellStart"/>
      <w:r>
        <w:t>metatranscriptome</w:t>
      </w:r>
      <w:proofErr w:type="spellEnd"/>
      <w:r>
        <w:t xml:space="preserve"> sequencing (what are they doing)</w:t>
      </w:r>
    </w:p>
    <w:p w14:paraId="669BACCC" w14:textId="77777777" w:rsidR="0098799B" w:rsidRDefault="0098799B" w:rsidP="0098799B"/>
    <w:p w14:paraId="7D4109F6" w14:textId="77777777" w:rsidR="0098799B" w:rsidRDefault="0098799B" w:rsidP="0098799B">
      <w:r>
        <w:t xml:space="preserve">Pyrosequencing protocol taken from </w:t>
      </w:r>
      <w:r>
        <w:fldChar w:fldCharType="begin" w:fldLock="1"/>
      </w:r>
      <w:r>
        <w:instrText>ADDIN CSL_CITATION {"citationItems":[{"id":"ITEM-1","itemData":{"DOI":"10.1016/j.scitotenv.2020.142252","ISSN":"18791026","PMID":"33182220","abstract":"The biogeography of active microbial communities and the underlying mechanisms in marine sediments are important in microbial ecology but remain unclear. Here, using qPCR and high-throughput sequencing, we investigated bacterial and archaeal community abundances and activities by quantifying the abundance and expression of the 16S rRNA gene respectively, RNA-derived bacterial and archaeal community biogeography, assembly mechanisms and co-occurrence relationships in surface sediment samples from the Bohai Sea (BS), South Yellow Sea (SYS) and the north East China Sea (NECS) of the eastern Chinese marginal seas. The results revealed a higher heterogeneity of bacterial and archaeal community activities than of abundances and heterogeneous ecological functions among areas reflected by community compositions. Furthermore, clear geographic groups (i.e., the BS, SYS and NECS groups) were observed for all, abundant and rare active bacterial and archaeal communities, accompanied by significant distance-decay patterns. However, the abundant and rare taxa showed inconsistent geographic patterns. More importantly, deterministic processes played a greater role than stochastic processes in active bacterial and archaeal community assembly. The rare taxa had weaker abilities to disperse and/or adapt and more complex ecological processes than the abundant taxa. In addition, this study also showed that intertaxa competition was the dominant interaction between active bacterial and archaeal members, which could greatly contribute to dispersal limitation. Moreover, active bacterial and archaeal co-occurrence patterns showed significant distance-decay patterns, which were consistent with the community compositions.","author":[{"dropping-particle":"","family":"Li","given":"Mingyue","non-dropping-particle":"","parse-names":false,"suffix":""},{"dropping-particle":"","family":"Mi","given":"Tiezhu","non-dropping-particle":"","parse-names":false,"suffix":""},{"dropping-particle":"","family":"He","given":"Hui","non-dropping-particle":"","parse-names":false,"suffix":""},{"dropping-particle":"","family":"Chen","given":"Ye","non-dropping-particle":"","parse-names":false,"suffix":""},{"dropping-particle":"","family":"Zhen","given":"Yu","non-dropping-particle":"","parse-names":false,"suffix":""},{"dropping-particle":"","family":"Yu","given":"Zhigang","non-dropping-particle":"","parse-names":false,"suffix":""}],"container-title":"Science of the Total Environment","id":"ITEM-1","issued":{"date-parts":[["2021"]]},"page":"142252","publisher":"Elsevier B.V.","title":"Active bacterial and archaeal communities in coastal sediments: Biogeography pattern, assembly process and co-occurrence relationship","type":"article-journal","volume":"750"},"uris":["http://www.mendeley.com/documents/?uuid=c3c93744-0349-4388-bfe7-7b70eaf3d39f"]}],"mendeley":{"formattedCitation":"(Li et al., 2021)","manualFormatting":"Li et al., 2021","plainTextFormattedCitation":"(Li et al., 2021)","previouslyFormattedCitation":"(Li et al., 2021)"},"properties":{"noteIndex":0},"schema":"https://github.com/citation-style-language/schema/raw/master/csl-citation.json"}</w:instrText>
      </w:r>
      <w:r>
        <w:fldChar w:fldCharType="separate"/>
      </w:r>
      <w:r w:rsidRPr="00973D01">
        <w:rPr>
          <w:noProof/>
        </w:rPr>
        <w:t>Li et al., 2021</w:t>
      </w:r>
      <w:r>
        <w:fldChar w:fldCharType="end"/>
      </w:r>
      <w:r>
        <w:t>. DNA and cDNA extracted from samples will be used as a template at the RNA level. Primers suitable for bacteria and archaea will be used to amplify the hypervariable V3-V4 (</w:t>
      </w:r>
      <m:oMath>
        <m:r>
          <w:rPr>
            <w:rFonts w:ascii="Cambria Math" w:hAnsi="Cambria Math"/>
          </w:rPr>
          <m:t>~</m:t>
        </m:r>
      </m:oMath>
      <w:r>
        <w:t>480 bp) and V4-V5 (</w:t>
      </w:r>
      <m:oMath>
        <m:r>
          <w:rPr>
            <w:rFonts w:ascii="Cambria Math" w:hAnsi="Cambria Math"/>
          </w:rPr>
          <m:t>~</m:t>
        </m:r>
      </m:oMath>
      <w:r>
        <w:t>420 bp) regions of the 16S rRNA gene. Multiplex sequencing will be used to generate sequence libraries.</w:t>
      </w:r>
    </w:p>
    <w:p w14:paraId="43282C3C" w14:textId="77777777" w:rsidR="0098799B" w:rsidRDefault="0098799B" w:rsidP="0098799B"/>
    <w:p w14:paraId="7735DC06" w14:textId="77777777" w:rsidR="0098799B" w:rsidRDefault="0098799B" w:rsidP="0098799B">
      <w:r>
        <w:t xml:space="preserve">I will carry out molecular characterisation of dissolved and particulate organic matter via </w:t>
      </w:r>
      <w:r w:rsidRPr="00326A27">
        <w:t xml:space="preserve">Fourier transform ion cyclotron resonance </w:t>
      </w:r>
      <w:r>
        <w:t xml:space="preserve">mass spectroscopy </w:t>
      </w:r>
      <w:r w:rsidRPr="00326A27">
        <w:t>FT-ICR-MS</w:t>
      </w:r>
      <w:r>
        <w:t xml:space="preserve">. I will also </w:t>
      </w:r>
      <w:proofErr w:type="gramStart"/>
      <w:r>
        <w:t>using</w:t>
      </w:r>
      <w:proofErr w:type="gramEnd"/>
      <w:r>
        <w:t xml:space="preserve"> g</w:t>
      </w:r>
      <w:r w:rsidRPr="00326A27">
        <w:t>as chromatography–mass spectrometry</w:t>
      </w:r>
      <w:r>
        <w:t xml:space="preserve"> (GC-MS-MS) to characterize metabolites.</w:t>
      </w:r>
    </w:p>
    <w:p w14:paraId="6846D766" w14:textId="77777777" w:rsidR="0098799B" w:rsidRDefault="0098799B" w:rsidP="0098799B"/>
    <w:p w14:paraId="00C262C3" w14:textId="11CCB62B" w:rsidR="0098799B" w:rsidRDefault="00F60544" w:rsidP="003F2AD4">
      <w:pPr>
        <w:pStyle w:val="Heading3"/>
      </w:pPr>
      <w:r>
        <w:t>3</w:t>
      </w:r>
      <w:r w:rsidR="00E521DC">
        <w:t>.5</w:t>
      </w:r>
      <w:r w:rsidR="0098799B">
        <w:t xml:space="preserve"> Bioinformatic analysis</w:t>
      </w:r>
    </w:p>
    <w:p w14:paraId="3B076627" w14:textId="25E6CB06" w:rsidR="003F2AD4" w:rsidRDefault="003F2AD4" w:rsidP="003F2AD4"/>
    <w:p w14:paraId="22076B64" w14:textId="5BEC0406" w:rsidR="003F2AD4" w:rsidRPr="003F2AD4" w:rsidRDefault="003F2AD4" w:rsidP="003F2AD4">
      <w:r>
        <w:t xml:space="preserve">Will repeat method as outlined for metadata </w:t>
      </w:r>
      <w:proofErr w:type="spellStart"/>
      <w:r>
        <w:t>anlysis</w:t>
      </w:r>
      <w:proofErr w:type="spellEnd"/>
      <w:r>
        <w:t>: classification of ASVs and ecological function, quantification of abundant and rare taxa, differences between communities and environmental factors, geographic analysis, community assembly analysis, co-occurrence network analysis.</w:t>
      </w:r>
    </w:p>
    <w:p w14:paraId="237786A6" w14:textId="3B7554F6" w:rsidR="00973D01" w:rsidRDefault="00973D01"/>
    <w:p w14:paraId="1F494639" w14:textId="2D73D513" w:rsidR="00973D01" w:rsidRDefault="00F60544" w:rsidP="00776274">
      <w:pPr>
        <w:pStyle w:val="Heading2"/>
      </w:pPr>
      <w:r>
        <w:t>4</w:t>
      </w:r>
      <w:r w:rsidR="00973D01">
        <w:t xml:space="preserve"> </w:t>
      </w:r>
      <w:proofErr w:type="spellStart"/>
      <w:r w:rsidR="00B909DC">
        <w:t>Foxfonna</w:t>
      </w:r>
      <w:proofErr w:type="spellEnd"/>
      <w:r w:rsidR="00B909DC">
        <w:t xml:space="preserve"> </w:t>
      </w:r>
      <w:r w:rsidR="0098799B">
        <w:t xml:space="preserve">spring </w:t>
      </w:r>
      <w:r w:rsidR="00B909DC">
        <w:t>snow, snow/ice interface and ice analysis</w:t>
      </w:r>
    </w:p>
    <w:p w14:paraId="7F6BC7D0" w14:textId="64DD7557" w:rsidR="00247449" w:rsidRDefault="00247449" w:rsidP="00B909DC"/>
    <w:p w14:paraId="0668117E" w14:textId="0434A538" w:rsidR="00B92424" w:rsidRDefault="00247449" w:rsidP="00B909DC">
      <w:r>
        <w:t xml:space="preserve">Samples will be collected from </w:t>
      </w:r>
      <w:proofErr w:type="spellStart"/>
      <w:r>
        <w:t>Foxfonna</w:t>
      </w:r>
      <w:proofErr w:type="spellEnd"/>
      <w:r>
        <w:t xml:space="preserve"> Glacier along a transect from snow, to snow/ice interface and onto bare ice. Samples will be collected in triplicate to ensure enough biomass for DNA/RNA extraction. Triplicate samples will be thawed and mixed to obtain a </w:t>
      </w:r>
      <w:proofErr w:type="spellStart"/>
      <w:r>
        <w:t>sinlge</w:t>
      </w:r>
      <w:proofErr w:type="spellEnd"/>
      <w:r>
        <w:t xml:space="preserve"> representative sample </w:t>
      </w:r>
      <w:r>
        <w:fldChar w:fldCharType="begin" w:fldLock="1"/>
      </w:r>
      <w:r w:rsidR="00CC2A97">
        <w:instrText>ADDIN CSL_CITATION {"citationItems":[{"id":"ITEM-1","itemData":{"DOI":"10.1016/j.scitotenv.2019.135264","ISSN":"18791026","PMID":"31848061","abstract":"The bacterial community composition of a valley glacier in Svalbard, its pro-glacial channels, and the associated downstream fjord ecosystem was investigated so as to figure out the degree to which downslope transport of microbes from the glacier systems along a hydrological continuum impose an effect on the patterns of diversity in the fjord system. A combination of culture based and high-throughput amplicon sequencing approach was followed which resulted in significant variation (R = 0.873, p = 0.001) in the bacterial community structure between these ecosystems. Dominance of sequences belonging to class β-Proteobacteria was seen in the glacier snow, ice and melt waters (MW) while a relatively higher abundance of OTUs belonging to α-Proteobacteria and Verrucomicrobiae demarcated the fjord waters. Similarity percentage (SIMPER) analysis of the Operational Taxonomic Units (OTUs) showed that OTU 1,105,280 (9.15%) and OTU 331 (6.5%) belonging to Burkholderiaceae (β-proteobacteria) and OTU 101,660 (5.76%) and OTU 520 (5.07%) belonging to Rhodobacteraceae (α-proteobacteria) contributed maximum to the overall dissimilarity between the sampling sites. The bacterial community from the MWs were found to be true signatures of the glacier ecosystem while the Kongsfjorden bacterial fraction mostly represented heterotrophic marine taxa influenced by warm Atlantic waters and presence of organic matter. Significant presence of unknown taxa in the MWs suggests the need to study such unexplored, transient niches for a better understanding of the associated microbial processes. Among the various environmental parameters measured, nutrients (NO3− and SiO42−) were found to exhibit strong association with the MW bacterial community while temperature, trace metals, Cl− and SO42− ions were found to influence the fjord bacterial community. The significant differences in the bacterial community composition between the glacier and the fjord ecosystem suggest the unique nature of these systems which in turn is influenced by the associated environmental parameters.","author":[{"dropping-particle":"","family":"Thomas","given":"Femi Anna","non-dropping-particle":"","parse-names":false,"suffix":""},{"dropping-particle":"","family":"Sinha","given":"Rupesh Kumar","non-dropping-particle":"","parse-names":false,"suffix":""},{"dropping-particle":"","family":"Krishnan","given":"K. P.","non-dropping-particle":"","parse-names":false,"suffix":""}],"container-title":"Science of the Total Environment","id":"ITEM-1","issued":{"date-parts":[["2020"]]},"page":"135264","publisher":"Elsevier B.V.","title":"Bacterial community structure of a glacio-marine system in the Arctic (Ny-Ålesund, Svalbard)","type":"article-journal","volume":"718"},"uris":["http://www.mendeley.com/documents/?uuid=90d56f65-1435-4dd2-98f2-fae8ef9cb980"]}],"mendeley":{"formattedCitation":"(Thomas, Sinha, &amp; Krishnan, 2020)","plainTextFormattedCitation":"(Thomas, Sinha, &amp; Krishnan, 2020)","previouslyFormattedCitation":"(Thomas, Sinha, &amp; Krishnan, 2020)"},"properties":{"noteIndex":0},"schema":"https://github.com/citation-style-language/schema/raw/master/csl-citation.json"}</w:instrText>
      </w:r>
      <w:r>
        <w:fldChar w:fldCharType="separate"/>
      </w:r>
      <w:r w:rsidRPr="00247449">
        <w:rPr>
          <w:noProof/>
        </w:rPr>
        <w:t>(Thomas, Sinha, &amp; Krishnan, 2020)</w:t>
      </w:r>
      <w:r>
        <w:fldChar w:fldCharType="end"/>
      </w:r>
      <w:r>
        <w:t xml:space="preserve">. </w:t>
      </w:r>
    </w:p>
    <w:p w14:paraId="32CFED53" w14:textId="77777777" w:rsidR="00B92424" w:rsidRDefault="00B92424" w:rsidP="00B909DC"/>
    <w:p w14:paraId="1EEB7156" w14:textId="52C5A4E7" w:rsidR="00247449" w:rsidRDefault="00B92424" w:rsidP="00B92424">
      <w:pPr>
        <w:pStyle w:val="Heading3"/>
      </w:pPr>
      <w:r>
        <w:t>4.1 Spatial and environmental characteristics</w:t>
      </w:r>
    </w:p>
    <w:p w14:paraId="20E76933" w14:textId="2FE6DD66" w:rsidR="00F75421" w:rsidRDefault="00F75421" w:rsidP="00B909DC">
      <w:r>
        <w:t xml:space="preserve">  In-situ measurements will include: GPS coordinates, temperature, dissolved oxygen and </w:t>
      </w:r>
      <w:r w:rsidR="00BF6FDB">
        <w:t>conductivity</w:t>
      </w:r>
      <w:r>
        <w:t xml:space="preserve">. </w:t>
      </w:r>
    </w:p>
    <w:p w14:paraId="24CC5A61" w14:textId="28729437" w:rsidR="00F75421" w:rsidRDefault="00F75421" w:rsidP="00B909DC">
      <w:r>
        <w:lastRenderedPageBreak/>
        <w:t xml:space="preserve">  Snow/ice samples will also be taken from each sample site for chemical analysis. Analysis will include dissolved nutrients and major ions (Table 1)</w:t>
      </w:r>
      <w:r w:rsidR="00BF6FDB">
        <w:t>.</w:t>
      </w:r>
    </w:p>
    <w:p w14:paraId="4318F41A" w14:textId="2F5959EB" w:rsidR="00F75421" w:rsidRDefault="00F75421" w:rsidP="00B909DC"/>
    <w:tbl>
      <w:tblPr>
        <w:tblStyle w:val="GridTable4-Accent1"/>
        <w:tblW w:w="0" w:type="auto"/>
        <w:tblLook w:val="0420" w:firstRow="1" w:lastRow="0" w:firstColumn="0" w:lastColumn="0" w:noHBand="0" w:noVBand="1"/>
      </w:tblPr>
      <w:tblGrid>
        <w:gridCol w:w="4505"/>
        <w:gridCol w:w="4505"/>
      </w:tblGrid>
      <w:tr w:rsidR="00F75421" w14:paraId="14043712" w14:textId="77777777" w:rsidTr="00392A59">
        <w:trPr>
          <w:cnfStyle w:val="100000000000" w:firstRow="1" w:lastRow="0" w:firstColumn="0" w:lastColumn="0" w:oddVBand="0" w:evenVBand="0" w:oddHBand="0" w:evenHBand="0" w:firstRowFirstColumn="0" w:firstRowLastColumn="0" w:lastRowFirstColumn="0" w:lastRowLastColumn="0"/>
        </w:trPr>
        <w:tc>
          <w:tcPr>
            <w:tcW w:w="4505" w:type="dxa"/>
          </w:tcPr>
          <w:p w14:paraId="6857932B" w14:textId="36E6692A" w:rsidR="00F75421" w:rsidRPr="00F75421" w:rsidRDefault="00F75421" w:rsidP="00B909DC">
            <w:pPr>
              <w:rPr>
                <w:b w:val="0"/>
              </w:rPr>
            </w:pPr>
            <w:r w:rsidRPr="00F75421">
              <w:rPr>
                <w:b w:val="0"/>
              </w:rPr>
              <w:t>Dissolved Nutrients</w:t>
            </w:r>
          </w:p>
        </w:tc>
        <w:tc>
          <w:tcPr>
            <w:tcW w:w="4505" w:type="dxa"/>
          </w:tcPr>
          <w:p w14:paraId="02B5D049" w14:textId="3A0339F0" w:rsidR="00F75421" w:rsidRPr="00F75421" w:rsidRDefault="00F75421" w:rsidP="00B909DC">
            <w:pPr>
              <w:rPr>
                <w:b w:val="0"/>
              </w:rPr>
            </w:pPr>
            <w:r w:rsidRPr="00F75421">
              <w:rPr>
                <w:b w:val="0"/>
              </w:rPr>
              <w:t>Major Ions</w:t>
            </w:r>
          </w:p>
        </w:tc>
      </w:tr>
      <w:tr w:rsidR="00F75421" w14:paraId="5CB9C831" w14:textId="77777777" w:rsidTr="00392A59">
        <w:trPr>
          <w:cnfStyle w:val="000000100000" w:firstRow="0" w:lastRow="0" w:firstColumn="0" w:lastColumn="0" w:oddVBand="0" w:evenVBand="0" w:oddHBand="1" w:evenHBand="0" w:firstRowFirstColumn="0" w:firstRowLastColumn="0" w:lastRowFirstColumn="0" w:lastRowLastColumn="0"/>
        </w:trPr>
        <w:tc>
          <w:tcPr>
            <w:tcW w:w="4505" w:type="dxa"/>
          </w:tcPr>
          <w:p w14:paraId="00C16A03" w14:textId="104EFD94" w:rsidR="00F75421" w:rsidRDefault="00F75421" w:rsidP="00B909DC">
            <w:r>
              <w:t>Dissolved Organic Carbon</w:t>
            </w:r>
          </w:p>
        </w:tc>
        <w:tc>
          <w:tcPr>
            <w:tcW w:w="4505" w:type="dxa"/>
          </w:tcPr>
          <w:p w14:paraId="170CAF9D" w14:textId="1A741DD5" w:rsidR="00F75421" w:rsidRDefault="00F75421" w:rsidP="00B909DC">
            <w:r>
              <w:t>Chloride (Cl</w:t>
            </w:r>
            <w:r w:rsidRPr="00E93FA8">
              <w:rPr>
                <w:vertAlign w:val="superscript"/>
              </w:rPr>
              <w:t>-</w:t>
            </w:r>
            <w:r>
              <w:t>)</w:t>
            </w:r>
          </w:p>
        </w:tc>
      </w:tr>
      <w:tr w:rsidR="00F75421" w14:paraId="0A6546EB" w14:textId="77777777" w:rsidTr="00392A59">
        <w:tc>
          <w:tcPr>
            <w:tcW w:w="4505" w:type="dxa"/>
          </w:tcPr>
          <w:p w14:paraId="5E41E0F2" w14:textId="330158FC" w:rsidR="00F75421" w:rsidRDefault="00F75421" w:rsidP="00B909DC">
            <w:r>
              <w:t>Dissolved Inorganic Carbon</w:t>
            </w:r>
          </w:p>
        </w:tc>
        <w:tc>
          <w:tcPr>
            <w:tcW w:w="4505" w:type="dxa"/>
          </w:tcPr>
          <w:p w14:paraId="205F7DAE" w14:textId="562AA789" w:rsidR="00F75421" w:rsidRDefault="00F75421" w:rsidP="00B909DC">
            <w:r>
              <w:t>Sulphate (SO</w:t>
            </w:r>
            <w:r w:rsidRPr="00E93FA8">
              <w:rPr>
                <w:vertAlign w:val="subscript"/>
              </w:rPr>
              <w:t>4</w:t>
            </w:r>
            <w:r w:rsidRPr="00E93FA8">
              <w:rPr>
                <w:vertAlign w:val="superscript"/>
              </w:rPr>
              <w:t>2-</w:t>
            </w:r>
            <w:r>
              <w:t>)</w:t>
            </w:r>
          </w:p>
        </w:tc>
      </w:tr>
      <w:tr w:rsidR="00F75421" w14:paraId="23E1C8E6" w14:textId="77777777" w:rsidTr="00392A59">
        <w:trPr>
          <w:cnfStyle w:val="000000100000" w:firstRow="0" w:lastRow="0" w:firstColumn="0" w:lastColumn="0" w:oddVBand="0" w:evenVBand="0" w:oddHBand="1" w:evenHBand="0" w:firstRowFirstColumn="0" w:firstRowLastColumn="0" w:lastRowFirstColumn="0" w:lastRowLastColumn="0"/>
        </w:trPr>
        <w:tc>
          <w:tcPr>
            <w:tcW w:w="4505" w:type="dxa"/>
          </w:tcPr>
          <w:p w14:paraId="6A5E5C84" w14:textId="0DF6AA4C" w:rsidR="00F75421" w:rsidRDefault="00BF6FDB" w:rsidP="00B909DC">
            <w:r>
              <w:t>Total Dissolved Nitrogen</w:t>
            </w:r>
          </w:p>
        </w:tc>
        <w:tc>
          <w:tcPr>
            <w:tcW w:w="4505" w:type="dxa"/>
          </w:tcPr>
          <w:p w14:paraId="4110282B" w14:textId="5F4595DF" w:rsidR="00F75421" w:rsidRDefault="00F75421" w:rsidP="00B909DC">
            <w:r>
              <w:t>Calcium (</w:t>
            </w:r>
            <w:r w:rsidRPr="00E93FA8">
              <w:t>﻿Ca</w:t>
            </w:r>
            <w:r w:rsidRPr="00E93FA8">
              <w:rPr>
                <w:vertAlign w:val="superscript"/>
              </w:rPr>
              <w:t>2+</w:t>
            </w:r>
            <w:r>
              <w:t>)</w:t>
            </w:r>
          </w:p>
        </w:tc>
      </w:tr>
      <w:tr w:rsidR="00F75421" w14:paraId="78046050" w14:textId="77777777" w:rsidTr="00392A59">
        <w:tc>
          <w:tcPr>
            <w:tcW w:w="4505" w:type="dxa"/>
          </w:tcPr>
          <w:p w14:paraId="27E4D9C7" w14:textId="4CA9C836" w:rsidR="00F75421" w:rsidRDefault="00BF6FDB" w:rsidP="00B909DC">
            <w:r>
              <w:t>N</w:t>
            </w:r>
            <w:r>
              <w:t>itrite (NO</w:t>
            </w:r>
            <w:r>
              <w:rPr>
                <w:vertAlign w:val="subscript"/>
              </w:rPr>
              <w:t>2</w:t>
            </w:r>
            <w:r w:rsidRPr="00222505">
              <w:rPr>
                <w:vertAlign w:val="superscript"/>
              </w:rPr>
              <w:t>-</w:t>
            </w:r>
            <w:r>
              <w:t>)</w:t>
            </w:r>
          </w:p>
        </w:tc>
        <w:tc>
          <w:tcPr>
            <w:tcW w:w="4505" w:type="dxa"/>
          </w:tcPr>
          <w:p w14:paraId="11835FF1" w14:textId="2F3EF4AD" w:rsidR="00F75421" w:rsidRDefault="00F75421" w:rsidP="00B909DC">
            <w:r>
              <w:t>Sodium (Na</w:t>
            </w:r>
            <w:r w:rsidRPr="0032567D">
              <w:rPr>
                <w:vertAlign w:val="superscript"/>
              </w:rPr>
              <w:t>+</w:t>
            </w:r>
            <w:r>
              <w:t>)</w:t>
            </w:r>
          </w:p>
        </w:tc>
      </w:tr>
      <w:tr w:rsidR="00F75421" w14:paraId="429678BB" w14:textId="77777777" w:rsidTr="00392A59">
        <w:trPr>
          <w:cnfStyle w:val="000000100000" w:firstRow="0" w:lastRow="0" w:firstColumn="0" w:lastColumn="0" w:oddVBand="0" w:evenVBand="0" w:oddHBand="1" w:evenHBand="0" w:firstRowFirstColumn="0" w:firstRowLastColumn="0" w:lastRowFirstColumn="0" w:lastRowLastColumn="0"/>
        </w:trPr>
        <w:tc>
          <w:tcPr>
            <w:tcW w:w="4505" w:type="dxa"/>
          </w:tcPr>
          <w:p w14:paraId="5AEFCD01" w14:textId="557E8268" w:rsidR="00F75421" w:rsidRDefault="00BF6FDB" w:rsidP="00B909DC">
            <w:r>
              <w:t>Nitrate (NO</w:t>
            </w:r>
            <w:r w:rsidRPr="00222505">
              <w:rPr>
                <w:vertAlign w:val="subscript"/>
              </w:rPr>
              <w:t>3</w:t>
            </w:r>
            <w:r w:rsidRPr="00222505">
              <w:rPr>
                <w:vertAlign w:val="superscript"/>
              </w:rPr>
              <w:t>-</w:t>
            </w:r>
            <w:r>
              <w:t>)</w:t>
            </w:r>
          </w:p>
        </w:tc>
        <w:tc>
          <w:tcPr>
            <w:tcW w:w="4505" w:type="dxa"/>
          </w:tcPr>
          <w:p w14:paraId="3C988797" w14:textId="1F86129B" w:rsidR="00F75421" w:rsidRDefault="00F75421" w:rsidP="00B909DC">
            <w:r>
              <w:t>Potassium (K</w:t>
            </w:r>
            <w:r w:rsidRPr="0032567D">
              <w:rPr>
                <w:vertAlign w:val="superscript"/>
              </w:rPr>
              <w:t>+</w:t>
            </w:r>
            <w:r>
              <w:t>)</w:t>
            </w:r>
          </w:p>
        </w:tc>
      </w:tr>
      <w:tr w:rsidR="00F75421" w14:paraId="0AB4B500" w14:textId="77777777" w:rsidTr="00392A59">
        <w:tc>
          <w:tcPr>
            <w:tcW w:w="4505" w:type="dxa"/>
          </w:tcPr>
          <w:p w14:paraId="21A285B6" w14:textId="54EEAA9B" w:rsidR="00F75421" w:rsidRDefault="00BF6FDB" w:rsidP="00B909DC">
            <w:r>
              <w:t>Ammonium (NH</w:t>
            </w:r>
            <w:r w:rsidRPr="00222505">
              <w:rPr>
                <w:vertAlign w:val="subscript"/>
              </w:rPr>
              <w:t>4</w:t>
            </w:r>
            <w:r w:rsidRPr="00222505">
              <w:rPr>
                <w:vertAlign w:val="superscript"/>
              </w:rPr>
              <w:t>+</w:t>
            </w:r>
            <w:r>
              <w:t>)</w:t>
            </w:r>
          </w:p>
        </w:tc>
        <w:tc>
          <w:tcPr>
            <w:tcW w:w="4505" w:type="dxa"/>
          </w:tcPr>
          <w:p w14:paraId="72F0608B" w14:textId="01619024" w:rsidR="00F75421" w:rsidRDefault="00F75421" w:rsidP="00B909DC">
            <w:r>
              <w:t>Magnesium (Mg</w:t>
            </w:r>
            <w:r w:rsidRPr="0032567D">
              <w:rPr>
                <w:vertAlign w:val="superscript"/>
              </w:rPr>
              <w:t>2+</w:t>
            </w:r>
            <w:r>
              <w:t>)</w:t>
            </w:r>
            <w:r>
              <w:rPr>
                <w:vertAlign w:val="superscript"/>
              </w:rPr>
              <w:t xml:space="preserve">  </w:t>
            </w:r>
          </w:p>
        </w:tc>
      </w:tr>
      <w:tr w:rsidR="00F75421" w14:paraId="07E145CD" w14:textId="77777777" w:rsidTr="00392A59">
        <w:trPr>
          <w:cnfStyle w:val="000000100000" w:firstRow="0" w:lastRow="0" w:firstColumn="0" w:lastColumn="0" w:oddVBand="0" w:evenVBand="0" w:oddHBand="1" w:evenHBand="0" w:firstRowFirstColumn="0" w:firstRowLastColumn="0" w:lastRowFirstColumn="0" w:lastRowLastColumn="0"/>
        </w:trPr>
        <w:tc>
          <w:tcPr>
            <w:tcW w:w="4505" w:type="dxa"/>
          </w:tcPr>
          <w:p w14:paraId="51908842" w14:textId="7989C330" w:rsidR="00F75421" w:rsidRDefault="00BF6FDB" w:rsidP="00B909DC">
            <w:r>
              <w:t>Phosphate (PO</w:t>
            </w:r>
            <w:r w:rsidRPr="00222505">
              <w:rPr>
                <w:vertAlign w:val="subscript"/>
              </w:rPr>
              <w:t>4</w:t>
            </w:r>
            <w:r w:rsidRPr="00222505">
              <w:rPr>
                <w:vertAlign w:val="superscript"/>
              </w:rPr>
              <w:t>3-</w:t>
            </w:r>
            <w:r>
              <w:t>)</w:t>
            </w:r>
          </w:p>
        </w:tc>
        <w:tc>
          <w:tcPr>
            <w:tcW w:w="4505" w:type="dxa"/>
          </w:tcPr>
          <w:p w14:paraId="30C81BDA" w14:textId="617F35DA" w:rsidR="00F75421" w:rsidRDefault="00BF6FDB" w:rsidP="00B909DC">
            <w:r>
              <w:t>Ni</w:t>
            </w:r>
            <w:r>
              <w:t>trate (NO</w:t>
            </w:r>
            <w:r w:rsidRPr="00222505">
              <w:rPr>
                <w:vertAlign w:val="subscript"/>
              </w:rPr>
              <w:t>3</w:t>
            </w:r>
            <w:r w:rsidRPr="00222505">
              <w:rPr>
                <w:vertAlign w:val="superscript"/>
              </w:rPr>
              <w:t>-</w:t>
            </w:r>
            <w:r>
              <w:t>),</w:t>
            </w:r>
          </w:p>
        </w:tc>
      </w:tr>
      <w:tr w:rsidR="00BF6FDB" w14:paraId="29DD6398" w14:textId="77777777" w:rsidTr="00392A59">
        <w:tc>
          <w:tcPr>
            <w:tcW w:w="4505" w:type="dxa"/>
          </w:tcPr>
          <w:p w14:paraId="51C176D4" w14:textId="1EDAD854" w:rsidR="00BF6FDB" w:rsidRDefault="00BF6FDB" w:rsidP="00B909DC">
            <w:r>
              <w:t>Silicon dioxide (SiO</w:t>
            </w:r>
            <w:r w:rsidRPr="00BF6FDB">
              <w:rPr>
                <w:vertAlign w:val="subscript"/>
              </w:rPr>
              <w:t>2</w:t>
            </w:r>
            <w:r>
              <w:t>)</w:t>
            </w:r>
          </w:p>
        </w:tc>
        <w:tc>
          <w:tcPr>
            <w:tcW w:w="4505" w:type="dxa"/>
          </w:tcPr>
          <w:p w14:paraId="05F8839A" w14:textId="37464BE8" w:rsidR="00BF6FDB" w:rsidRDefault="00BF6FDB" w:rsidP="00B909DC"/>
        </w:tc>
      </w:tr>
    </w:tbl>
    <w:p w14:paraId="11DB695C" w14:textId="681F582D" w:rsidR="00F75421" w:rsidRDefault="00F75421" w:rsidP="00F75421">
      <w:pPr>
        <w:jc w:val="center"/>
      </w:pPr>
      <w:r w:rsidRPr="00F75421">
        <w:rPr>
          <w:b/>
        </w:rPr>
        <w:t>Table 1</w:t>
      </w:r>
      <w:r>
        <w:t>. Dissolved nutrients and major ion concentrations for laboratory analysis</w:t>
      </w:r>
    </w:p>
    <w:p w14:paraId="439BD6BB" w14:textId="4C89A6B0" w:rsidR="00247449" w:rsidRDefault="00247449" w:rsidP="00B909DC"/>
    <w:p w14:paraId="57CC9736" w14:textId="28A611B9" w:rsidR="00247449" w:rsidRDefault="00247449" w:rsidP="00B909DC">
      <w:r>
        <w:t>I will repeat DNA/RNA extraction, BONCAT, qPC</w:t>
      </w:r>
      <w:r w:rsidR="00FD3154">
        <w:t xml:space="preserve">R </w:t>
      </w:r>
      <w:r>
        <w:t xml:space="preserve">and sequencing </w:t>
      </w:r>
      <w:r w:rsidR="00FD3154">
        <w:t>procedure</w:t>
      </w:r>
      <w:r>
        <w:t xml:space="preserve"> outlined for archived cryoconite samples and bioinformatics method outlined for metadata analysis.</w:t>
      </w:r>
    </w:p>
    <w:p w14:paraId="79ACAC0C" w14:textId="77777777" w:rsidR="003F2AD4" w:rsidRDefault="003F2AD4" w:rsidP="00B909DC"/>
    <w:p w14:paraId="16A055AE" w14:textId="63CCAE13" w:rsidR="00B909DC" w:rsidRDefault="00F60544" w:rsidP="00B909DC">
      <w:pPr>
        <w:pStyle w:val="Heading2"/>
      </w:pPr>
      <w:r>
        <w:t>5</w:t>
      </w:r>
      <w:r w:rsidR="00B909DC">
        <w:t xml:space="preserve"> </w:t>
      </w:r>
      <w:proofErr w:type="spellStart"/>
      <w:r w:rsidR="00B909DC">
        <w:t>Foxfonna</w:t>
      </w:r>
      <w:proofErr w:type="spellEnd"/>
      <w:r w:rsidR="00B909DC">
        <w:t xml:space="preserve"> </w:t>
      </w:r>
      <w:r w:rsidR="0098799B">
        <w:t xml:space="preserve">summer </w:t>
      </w:r>
      <w:r w:rsidR="00B909DC">
        <w:t>cryoconite analysis</w:t>
      </w:r>
    </w:p>
    <w:p w14:paraId="42525CCD" w14:textId="6CBF01AE" w:rsidR="00B909DC" w:rsidRDefault="00B909DC" w:rsidP="00B909DC"/>
    <w:p w14:paraId="76B06EE9" w14:textId="0E56D3FE" w:rsidR="00B909DC" w:rsidRPr="00B909DC" w:rsidRDefault="00F60544" w:rsidP="0098799B">
      <w:pPr>
        <w:pStyle w:val="Heading3"/>
      </w:pPr>
      <w:r>
        <w:t>5</w:t>
      </w:r>
      <w:r w:rsidR="00B909DC">
        <w:t>.1 Sample collection</w:t>
      </w:r>
    </w:p>
    <w:p w14:paraId="6CEF2761" w14:textId="2DC69E30" w:rsidR="00973D01" w:rsidRDefault="00973D01"/>
    <w:p w14:paraId="37AF6B48" w14:textId="46CCAC32" w:rsidR="00973D01" w:rsidRDefault="00973D01">
      <w:r>
        <w:t xml:space="preserve">Cryoconite hole sediment will be collected from </w:t>
      </w:r>
      <w:proofErr w:type="spellStart"/>
      <w:r>
        <w:t>Foxfonna</w:t>
      </w:r>
      <w:proofErr w:type="spellEnd"/>
      <w:r>
        <w:t xml:space="preserve"> Glacier, Svalbard, in August 2021. (INCLUDE INFO ON THE GLACIER TYPE) 30 cryoconite holes will be sampled using </w:t>
      </w:r>
      <w:proofErr w:type="spellStart"/>
      <w:r>
        <w:t xml:space="preserve">a </w:t>
      </w:r>
      <w:proofErr w:type="spellEnd"/>
      <w:r>
        <w:t xml:space="preserve">spatially nested sampling scheme incorporating scales of 2, 15, and 100m as developed by </w:t>
      </w:r>
      <w:r>
        <w:fldChar w:fldCharType="begin" w:fldLock="1"/>
      </w:r>
      <w:r w:rsidR="00CC2A97">
        <w:instrText>ADDIN CSL_CITATION {"citationItems":[{"id":"ITEM-1","itemData":{"DOI":"10.3389/fevo.2018.00180","ISSN":"2296701X","abstract":"Cryoconite holes are holes in a glacier's surface caused by sediment melting into the glacier. These holes are self-contained ecosystems that include abundant bacterial life within their sediment and liquid water, and have recently gained the attention of microbial ecologists looking to use cryoconite holes as \"natural microcosms\" to study microbial community assembly. Here, we explore the idea that cryoconite holes can be viewed as \"islands,\" in the same sense that an island in the ocean is an area of habitat surrounded by a barrier to entry. In the case of a classic oceanic island, the ocean is a barrier between islands, but in the case of cryoconite holes, the ocean is comprised of impermeable solid ice. We test two hypotheses, born out of island biogeographic theory, that can be readily applied to cryoconite hole bacteria. First, we ask to what extent the size of a cryoconite hole is related to the amount of bacterial diversity found within it. Second, we ask to what extent cryoconite holes exhibit distance decay of similarity, meaning that geographically close holes are expected to harbor similar bacterial communities, and distant holes are expected to harbor more different bacterial communities. To test the island size hypothesis, we measured the sizes of cryoconite holes on three glaciers in Antarctica's Taylor Valley and used DNA sequencing to measure diversity of bacterial communities within them. We found that for two of these glaciers, there is a strong relationship between hole size and bacterial phylogenetic diversity, supporting the idea that cryoconite holes on those glaciers are \"islands.\" The high biomass dispersing to the third glacier we measured could explain the lack of size-diversity relationship, remaining consistent with island biogeography. To test the distance decay of similarity hypothesis, we used DNA sequence data from several previous studies of cryoconite hole bacteria from across the world. Combined with our Taylor Valley data, those data showed that cryoconite holes have strong spatial structuring at scales of one to several hundred kilometers, also supporting the idea that these dirty holes on glaciers are really islands in the cryosphere.","author":[{"dropping-particle":"","family":"Darcy","given":"John L.","non-dropping-particle":"","parse-names":false,"suffix":""},{"dropping-particle":"","family":"Gendron","given":"Eli M.S.","non-dropping-particle":"","parse-names":false,"suffix":""},{"dropping-particle":"","family":"Sommers","given":"Pacifica","non-dropping-particle":"","parse-names":false,"suffix":""},{"dropping-particle":"","family":"Porazinska","given":"Dorota L.","non-dropping-particle":"","parse-names":false,"suffix":""},{"dropping-particle":"","family":"Schmidt","given":"Steven K.","non-dropping-particle":"","parse-names":false,"suffix":""}],"container-title":"Frontiers in Ecology and Evolution","id":"ITEM-1","issue":"NOV","issued":{"date-parts":[["2018"]]},"page":"1-9","title":"Island biogeography of cryoconite hole bacteria in Antarctica's Taylor Valley and around the world","type":"article-journal","volume":"6"},"uris":["http://www.mendeley.com/documents/?uuid=6281d091-dbde-401f-87d0-70d8858286ee"]}],"mendeley":{"formattedCitation":"(Darcy et al., 2018)","manualFormatting":"Darcy, Gendron, Sommers, Porazinska, &amp; Schmidt, 2018. ","plainTextFormattedCitation":"(Darcy et al., 2018)","previouslyFormattedCitation":"(Darcy et al., 2018)"},"properties":{"noteIndex":0},"schema":"https://github.com/citation-style-language/schema/raw/master/csl-citation.json"}</w:instrText>
      </w:r>
      <w:r>
        <w:fldChar w:fldCharType="separate"/>
      </w:r>
      <w:r w:rsidRPr="00973D01">
        <w:rPr>
          <w:noProof/>
        </w:rPr>
        <w:t>Darcy, Gendron, Sommers, Porazinska, &amp; Schmidt, 2018</w:t>
      </w:r>
      <w:r>
        <w:rPr>
          <w:noProof/>
        </w:rPr>
        <w:t xml:space="preserve">. </w:t>
      </w:r>
      <w:r>
        <w:fldChar w:fldCharType="end"/>
      </w:r>
      <w:r>
        <w:t xml:space="preserve">(SHOULD I INCREASE THESE DISTANCES) The sampling regime comprises 5 triangles with sides of 15m, spaced 100m apart. 2 cryoconite holes at approximately 2m apart are sampled at each vertex of the 5 triangles (Figure 1). </w:t>
      </w:r>
    </w:p>
    <w:p w14:paraId="1FE3926A" w14:textId="0A83D282" w:rsidR="00973D01" w:rsidRDefault="00973D01">
      <w:r>
        <w:t xml:space="preserve">  Cryoconite granules will be collected from the bottom of each cryoconite hole using s sterile disposable plastic pipette, placed in a sterile tube and stored at -20</w:t>
      </w:r>
      <w:r>
        <w:rPr>
          <w:rFonts w:ascii="Calibri" w:hAnsi="Calibri"/>
        </w:rPr>
        <w:t>°</w:t>
      </w:r>
      <w:r>
        <w:t>C until returning to the laboratory, where it will be stored at -80</w:t>
      </w:r>
      <w:r>
        <w:rPr>
          <w:rFonts w:ascii="Calibri" w:hAnsi="Calibri"/>
        </w:rPr>
        <w:t>°</w:t>
      </w:r>
      <w:r>
        <w:t>C until further analysis.</w:t>
      </w:r>
    </w:p>
    <w:p w14:paraId="74EC4F38" w14:textId="3F2D6B20" w:rsidR="00973D01" w:rsidRDefault="00973D01"/>
    <w:p w14:paraId="4C7380F1" w14:textId="59303DCC" w:rsidR="00973D01" w:rsidRDefault="00973D01" w:rsidP="00973D01">
      <w:pPr>
        <w:jc w:val="center"/>
      </w:pPr>
      <w:r>
        <w:t xml:space="preserve">Figure 1: Sampling scheme taken from </w:t>
      </w:r>
      <w:r>
        <w:fldChar w:fldCharType="begin" w:fldLock="1"/>
      </w:r>
      <w:r>
        <w:instrText>ADDIN CSL_CITATION {"citationItems":[{"id":"ITEM-1","itemData":{"DOI":"10.3389/fevo.2018.00180","ISSN":"2296701X","abstract":"Cryoconite holes are holes in a glacier's surface caused by sediment melting into the glacier. These holes are self-contained ecosystems that include abundant bacterial life within their sediment and liquid water, and have recently gained the attention of microbial ecologists looking to use cryoconite holes as \"natural microcosms\" to study microbial community assembly. Here, we explore the idea that cryoconite holes can be viewed as \"islands,\" in the same sense that an island in the ocean is an area of habitat surrounded by a barrier to entry. In the case of a classic oceanic island, the ocean is a barrier between islands, but in the case of cryoconite holes, the ocean is comprised of impermeable solid ice. We test two hypotheses, born out of island biogeographic theory, that can be readily applied to cryoconite hole bacteria. First, we ask to what extent the size of a cryoconite hole is related to the amount of bacterial diversity found within it. Second, we ask to what extent cryoconite holes exhibit distance decay of similarity, meaning that geographically close holes are expected to harbor similar bacterial communities, and distant holes are expected to harbor more different bacterial communities. To test the island size hypothesis, we measured the sizes of cryoconite holes on three glaciers in Antarctica's Taylor Valley and used DNA sequencing to measure diversity of bacterial communities within them. We found that for two of these glaciers, there is a strong relationship between hole size and bacterial phylogenetic diversity, supporting the idea that cryoconite holes on those glaciers are \"islands.\" The high biomass dispersing to the third glacier we measured could explain the lack of size-diversity relationship, remaining consistent with island biogeography. To test the distance decay of similarity hypothesis, we used DNA sequence data from several previous studies of cryoconite hole bacteria from across the world. Combined with our Taylor Valley data, those data showed that cryoconite holes have strong spatial structuring at scales of one to several hundred kilometers, also supporting the idea that these dirty holes on glaciers are really islands in the cryosphere.","author":[{"dropping-particle":"","family":"Darcy","given":"John L.","non-dropping-particle":"","parse-names":false,"suffix":""},{"dropping-particle":"","family":"Gendron","given":"Eli M.S.","non-dropping-particle":"","parse-names":false,"suffix":""},{"dropping-particle":"","family":"Sommers","given":"Pacifica","non-dropping-particle":"","parse-names":false,"suffix":""},{"dropping-particle":"","family":"Porazinska","given":"Dorota L.","non-dropping-particle":"","parse-names":false,"suffix":""},{"dropping-particle":"","family":"Schmidt","given":"Steven K.","non-dropping-particle":"","parse-names":false,"suffix":""}],"container-title":"Frontiers in Ecology and Evolution","id":"ITEM-1","issue":"NOV","issued":{"date-parts":[["2018"]]},"page":"1-9","title":"Island biogeography of cryoconite hole bacteria in Antarctica's Taylor Valley and around the world","type":"article-journal","volume":"6"},"uris":["http://www.mendeley.com/documents/?uuid=6281d091-dbde-401f-87d0-70d8858286ee"]}],"mendeley":{"formattedCitation":"(Darcy et al., 2018)","manualFormatting":"Darcy et al., 2018  ","plainTextFormattedCitation":"(Darcy et al., 2018)","previouslyFormattedCitation":"(Darcy et al., 2018)"},"properties":{"noteIndex":0},"schema":"https://github.com/citation-style-language/schema/raw/master/csl-citation.json"}</w:instrText>
      </w:r>
      <w:r>
        <w:fldChar w:fldCharType="separate"/>
      </w:r>
      <w:r w:rsidRPr="00973D01">
        <w:rPr>
          <w:noProof/>
        </w:rPr>
        <w:t>Darcy et al., 2018</w:t>
      </w:r>
      <w:r>
        <w:rPr>
          <w:noProof/>
        </w:rPr>
        <w:t xml:space="preserve">  </w:t>
      </w:r>
      <w:r>
        <w:fldChar w:fldCharType="end"/>
      </w:r>
    </w:p>
    <w:p w14:paraId="54E9989A" w14:textId="5919D2BF" w:rsidR="00973D01" w:rsidRDefault="00973D01" w:rsidP="00973D01">
      <w:pPr>
        <w:jc w:val="center"/>
      </w:pPr>
      <w:r>
        <w:rPr>
          <w:noProof/>
        </w:rPr>
        <w:drawing>
          <wp:inline distT="0" distB="0" distL="0" distR="0" wp14:anchorId="4EB6C300" wp14:editId="10E869BE">
            <wp:extent cx="2616200" cy="10033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Screenshot 2021-01-12 at 09.43.18.png"/>
                    <pic:cNvPicPr/>
                  </pic:nvPicPr>
                  <pic:blipFill>
                    <a:blip r:embed="rId7">
                      <a:extLst>
                        <a:ext uri="{28A0092B-C50C-407E-A947-70E740481C1C}">
                          <a14:useLocalDpi xmlns:a14="http://schemas.microsoft.com/office/drawing/2010/main" val="0"/>
                        </a:ext>
                      </a:extLst>
                    </a:blip>
                    <a:stretch>
                      <a:fillRect/>
                    </a:stretch>
                  </pic:blipFill>
                  <pic:spPr>
                    <a:xfrm>
                      <a:off x="0" y="0"/>
                      <a:ext cx="2616200" cy="1003300"/>
                    </a:xfrm>
                    <a:prstGeom prst="rect">
                      <a:avLst/>
                    </a:prstGeom>
                  </pic:spPr>
                </pic:pic>
              </a:graphicData>
            </a:graphic>
          </wp:inline>
        </w:drawing>
      </w:r>
    </w:p>
    <w:p w14:paraId="6F836B60" w14:textId="27109E21" w:rsidR="001A3A9B" w:rsidRDefault="001A3A9B" w:rsidP="00973D01">
      <w:pPr>
        <w:jc w:val="center"/>
      </w:pPr>
    </w:p>
    <w:p w14:paraId="438F2B89" w14:textId="2E239392" w:rsidR="001A3A9B" w:rsidRDefault="001A3A9B"/>
    <w:p w14:paraId="581D739D" w14:textId="02FFCC98" w:rsidR="00287AB7" w:rsidRDefault="00287AB7" w:rsidP="0098799B">
      <w:pPr>
        <w:pStyle w:val="Heading3"/>
      </w:pPr>
      <w:r>
        <w:t>5.2 Measuring photosynthesis and respiration</w:t>
      </w:r>
    </w:p>
    <w:p w14:paraId="2A588C0E" w14:textId="2201CEB4" w:rsidR="00287AB7" w:rsidRDefault="00287AB7" w:rsidP="00287AB7"/>
    <w:p w14:paraId="3A63A329" w14:textId="501A11E8" w:rsidR="00287AB7" w:rsidRDefault="00287AB7" w:rsidP="00287AB7">
      <w:r>
        <w:t xml:space="preserve">For approximately 5 of the sampled cryoconite holes, gross photosynthesis, respiration and net community production will be measured using </w:t>
      </w:r>
      <w:r w:rsidR="00CC2A97">
        <w:t>the</w:t>
      </w:r>
      <w:r>
        <w:t xml:space="preserve"> </w:t>
      </w:r>
      <m:oMath>
        <m:r>
          <w:rPr>
            <w:rFonts w:ascii="Cambria Math" w:hAnsi="Cambria Math"/>
          </w:rPr>
          <m:t>∆</m:t>
        </m:r>
      </m:oMath>
      <w:r w:rsidR="0031294B">
        <w:rPr>
          <w:rFonts w:eastAsiaTheme="minorEastAsia"/>
        </w:rPr>
        <w:t>C</w:t>
      </w:r>
      <w:r w:rsidR="00CC2A97">
        <w:rPr>
          <w:rFonts w:eastAsiaTheme="minorEastAsia"/>
        </w:rPr>
        <w:t>O</w:t>
      </w:r>
      <w:r w:rsidR="00CC2A97" w:rsidRPr="0031294B">
        <w:rPr>
          <w:rFonts w:eastAsiaTheme="minorEastAsia"/>
          <w:vertAlign w:val="subscript"/>
        </w:rPr>
        <w:t>2</w:t>
      </w:r>
      <w:r w:rsidR="00CC2A97">
        <w:rPr>
          <w:rFonts w:eastAsiaTheme="minorEastAsia"/>
        </w:rPr>
        <w:t xml:space="preserve"> </w:t>
      </w:r>
      <w:r>
        <w:t>24-hour incubation method</w:t>
      </w:r>
      <w:r w:rsidR="00CC2A97">
        <w:t xml:space="preserve"> </w:t>
      </w:r>
      <w:r w:rsidR="00CC2A97">
        <w:fldChar w:fldCharType="begin" w:fldLock="1"/>
      </w:r>
      <w:r w:rsidR="003B61D7">
        <w:instrText>ADDIN CSL_CITATION {"citationItems":[{"id":"ITEM-1","itemData":{"DOI":"10.3189/172756411795932056","ISSN":"02603055","abstract":"Photosynthesis by microbes on the surfaces of glaciers and ice sheets has the potential to fix carbon, alter the albedo of ice surfaces via the production of organic matter and so enhance ice melt. It could also be important for supplying labile organic matter and nutrients to in situ and downstream ecosystems. This study compares in situ 24 hour incubation methods for measuring rates of gross photosynthesis, respiration and net community production (NCP) in cryoconite holes on three Svalbard valley glaciers. Rates of gross photosynthesis and respiration measured by the δCO2 method were closely balanced, resulting in rates of NCP close to the detection limit (mean of -1.3μgCg-1d-1) consistent with previous measurements in Arctic cryoconite holes. This suggests that organic matter within cryoconite holes may be derived largely from allochthonous sources. The molar ratio of δO2 to δCO2 in incubations gave mean respiratory and photosynthetic quotients of 0.80 ± 0.17(1 × SD) and 1.24 ±0.20 (1 × SD), respectively. The 14C method typically underestimated rates of gross photosynthesis (δCO2 method) by more than one order of magnitude and measured a rate closer to NCP.","author":[{"dropping-particle":"","family":"Telling","given":"J.","non-dropping-particle":"","parse-names":false,"suffix":""},{"dropping-particle":"","family":"Anesio","given":"A. M.","non-dropping-particle":"","parse-names":false,"suffix":""},{"dropping-particle":"","family":"Hawkings","given":"J.","non-dropping-particle":"","parse-names":false,"suffix":""},{"dropping-particle":"","family":"Tranter","given":"M.","non-dropping-particle":"","parse-names":false,"suffix":""},{"dropping-particle":"","family":"Wadham","given":"J. L.","non-dropping-particle":"","parse-names":false,"suffix":""},{"dropping-particle":"","family":"Hodson","given":"A. J.","non-dropping-particle":"","parse-names":false,"suffix":""},{"dropping-particle":"","family":"Irvine-Fynn","given":"T.","non-dropping-particle":"","parse-names":false,"suffix":""},{"dropping-particle":"","family":"Yallop","given":"M. L.","non-dropping-particle":"","parse-names":false,"suffix":""}],"container-title":"Annals of Glaciology","id":"ITEM-1","issue":"56","issued":{"date-parts":[["2010"]]},"page":"153-162","title":"Measuring rates of gross photosynthesis and net community production in cryoconite holes: A comparison of field methods","type":"article-journal","volume":"51"},"uris":["http://www.mendeley.com/documents/?uuid=3ec8e199-9b43-4c6d-a9d7-f6688a607680"]}],"mendeley":{"formattedCitation":"(Telling et al., 2010)","plainTextFormattedCitation":"(Telling et al., 2010)","previouslyFormattedCitation":"(Telling et al., 2010)"},"properties":{"noteIndex":0},"schema":"https://github.com/citation-style-language/schema/raw/master/csl-citation.json"}</w:instrText>
      </w:r>
      <w:r w:rsidR="00CC2A97">
        <w:fldChar w:fldCharType="separate"/>
      </w:r>
      <w:r w:rsidR="00CC2A97" w:rsidRPr="00CC2A97">
        <w:rPr>
          <w:noProof/>
        </w:rPr>
        <w:t>(Telling et al., 2010)</w:t>
      </w:r>
      <w:r w:rsidR="00CC2A97">
        <w:fldChar w:fldCharType="end"/>
      </w:r>
      <w:r>
        <w:t xml:space="preserve">. </w:t>
      </w:r>
    </w:p>
    <w:p w14:paraId="47C27A0E" w14:textId="77777777" w:rsidR="00287AB7" w:rsidRPr="00287AB7" w:rsidRDefault="00287AB7" w:rsidP="00287AB7"/>
    <w:p w14:paraId="25E11C7C" w14:textId="799805A5" w:rsidR="00973D01" w:rsidRDefault="00F60544" w:rsidP="0098799B">
      <w:pPr>
        <w:pStyle w:val="Heading3"/>
      </w:pPr>
      <w:r>
        <w:lastRenderedPageBreak/>
        <w:t>5</w:t>
      </w:r>
      <w:r w:rsidR="0098799B">
        <w:t>.2</w:t>
      </w:r>
      <w:r w:rsidR="00973D01">
        <w:t xml:space="preserve"> Spatial and Environmental Characteristics</w:t>
      </w:r>
    </w:p>
    <w:p w14:paraId="10226CA3" w14:textId="13AE6A71" w:rsidR="00973D01" w:rsidRDefault="00973D01"/>
    <w:p w14:paraId="21FAC8C2" w14:textId="233706E1" w:rsidR="00F75421" w:rsidRDefault="00973D01" w:rsidP="00BF6FDB">
      <w:r>
        <w:t>The spatial characteristics of e</w:t>
      </w:r>
      <w:r>
        <w:t xml:space="preserve">ach cryoconite hole will be </w:t>
      </w:r>
      <w:r>
        <w:t xml:space="preserve">recorded including diameter </w:t>
      </w:r>
      <w:r>
        <w:t>measured along north-south and east-west axes, as well as depth, using a tape measure/ruler</w:t>
      </w:r>
      <w:r>
        <w:t xml:space="preserve">. </w:t>
      </w:r>
      <w:r w:rsidR="00BF6FDB">
        <w:t xml:space="preserve">All other spatial and environmental measurements will follow the method set out for </w:t>
      </w:r>
      <w:proofErr w:type="spellStart"/>
      <w:r w:rsidR="00BF6FDB">
        <w:t>Foxfonna</w:t>
      </w:r>
      <w:proofErr w:type="spellEnd"/>
      <w:r w:rsidR="00BF6FDB">
        <w:t xml:space="preserve"> spring expedition. </w:t>
      </w:r>
    </w:p>
    <w:p w14:paraId="4CF896A5" w14:textId="77B80E8E" w:rsidR="00973D01" w:rsidRDefault="00973D01"/>
    <w:p w14:paraId="38089A7A" w14:textId="4BAA57D7" w:rsidR="0092669D" w:rsidRDefault="00F60544" w:rsidP="0098799B">
      <w:pPr>
        <w:pStyle w:val="Heading3"/>
      </w:pPr>
      <w:r>
        <w:t>5</w:t>
      </w:r>
      <w:r w:rsidR="0092669D">
        <w:t>.3 Further analysis</w:t>
      </w:r>
    </w:p>
    <w:p w14:paraId="5370F419" w14:textId="77777777" w:rsidR="0092669D" w:rsidRDefault="0092669D" w:rsidP="0092669D"/>
    <w:p w14:paraId="6B135CE3" w14:textId="3E542714" w:rsidR="00973D01" w:rsidRDefault="0092669D" w:rsidP="0092669D">
      <w:r>
        <w:t>Cryoconite samples</w:t>
      </w:r>
      <w:r w:rsidR="00973D01">
        <w:t xml:space="preserve"> </w:t>
      </w:r>
      <w:r>
        <w:t xml:space="preserve">collected from </w:t>
      </w:r>
      <w:proofErr w:type="spellStart"/>
      <w:r>
        <w:t>Foxfonna</w:t>
      </w:r>
      <w:proofErr w:type="spellEnd"/>
      <w:r>
        <w:t xml:space="preserve"> glacier will follow the DNA/RNA extraction, BONCAT, qPCR, amplification and sequencing, and bioinformatics methods outlined previously.</w:t>
      </w:r>
    </w:p>
    <w:p w14:paraId="04334CBD" w14:textId="3F13AA14" w:rsidR="00FB68F3" w:rsidRDefault="00FB68F3">
      <w:pPr>
        <w:rPr>
          <w:rFonts w:eastAsiaTheme="minorEastAsia"/>
        </w:rPr>
      </w:pPr>
    </w:p>
    <w:p w14:paraId="6E614763" w14:textId="3D4F25C3" w:rsidR="00FB68F3" w:rsidRDefault="00F60544" w:rsidP="00950E6A">
      <w:pPr>
        <w:pStyle w:val="Heading2"/>
      </w:pPr>
      <w:r>
        <w:t>6</w:t>
      </w:r>
      <w:r w:rsidR="00FB68F3">
        <w:t xml:space="preserve"> </w:t>
      </w:r>
      <w:r w:rsidR="00FB68F3">
        <w:t xml:space="preserve">Caveats of </w:t>
      </w:r>
      <w:r w:rsidR="00CF52D6">
        <w:t>m</w:t>
      </w:r>
      <w:r w:rsidR="00FB68F3">
        <w:t>ethod</w:t>
      </w:r>
    </w:p>
    <w:p w14:paraId="24FCA584" w14:textId="77777777" w:rsidR="00FB68F3" w:rsidRDefault="00FB68F3" w:rsidP="00FB68F3"/>
    <w:p w14:paraId="0B6678DF" w14:textId="49188143" w:rsidR="00FB68F3" w:rsidRDefault="00FB68F3" w:rsidP="00FB68F3">
      <w:r>
        <w:t xml:space="preserve">Simulated rRNA/DNA ratios show potential to misclassify active populations as dormant </w:t>
      </w:r>
      <w:r>
        <w:fldChar w:fldCharType="begin" w:fldLock="1"/>
      </w:r>
      <w:r>
        <w:instrText>ADDIN CSL_CITATION {"citationItems":[{"id":"ITEM-1","itemData":{"DOI":"10.1128/AEM.00696-17","ISSN":"10985336","PMID":"28363969","abstract":"The use of rRNA/DNA ratios derived from surveys of rRNA sequences in RNA and DNA extracts is an appealing but poorly validated approach to infer the activity status of environmental microbes. To improve the interpretation of rRNA/DNA ratios, we performed simulations to investigate the effects of community structure, rRNA amplification, and sampling depth on the accuracy of rRNA/DNA ratios in classifying bacterial populations as \"active\" or \"dormant.\" Community structure was an insignificant factor. In contrast, the extent of rRNA amplification that occurs as cells transition from dormant to growing had a significant effect (P &lt; 0.0001) on classification accuracy, with misclassification errors ranging from 16 to 28%, depending on the rRNA amplification model. The error rate increased to 47% when communities included a mixture of rRNA amplification models, but most of the inflated error was false negatives (i.e., active populations misclassified as dormant). Sampling depth also affected error rates (P &lt; 0.001). Inadequate sampling depth produced various artifacts that are characteristic of rRNA/DNA ratios generated from real communities. These data show important constraints on the use of rRNA/DNA ratios to infer activity status. Whereas classification of populations as active based on rRNA/DNA ratios appears generally valid, classification of populations as dormant is potentially far less accurate.","author":[{"dropping-particle":"","family":"Steven","given":"Blaire","non-dropping-particle":"","parse-names":false,"suffix":""},{"dropping-particle":"","family":"Hesse","given":"Cedar","non-dropping-particle":"","parse-names":false,"suffix":""},{"dropping-particle":"","family":"Soghigian","given":"John","non-dropping-particle":"","parse-names":false,"suffix":""},{"dropping-particle":"","family":"Gallegos-Graves","given":"La Verne","non-dropping-particle":"","parse-names":false,"suffix":""},{"dropping-particle":"","family":"Dunbar","given":"John","non-dropping-particle":"","parse-names":false,"suffix":""}],"container-title":"Applied and Environmental Microbiology","id":"ITEM-1","issue":"11","issued":{"date-parts":[["2017"]]},"page":"1-11","title":"Simulated rRNA/DNA ratios show potential to misclassify active populations as dormant","type":"article-journal","volume":"83"},"uris":["http://www.mendeley.com/documents/?uuid=def298f4-3fa3-4fbb-9ece-8e3cf266da65"]}],"mendeley":{"formattedCitation":"(Steven, Hesse, Soghigian, Gallegos-Graves, &amp; Dunbar, 2017)","plainTextFormattedCitation":"(Steven, Hesse, Soghigian, Gallegos-Graves, &amp; Dunbar, 2017)","previouslyFormattedCitation":"(Steven, Hesse, Soghigian, Gallegos-Graves, &amp; Dunbar, 2017)"},"properties":{"noteIndex":0},"schema":"https://github.com/citation-style-language/schema/raw/master/csl-citation.json"}</w:instrText>
      </w:r>
      <w:r>
        <w:fldChar w:fldCharType="separate"/>
      </w:r>
      <w:r w:rsidRPr="00FC7B33">
        <w:rPr>
          <w:noProof/>
        </w:rPr>
        <w:t>(Steven, Hesse, Soghigian, Gallegos-Graves, &amp; Dunbar, 2017)</w:t>
      </w:r>
      <w:r>
        <w:fldChar w:fldCharType="end"/>
      </w:r>
    </w:p>
    <w:p w14:paraId="2F8D8F29" w14:textId="77777777" w:rsidR="004864FB" w:rsidRDefault="004864FB"/>
    <w:p w14:paraId="6C78322E" w14:textId="631ACCB1" w:rsidR="00973D01" w:rsidRDefault="00F60544" w:rsidP="00950E6A">
      <w:pPr>
        <w:pStyle w:val="Heading2"/>
      </w:pPr>
      <w:r>
        <w:t>7</w:t>
      </w:r>
      <w:r w:rsidR="00FB68F3">
        <w:t xml:space="preserve"> </w:t>
      </w:r>
      <w:r w:rsidR="00973D01">
        <w:t xml:space="preserve">Bibliography </w:t>
      </w:r>
    </w:p>
    <w:p w14:paraId="595FF9A9" w14:textId="51F9C05B" w:rsidR="00973D01" w:rsidRDefault="00973D01"/>
    <w:p w14:paraId="3F367F97" w14:textId="30C15EDB" w:rsidR="003B61D7" w:rsidRPr="003B61D7" w:rsidRDefault="00973D01" w:rsidP="003B61D7">
      <w:pPr>
        <w:widowControl w:val="0"/>
        <w:autoSpaceDE w:val="0"/>
        <w:autoSpaceDN w:val="0"/>
        <w:adjustRightInd w:val="0"/>
        <w:ind w:left="480" w:hanging="480"/>
        <w:rPr>
          <w:rFonts w:ascii="Calibri" w:hAnsi="Calibri" w:cs="Times New Roman"/>
          <w:noProof/>
          <w:lang w:val="en-US"/>
        </w:rPr>
      </w:pPr>
      <w:r>
        <w:fldChar w:fldCharType="begin" w:fldLock="1"/>
      </w:r>
      <w:r>
        <w:instrText xml:space="preserve">ADDIN Mendeley Bibliography CSL_BIBLIOGRAPHY </w:instrText>
      </w:r>
      <w:r>
        <w:fldChar w:fldCharType="separate"/>
      </w:r>
      <w:r w:rsidR="003B61D7" w:rsidRPr="003B61D7">
        <w:rPr>
          <w:rFonts w:ascii="Calibri" w:hAnsi="Calibri" w:cs="Times New Roman"/>
          <w:noProof/>
          <w:lang w:val="en-US"/>
        </w:rPr>
        <w:t xml:space="preserve">Callahan, B. J., McMurdie, P. J., &amp; Holmes, S. P. (2017). Exact sequence variants should replace operational taxonomic units in marker-gene data analysis. </w:t>
      </w:r>
      <w:r w:rsidR="003B61D7" w:rsidRPr="003B61D7">
        <w:rPr>
          <w:rFonts w:ascii="Calibri" w:hAnsi="Calibri" w:cs="Times New Roman"/>
          <w:i/>
          <w:iCs/>
          <w:noProof/>
          <w:lang w:val="en-US"/>
        </w:rPr>
        <w:t>ISME Journal</w:t>
      </w:r>
      <w:r w:rsidR="003B61D7" w:rsidRPr="003B61D7">
        <w:rPr>
          <w:rFonts w:ascii="Calibri" w:hAnsi="Calibri" w:cs="Times New Roman"/>
          <w:noProof/>
          <w:lang w:val="en-US"/>
        </w:rPr>
        <w:t xml:space="preserve">, </w:t>
      </w:r>
      <w:r w:rsidR="003B61D7" w:rsidRPr="003B61D7">
        <w:rPr>
          <w:rFonts w:ascii="Calibri" w:hAnsi="Calibri" w:cs="Times New Roman"/>
          <w:i/>
          <w:iCs/>
          <w:noProof/>
          <w:lang w:val="en-US"/>
        </w:rPr>
        <w:t>11</w:t>
      </w:r>
      <w:r w:rsidR="003B61D7" w:rsidRPr="003B61D7">
        <w:rPr>
          <w:rFonts w:ascii="Calibri" w:hAnsi="Calibri" w:cs="Times New Roman"/>
          <w:noProof/>
          <w:lang w:val="en-US"/>
        </w:rPr>
        <w:t>(12), 2639–2643. https://doi.org/10.1038/ismej.2017.119</w:t>
      </w:r>
    </w:p>
    <w:p w14:paraId="28C99933" w14:textId="77777777" w:rsidR="003B61D7" w:rsidRPr="003B61D7" w:rsidRDefault="003B61D7" w:rsidP="003B61D7">
      <w:pPr>
        <w:widowControl w:val="0"/>
        <w:autoSpaceDE w:val="0"/>
        <w:autoSpaceDN w:val="0"/>
        <w:adjustRightInd w:val="0"/>
        <w:ind w:left="480" w:hanging="480"/>
        <w:rPr>
          <w:rFonts w:ascii="Calibri" w:hAnsi="Calibri" w:cs="Times New Roman"/>
          <w:noProof/>
          <w:lang w:val="en-US"/>
        </w:rPr>
      </w:pPr>
      <w:r w:rsidRPr="003B61D7">
        <w:rPr>
          <w:rFonts w:ascii="Calibri" w:hAnsi="Calibri" w:cs="Times New Roman"/>
          <w:noProof/>
          <w:lang w:val="en-US"/>
        </w:rPr>
        <w:t xml:space="preserve">Darcy, J. L., Gendron, E. M. S., Sommers, P., Porazinska, D. L., &amp; Schmidt, S. K. (2018). Island biogeography of cryoconite hole bacteria in Antarctica’s Taylor Valley and around the world. </w:t>
      </w:r>
      <w:r w:rsidRPr="003B61D7">
        <w:rPr>
          <w:rFonts w:ascii="Calibri" w:hAnsi="Calibri" w:cs="Times New Roman"/>
          <w:i/>
          <w:iCs/>
          <w:noProof/>
          <w:lang w:val="en-US"/>
        </w:rPr>
        <w:t>Frontiers in Ecology and Evolution</w:t>
      </w:r>
      <w:r w:rsidRPr="003B61D7">
        <w:rPr>
          <w:rFonts w:ascii="Calibri" w:hAnsi="Calibri" w:cs="Times New Roman"/>
          <w:noProof/>
          <w:lang w:val="en-US"/>
        </w:rPr>
        <w:t xml:space="preserve">, </w:t>
      </w:r>
      <w:r w:rsidRPr="003B61D7">
        <w:rPr>
          <w:rFonts w:ascii="Calibri" w:hAnsi="Calibri" w:cs="Times New Roman"/>
          <w:i/>
          <w:iCs/>
          <w:noProof/>
          <w:lang w:val="en-US"/>
        </w:rPr>
        <w:t>6</w:t>
      </w:r>
      <w:r w:rsidRPr="003B61D7">
        <w:rPr>
          <w:rFonts w:ascii="Calibri" w:hAnsi="Calibri" w:cs="Times New Roman"/>
          <w:noProof/>
          <w:lang w:val="en-US"/>
        </w:rPr>
        <w:t>(NOV), 1–9. https://doi.org/10.3389/fevo.2018.00180</w:t>
      </w:r>
    </w:p>
    <w:p w14:paraId="59070F18" w14:textId="77777777" w:rsidR="003B61D7" w:rsidRPr="003B61D7" w:rsidRDefault="003B61D7" w:rsidP="003B61D7">
      <w:pPr>
        <w:widowControl w:val="0"/>
        <w:autoSpaceDE w:val="0"/>
        <w:autoSpaceDN w:val="0"/>
        <w:adjustRightInd w:val="0"/>
        <w:ind w:left="480" w:hanging="480"/>
        <w:rPr>
          <w:rFonts w:ascii="Calibri" w:hAnsi="Calibri" w:cs="Times New Roman"/>
          <w:noProof/>
          <w:lang w:val="en-US"/>
        </w:rPr>
      </w:pPr>
      <w:r w:rsidRPr="003B61D7">
        <w:rPr>
          <w:rFonts w:ascii="Calibri" w:hAnsi="Calibri" w:cs="Times New Roman"/>
          <w:noProof/>
          <w:lang w:val="en-US"/>
        </w:rPr>
        <w:t xml:space="preserve">Hatzenpichler, R., Connon, S. A., Goudeau, D., Malmstrom, R. R., Woyke, T., &amp; Orphan, V. J. (2016). Visualizing in situ translational activity for identifying and sorting slow-growing archaeal - bacterial consortia. </w:t>
      </w:r>
      <w:r w:rsidRPr="003B61D7">
        <w:rPr>
          <w:rFonts w:ascii="Calibri" w:hAnsi="Calibri" w:cs="Times New Roman"/>
          <w:i/>
          <w:iCs/>
          <w:noProof/>
          <w:lang w:val="en-US"/>
        </w:rPr>
        <w:t>Proceedings of the National Academy of Sciences of the United States of America</w:t>
      </w:r>
      <w:r w:rsidRPr="003B61D7">
        <w:rPr>
          <w:rFonts w:ascii="Calibri" w:hAnsi="Calibri" w:cs="Times New Roman"/>
          <w:noProof/>
          <w:lang w:val="en-US"/>
        </w:rPr>
        <w:t xml:space="preserve">, </w:t>
      </w:r>
      <w:r w:rsidRPr="003B61D7">
        <w:rPr>
          <w:rFonts w:ascii="Calibri" w:hAnsi="Calibri" w:cs="Times New Roman"/>
          <w:i/>
          <w:iCs/>
          <w:noProof/>
          <w:lang w:val="en-US"/>
        </w:rPr>
        <w:t>113</w:t>
      </w:r>
      <w:r w:rsidRPr="003B61D7">
        <w:rPr>
          <w:rFonts w:ascii="Calibri" w:hAnsi="Calibri" w:cs="Times New Roman"/>
          <w:noProof/>
          <w:lang w:val="en-US"/>
        </w:rPr>
        <w:t>(28), E4069–E4078. https://doi.org/10.1073/pnas.1603757113</w:t>
      </w:r>
    </w:p>
    <w:p w14:paraId="7EDAF630" w14:textId="77777777" w:rsidR="003B61D7" w:rsidRPr="003B61D7" w:rsidRDefault="003B61D7" w:rsidP="003B61D7">
      <w:pPr>
        <w:widowControl w:val="0"/>
        <w:autoSpaceDE w:val="0"/>
        <w:autoSpaceDN w:val="0"/>
        <w:adjustRightInd w:val="0"/>
        <w:ind w:left="480" w:hanging="480"/>
        <w:rPr>
          <w:rFonts w:ascii="Calibri" w:hAnsi="Calibri" w:cs="Times New Roman"/>
          <w:noProof/>
          <w:lang w:val="en-US"/>
        </w:rPr>
      </w:pPr>
      <w:r w:rsidRPr="003B61D7">
        <w:rPr>
          <w:rFonts w:ascii="Calibri" w:hAnsi="Calibri" w:cs="Times New Roman"/>
          <w:noProof/>
          <w:lang w:val="en-US"/>
        </w:rPr>
        <w:t xml:space="preserve">He, H., Fu, L., Liu, Q., Fu, L., Bi, N., Yang, Z., &amp; Zhen, Y. (2019). Community Structure, Abundance and Potential Functions of Bacteria and Archaea in the Sansha Yongle Blue Hole, Xisha, South China Sea. </w:t>
      </w:r>
      <w:r w:rsidRPr="003B61D7">
        <w:rPr>
          <w:rFonts w:ascii="Calibri" w:hAnsi="Calibri" w:cs="Times New Roman"/>
          <w:i/>
          <w:iCs/>
          <w:noProof/>
          <w:lang w:val="en-US"/>
        </w:rPr>
        <w:t>Frontiers in Microbiology</w:t>
      </w:r>
      <w:r w:rsidRPr="003B61D7">
        <w:rPr>
          <w:rFonts w:ascii="Calibri" w:hAnsi="Calibri" w:cs="Times New Roman"/>
          <w:noProof/>
          <w:lang w:val="en-US"/>
        </w:rPr>
        <w:t xml:space="preserve">, </w:t>
      </w:r>
      <w:r w:rsidRPr="003B61D7">
        <w:rPr>
          <w:rFonts w:ascii="Calibri" w:hAnsi="Calibri" w:cs="Times New Roman"/>
          <w:i/>
          <w:iCs/>
          <w:noProof/>
          <w:lang w:val="en-US"/>
        </w:rPr>
        <w:t>10</w:t>
      </w:r>
      <w:r w:rsidRPr="003B61D7">
        <w:rPr>
          <w:rFonts w:ascii="Calibri" w:hAnsi="Calibri" w:cs="Times New Roman"/>
          <w:noProof/>
          <w:lang w:val="en-US"/>
        </w:rPr>
        <w:t>(October), 1–16. https://doi.org/10.3389/fmicb.2019.02404</w:t>
      </w:r>
    </w:p>
    <w:p w14:paraId="312393E9" w14:textId="77777777" w:rsidR="003B61D7" w:rsidRPr="003B61D7" w:rsidRDefault="003B61D7" w:rsidP="003B61D7">
      <w:pPr>
        <w:widowControl w:val="0"/>
        <w:autoSpaceDE w:val="0"/>
        <w:autoSpaceDN w:val="0"/>
        <w:adjustRightInd w:val="0"/>
        <w:ind w:left="480" w:hanging="480"/>
        <w:rPr>
          <w:rFonts w:ascii="Calibri" w:hAnsi="Calibri" w:cs="Times New Roman"/>
          <w:noProof/>
          <w:lang w:val="en-US"/>
        </w:rPr>
      </w:pPr>
      <w:r w:rsidRPr="003B61D7">
        <w:rPr>
          <w:rFonts w:ascii="Calibri" w:hAnsi="Calibri" w:cs="Times New Roman"/>
          <w:noProof/>
          <w:lang w:val="en-US"/>
        </w:rPr>
        <w:t xml:space="preserve">Li, M., Mi, T., He, H., Chen, Y., Zhen, Y., &amp; Yu, Z. (2021). Active bacterial and archaeal communities in coastal sediments: Biogeography pattern, assembly process and co-occurrence relationship. </w:t>
      </w:r>
      <w:r w:rsidRPr="003B61D7">
        <w:rPr>
          <w:rFonts w:ascii="Calibri" w:hAnsi="Calibri" w:cs="Times New Roman"/>
          <w:i/>
          <w:iCs/>
          <w:noProof/>
          <w:lang w:val="en-US"/>
        </w:rPr>
        <w:t>Science of the Total Environment</w:t>
      </w:r>
      <w:r w:rsidRPr="003B61D7">
        <w:rPr>
          <w:rFonts w:ascii="Calibri" w:hAnsi="Calibri" w:cs="Times New Roman"/>
          <w:noProof/>
          <w:lang w:val="en-US"/>
        </w:rPr>
        <w:t xml:space="preserve">, </w:t>
      </w:r>
      <w:r w:rsidRPr="003B61D7">
        <w:rPr>
          <w:rFonts w:ascii="Calibri" w:hAnsi="Calibri" w:cs="Times New Roman"/>
          <w:i/>
          <w:iCs/>
          <w:noProof/>
          <w:lang w:val="en-US"/>
        </w:rPr>
        <w:t>750</w:t>
      </w:r>
      <w:r w:rsidRPr="003B61D7">
        <w:rPr>
          <w:rFonts w:ascii="Calibri" w:hAnsi="Calibri" w:cs="Times New Roman"/>
          <w:noProof/>
          <w:lang w:val="en-US"/>
        </w:rPr>
        <w:t>, 142252. https://doi.org/10.1016/j.scitotenv.2020.142252</w:t>
      </w:r>
    </w:p>
    <w:p w14:paraId="3CEE30E1" w14:textId="77777777" w:rsidR="003B61D7" w:rsidRPr="003B61D7" w:rsidRDefault="003B61D7" w:rsidP="003B61D7">
      <w:pPr>
        <w:widowControl w:val="0"/>
        <w:autoSpaceDE w:val="0"/>
        <w:autoSpaceDN w:val="0"/>
        <w:adjustRightInd w:val="0"/>
        <w:ind w:left="480" w:hanging="480"/>
        <w:rPr>
          <w:rFonts w:ascii="Calibri" w:hAnsi="Calibri" w:cs="Times New Roman"/>
          <w:noProof/>
          <w:lang w:val="en-US"/>
        </w:rPr>
      </w:pPr>
      <w:r w:rsidRPr="003B61D7">
        <w:rPr>
          <w:rFonts w:ascii="Calibri" w:hAnsi="Calibri" w:cs="Times New Roman"/>
          <w:noProof/>
          <w:lang w:val="en-US"/>
        </w:rPr>
        <w:t xml:space="preserve">Liu, L., Yang, J., Yu, Z., &amp; Wilkinson, D. M. (2015). The biogeography of abundant and rare bacterioplankton in the lakes and reservoirs of China. </w:t>
      </w:r>
      <w:r w:rsidRPr="003B61D7">
        <w:rPr>
          <w:rFonts w:ascii="Calibri" w:hAnsi="Calibri" w:cs="Times New Roman"/>
          <w:i/>
          <w:iCs/>
          <w:noProof/>
          <w:lang w:val="en-US"/>
        </w:rPr>
        <w:t>ISME Journal</w:t>
      </w:r>
      <w:r w:rsidRPr="003B61D7">
        <w:rPr>
          <w:rFonts w:ascii="Calibri" w:hAnsi="Calibri" w:cs="Times New Roman"/>
          <w:noProof/>
          <w:lang w:val="en-US"/>
        </w:rPr>
        <w:t xml:space="preserve">, </w:t>
      </w:r>
      <w:r w:rsidRPr="003B61D7">
        <w:rPr>
          <w:rFonts w:ascii="Calibri" w:hAnsi="Calibri" w:cs="Times New Roman"/>
          <w:i/>
          <w:iCs/>
          <w:noProof/>
          <w:lang w:val="en-US"/>
        </w:rPr>
        <w:t>9</w:t>
      </w:r>
      <w:r w:rsidRPr="003B61D7">
        <w:rPr>
          <w:rFonts w:ascii="Calibri" w:hAnsi="Calibri" w:cs="Times New Roman"/>
          <w:noProof/>
          <w:lang w:val="en-US"/>
        </w:rPr>
        <w:t>(9), 2068–2077. https://doi.org/10.1038/ismej.2015.29</w:t>
      </w:r>
    </w:p>
    <w:p w14:paraId="18D5FC69" w14:textId="77777777" w:rsidR="003B61D7" w:rsidRPr="003B61D7" w:rsidRDefault="003B61D7" w:rsidP="003B61D7">
      <w:pPr>
        <w:widowControl w:val="0"/>
        <w:autoSpaceDE w:val="0"/>
        <w:autoSpaceDN w:val="0"/>
        <w:adjustRightInd w:val="0"/>
        <w:ind w:left="480" w:hanging="480"/>
        <w:rPr>
          <w:rFonts w:ascii="Calibri" w:hAnsi="Calibri" w:cs="Times New Roman"/>
          <w:noProof/>
          <w:lang w:val="en-US"/>
        </w:rPr>
      </w:pPr>
      <w:r w:rsidRPr="003B61D7">
        <w:rPr>
          <w:rFonts w:ascii="Calibri" w:hAnsi="Calibri" w:cs="Times New Roman"/>
          <w:noProof/>
          <w:lang w:val="en-US"/>
        </w:rPr>
        <w:t xml:space="preserve">Lynch, M. D. J., &amp; Neufeld, J. D. (2015). Ecology and exploration of the rare biosphere. </w:t>
      </w:r>
      <w:r w:rsidRPr="003B61D7">
        <w:rPr>
          <w:rFonts w:ascii="Calibri" w:hAnsi="Calibri" w:cs="Times New Roman"/>
          <w:i/>
          <w:iCs/>
          <w:noProof/>
          <w:lang w:val="en-US"/>
        </w:rPr>
        <w:t>Nature Reviews Microbiology</w:t>
      </w:r>
      <w:r w:rsidRPr="003B61D7">
        <w:rPr>
          <w:rFonts w:ascii="Calibri" w:hAnsi="Calibri" w:cs="Times New Roman"/>
          <w:noProof/>
          <w:lang w:val="en-US"/>
        </w:rPr>
        <w:t xml:space="preserve">, </w:t>
      </w:r>
      <w:r w:rsidRPr="003B61D7">
        <w:rPr>
          <w:rFonts w:ascii="Calibri" w:hAnsi="Calibri" w:cs="Times New Roman"/>
          <w:i/>
          <w:iCs/>
          <w:noProof/>
          <w:lang w:val="en-US"/>
        </w:rPr>
        <w:t>13</w:t>
      </w:r>
      <w:r w:rsidRPr="003B61D7">
        <w:rPr>
          <w:rFonts w:ascii="Calibri" w:hAnsi="Calibri" w:cs="Times New Roman"/>
          <w:noProof/>
          <w:lang w:val="en-US"/>
        </w:rPr>
        <w:t>(4), 217–229. https://doi.org/10.1038/nrmicro3400</w:t>
      </w:r>
    </w:p>
    <w:p w14:paraId="6441055C" w14:textId="77777777" w:rsidR="003B61D7" w:rsidRPr="003B61D7" w:rsidRDefault="003B61D7" w:rsidP="003B61D7">
      <w:pPr>
        <w:widowControl w:val="0"/>
        <w:autoSpaceDE w:val="0"/>
        <w:autoSpaceDN w:val="0"/>
        <w:adjustRightInd w:val="0"/>
        <w:ind w:left="480" w:hanging="480"/>
        <w:rPr>
          <w:rFonts w:ascii="Calibri" w:hAnsi="Calibri" w:cs="Times New Roman"/>
          <w:noProof/>
          <w:lang w:val="en-US"/>
        </w:rPr>
      </w:pPr>
      <w:r w:rsidRPr="003B61D7">
        <w:rPr>
          <w:rFonts w:ascii="Calibri" w:hAnsi="Calibri" w:cs="Times New Roman"/>
          <w:noProof/>
          <w:lang w:val="en-US"/>
        </w:rPr>
        <w:t xml:space="preserve">Stegen, J. C., Lin, X., Fredrickson, J. K., Chen, X., Kennedy, D. W., Murray, C. J., … Konopka, A. (2013). Quantifying community assembly processes and identifying features that </w:t>
      </w:r>
      <w:r w:rsidRPr="003B61D7">
        <w:rPr>
          <w:rFonts w:ascii="Calibri" w:hAnsi="Calibri" w:cs="Times New Roman"/>
          <w:noProof/>
          <w:lang w:val="en-US"/>
        </w:rPr>
        <w:lastRenderedPageBreak/>
        <w:t xml:space="preserve">impose them. </w:t>
      </w:r>
      <w:r w:rsidRPr="003B61D7">
        <w:rPr>
          <w:rFonts w:ascii="Calibri" w:hAnsi="Calibri" w:cs="Times New Roman"/>
          <w:i/>
          <w:iCs/>
          <w:noProof/>
          <w:lang w:val="en-US"/>
        </w:rPr>
        <w:t>ISME Journal</w:t>
      </w:r>
      <w:r w:rsidRPr="003B61D7">
        <w:rPr>
          <w:rFonts w:ascii="Calibri" w:hAnsi="Calibri" w:cs="Times New Roman"/>
          <w:noProof/>
          <w:lang w:val="en-US"/>
        </w:rPr>
        <w:t xml:space="preserve">, </w:t>
      </w:r>
      <w:r w:rsidRPr="003B61D7">
        <w:rPr>
          <w:rFonts w:ascii="Calibri" w:hAnsi="Calibri" w:cs="Times New Roman"/>
          <w:i/>
          <w:iCs/>
          <w:noProof/>
          <w:lang w:val="en-US"/>
        </w:rPr>
        <w:t>7</w:t>
      </w:r>
      <w:r w:rsidRPr="003B61D7">
        <w:rPr>
          <w:rFonts w:ascii="Calibri" w:hAnsi="Calibri" w:cs="Times New Roman"/>
          <w:noProof/>
          <w:lang w:val="en-US"/>
        </w:rPr>
        <w:t>(11), 2069–2079. https://doi.org/10.1038/ismej.2013.93</w:t>
      </w:r>
    </w:p>
    <w:p w14:paraId="2D77839F" w14:textId="77777777" w:rsidR="003B61D7" w:rsidRPr="003B61D7" w:rsidRDefault="003B61D7" w:rsidP="003B61D7">
      <w:pPr>
        <w:widowControl w:val="0"/>
        <w:autoSpaceDE w:val="0"/>
        <w:autoSpaceDN w:val="0"/>
        <w:adjustRightInd w:val="0"/>
        <w:ind w:left="480" w:hanging="480"/>
        <w:rPr>
          <w:rFonts w:ascii="Calibri" w:hAnsi="Calibri" w:cs="Times New Roman"/>
          <w:noProof/>
          <w:lang w:val="en-US"/>
        </w:rPr>
      </w:pPr>
      <w:r w:rsidRPr="003B61D7">
        <w:rPr>
          <w:rFonts w:ascii="Calibri" w:hAnsi="Calibri" w:cs="Times New Roman"/>
          <w:noProof/>
          <w:lang w:val="en-US"/>
        </w:rPr>
        <w:t xml:space="preserve">Steven, B., Hesse, C., Soghigian, J., Gallegos-Graves, L. V., &amp; Dunbar, J. (2017). Simulated rRNA/DNA ratios show potential to misclassify active populations as dormant. </w:t>
      </w:r>
      <w:r w:rsidRPr="003B61D7">
        <w:rPr>
          <w:rFonts w:ascii="Calibri" w:hAnsi="Calibri" w:cs="Times New Roman"/>
          <w:i/>
          <w:iCs/>
          <w:noProof/>
          <w:lang w:val="en-US"/>
        </w:rPr>
        <w:t>Applied and Environmental Microbiology</w:t>
      </w:r>
      <w:r w:rsidRPr="003B61D7">
        <w:rPr>
          <w:rFonts w:ascii="Calibri" w:hAnsi="Calibri" w:cs="Times New Roman"/>
          <w:noProof/>
          <w:lang w:val="en-US"/>
        </w:rPr>
        <w:t xml:space="preserve">, </w:t>
      </w:r>
      <w:r w:rsidRPr="003B61D7">
        <w:rPr>
          <w:rFonts w:ascii="Calibri" w:hAnsi="Calibri" w:cs="Times New Roman"/>
          <w:i/>
          <w:iCs/>
          <w:noProof/>
          <w:lang w:val="en-US"/>
        </w:rPr>
        <w:t>83</w:t>
      </w:r>
      <w:r w:rsidRPr="003B61D7">
        <w:rPr>
          <w:rFonts w:ascii="Calibri" w:hAnsi="Calibri" w:cs="Times New Roman"/>
          <w:noProof/>
          <w:lang w:val="en-US"/>
        </w:rPr>
        <w:t>(11), 1–11. https://doi.org/10.1128/AEM.00696-17</w:t>
      </w:r>
    </w:p>
    <w:p w14:paraId="5D014580" w14:textId="77777777" w:rsidR="003B61D7" w:rsidRPr="003B61D7" w:rsidRDefault="003B61D7" w:rsidP="003B61D7">
      <w:pPr>
        <w:widowControl w:val="0"/>
        <w:autoSpaceDE w:val="0"/>
        <w:autoSpaceDN w:val="0"/>
        <w:adjustRightInd w:val="0"/>
        <w:ind w:left="480" w:hanging="480"/>
        <w:rPr>
          <w:rFonts w:ascii="Calibri" w:hAnsi="Calibri" w:cs="Times New Roman"/>
          <w:noProof/>
          <w:lang w:val="en-US"/>
        </w:rPr>
      </w:pPr>
      <w:r w:rsidRPr="003B61D7">
        <w:rPr>
          <w:rFonts w:ascii="Calibri" w:hAnsi="Calibri" w:cs="Times New Roman"/>
          <w:noProof/>
          <w:lang w:val="en-US"/>
        </w:rPr>
        <w:t xml:space="preserve">Telling, J., Anesio, A. M., Hawkings, J., Tranter, M., Wadham, J. L., Hodson, A. J., … Yallop, M. L. (2010). Measuring rates of gross photosynthesis and net community production in cryoconite holes: A comparison of field methods. </w:t>
      </w:r>
      <w:r w:rsidRPr="003B61D7">
        <w:rPr>
          <w:rFonts w:ascii="Calibri" w:hAnsi="Calibri" w:cs="Times New Roman"/>
          <w:i/>
          <w:iCs/>
          <w:noProof/>
          <w:lang w:val="en-US"/>
        </w:rPr>
        <w:t>Annals of Glaciology</w:t>
      </w:r>
      <w:r w:rsidRPr="003B61D7">
        <w:rPr>
          <w:rFonts w:ascii="Calibri" w:hAnsi="Calibri" w:cs="Times New Roman"/>
          <w:noProof/>
          <w:lang w:val="en-US"/>
        </w:rPr>
        <w:t xml:space="preserve">, </w:t>
      </w:r>
      <w:r w:rsidRPr="003B61D7">
        <w:rPr>
          <w:rFonts w:ascii="Calibri" w:hAnsi="Calibri" w:cs="Times New Roman"/>
          <w:i/>
          <w:iCs/>
          <w:noProof/>
          <w:lang w:val="en-US"/>
        </w:rPr>
        <w:t>51</w:t>
      </w:r>
      <w:r w:rsidRPr="003B61D7">
        <w:rPr>
          <w:rFonts w:ascii="Calibri" w:hAnsi="Calibri" w:cs="Times New Roman"/>
          <w:noProof/>
          <w:lang w:val="en-US"/>
        </w:rPr>
        <w:t>(56), 153–162. https://doi.org/10.3189/172756411795932056</w:t>
      </w:r>
    </w:p>
    <w:p w14:paraId="14D41811" w14:textId="77777777" w:rsidR="003B61D7" w:rsidRPr="003B61D7" w:rsidRDefault="003B61D7" w:rsidP="003B61D7">
      <w:pPr>
        <w:widowControl w:val="0"/>
        <w:autoSpaceDE w:val="0"/>
        <w:autoSpaceDN w:val="0"/>
        <w:adjustRightInd w:val="0"/>
        <w:ind w:left="480" w:hanging="480"/>
        <w:rPr>
          <w:rFonts w:ascii="Calibri" w:hAnsi="Calibri" w:cs="Times New Roman"/>
          <w:noProof/>
          <w:lang w:val="en-US"/>
        </w:rPr>
      </w:pPr>
      <w:r w:rsidRPr="003B61D7">
        <w:rPr>
          <w:rFonts w:ascii="Calibri" w:hAnsi="Calibri" w:cs="Times New Roman"/>
          <w:noProof/>
          <w:lang w:val="en-US"/>
        </w:rPr>
        <w:t xml:space="preserve">Thomas, F. A., Sinha, R. K., &amp; Krishnan, K. P. (2020). Bacterial community structure of a glacio-marine system in the Arctic (Ny-Ålesund, Svalbard). </w:t>
      </w:r>
      <w:r w:rsidRPr="003B61D7">
        <w:rPr>
          <w:rFonts w:ascii="Calibri" w:hAnsi="Calibri" w:cs="Times New Roman"/>
          <w:i/>
          <w:iCs/>
          <w:noProof/>
          <w:lang w:val="en-US"/>
        </w:rPr>
        <w:t>Science of the Total Environment</w:t>
      </w:r>
      <w:r w:rsidRPr="003B61D7">
        <w:rPr>
          <w:rFonts w:ascii="Calibri" w:hAnsi="Calibri" w:cs="Times New Roman"/>
          <w:noProof/>
          <w:lang w:val="en-US"/>
        </w:rPr>
        <w:t xml:space="preserve">, </w:t>
      </w:r>
      <w:r w:rsidRPr="003B61D7">
        <w:rPr>
          <w:rFonts w:ascii="Calibri" w:hAnsi="Calibri" w:cs="Times New Roman"/>
          <w:i/>
          <w:iCs/>
          <w:noProof/>
          <w:lang w:val="en-US"/>
        </w:rPr>
        <w:t>718</w:t>
      </w:r>
      <w:r w:rsidRPr="003B61D7">
        <w:rPr>
          <w:rFonts w:ascii="Calibri" w:hAnsi="Calibri" w:cs="Times New Roman"/>
          <w:noProof/>
          <w:lang w:val="en-US"/>
        </w:rPr>
        <w:t>, 135264. https://doi.org/10.1016/j.scitotenv.2019.135264</w:t>
      </w:r>
    </w:p>
    <w:p w14:paraId="27AC127A" w14:textId="77777777" w:rsidR="003B61D7" w:rsidRPr="003B61D7" w:rsidRDefault="003B61D7" w:rsidP="003B61D7">
      <w:pPr>
        <w:widowControl w:val="0"/>
        <w:autoSpaceDE w:val="0"/>
        <w:autoSpaceDN w:val="0"/>
        <w:adjustRightInd w:val="0"/>
        <w:ind w:left="480" w:hanging="480"/>
        <w:rPr>
          <w:rFonts w:ascii="Calibri" w:hAnsi="Calibri"/>
          <w:noProof/>
        </w:rPr>
      </w:pPr>
      <w:r w:rsidRPr="003B61D7">
        <w:rPr>
          <w:rFonts w:ascii="Calibri" w:hAnsi="Calibri" w:cs="Times New Roman"/>
          <w:noProof/>
          <w:lang w:val="en-US"/>
        </w:rPr>
        <w:t xml:space="preserve">Zhang, Y., Zhao, Z., Dai, M., Jiao, N., &amp; Herndl, G. J. (2014). Drivers shaping the diversity and biogeography of total and active bacterial communities in the South China Sea. </w:t>
      </w:r>
      <w:r w:rsidRPr="003B61D7">
        <w:rPr>
          <w:rFonts w:ascii="Calibri" w:hAnsi="Calibri" w:cs="Times New Roman"/>
          <w:i/>
          <w:iCs/>
          <w:noProof/>
          <w:lang w:val="en-US"/>
        </w:rPr>
        <w:t>Molecular Ecology</w:t>
      </w:r>
      <w:r w:rsidRPr="003B61D7">
        <w:rPr>
          <w:rFonts w:ascii="Calibri" w:hAnsi="Calibri" w:cs="Times New Roman"/>
          <w:noProof/>
          <w:lang w:val="en-US"/>
        </w:rPr>
        <w:t xml:space="preserve">, </w:t>
      </w:r>
      <w:r w:rsidRPr="003B61D7">
        <w:rPr>
          <w:rFonts w:ascii="Calibri" w:hAnsi="Calibri" w:cs="Times New Roman"/>
          <w:i/>
          <w:iCs/>
          <w:noProof/>
          <w:lang w:val="en-US"/>
        </w:rPr>
        <w:t>23</w:t>
      </w:r>
      <w:r w:rsidRPr="003B61D7">
        <w:rPr>
          <w:rFonts w:ascii="Calibri" w:hAnsi="Calibri" w:cs="Times New Roman"/>
          <w:noProof/>
          <w:lang w:val="en-US"/>
        </w:rPr>
        <w:t>(9), 2260–2274. https://doi.org/10.1111/mec.12739</w:t>
      </w:r>
    </w:p>
    <w:p w14:paraId="7555357A" w14:textId="132DCBA6" w:rsidR="00973D01" w:rsidRDefault="00973D01" w:rsidP="003B61D7">
      <w:pPr>
        <w:widowControl w:val="0"/>
        <w:autoSpaceDE w:val="0"/>
        <w:autoSpaceDN w:val="0"/>
        <w:adjustRightInd w:val="0"/>
        <w:ind w:left="480" w:hanging="480"/>
      </w:pPr>
      <w:r>
        <w:fldChar w:fldCharType="end"/>
      </w:r>
    </w:p>
    <w:sectPr w:rsidR="00973D01" w:rsidSect="00DC528E">
      <w:pgSz w:w="11900" w:h="16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A00002EF" w:usb1="4000207B" w:usb2="00000000" w:usb3="00000000" w:csb0="0000009F" w:csb1="00000000"/>
  </w:font>
  <w:font w:name="Calibri Light">
    <w:panose1 w:val="020F0302020204030204"/>
    <w:charset w:val="00"/>
    <w:family w:val="swiss"/>
    <w:pitch w:val="variable"/>
    <w:sig w:usb0="E0002AFF" w:usb1="C000247B" w:usb2="00000009" w:usb3="00000000" w:csb0="000001FF" w:csb1="00000000"/>
  </w:font>
  <w:font w:name="Cambria Math">
    <w:panose1 w:val="02040503050406030204"/>
    <w:charset w:val="00"/>
    <w:family w:val="roman"/>
    <w:pitch w:val="variable"/>
    <w:sig w:usb0="E00002FF" w:usb1="420024FF"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17264DDB"/>
    <w:multiLevelType w:val="hybridMultilevel"/>
    <w:tmpl w:val="1AAED59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A3A9B"/>
    <w:rsid w:val="000104C9"/>
    <w:rsid w:val="00060C8D"/>
    <w:rsid w:val="000B0F84"/>
    <w:rsid w:val="000E46FE"/>
    <w:rsid w:val="00103192"/>
    <w:rsid w:val="00140D15"/>
    <w:rsid w:val="00191855"/>
    <w:rsid w:val="001A3A9B"/>
    <w:rsid w:val="002114A7"/>
    <w:rsid w:val="00247449"/>
    <w:rsid w:val="00287AB7"/>
    <w:rsid w:val="0031294B"/>
    <w:rsid w:val="00314DC3"/>
    <w:rsid w:val="00326A27"/>
    <w:rsid w:val="00352379"/>
    <w:rsid w:val="0036552E"/>
    <w:rsid w:val="00392A59"/>
    <w:rsid w:val="003B61D7"/>
    <w:rsid w:val="003D6CD2"/>
    <w:rsid w:val="003F105F"/>
    <w:rsid w:val="003F2AD4"/>
    <w:rsid w:val="004863A9"/>
    <w:rsid w:val="004864FB"/>
    <w:rsid w:val="004B5005"/>
    <w:rsid w:val="004C2E95"/>
    <w:rsid w:val="004E1D73"/>
    <w:rsid w:val="004F1438"/>
    <w:rsid w:val="00500F98"/>
    <w:rsid w:val="00511661"/>
    <w:rsid w:val="005155B5"/>
    <w:rsid w:val="00531F7F"/>
    <w:rsid w:val="006524CC"/>
    <w:rsid w:val="00674066"/>
    <w:rsid w:val="00715B7B"/>
    <w:rsid w:val="007574D4"/>
    <w:rsid w:val="00773497"/>
    <w:rsid w:val="00776274"/>
    <w:rsid w:val="007805F8"/>
    <w:rsid w:val="007877CC"/>
    <w:rsid w:val="00796127"/>
    <w:rsid w:val="007A7870"/>
    <w:rsid w:val="007B60A6"/>
    <w:rsid w:val="008049BE"/>
    <w:rsid w:val="008803AD"/>
    <w:rsid w:val="008A44EA"/>
    <w:rsid w:val="008F6434"/>
    <w:rsid w:val="00902E0E"/>
    <w:rsid w:val="009076E4"/>
    <w:rsid w:val="0092669D"/>
    <w:rsid w:val="00950E6A"/>
    <w:rsid w:val="00973D01"/>
    <w:rsid w:val="0098799B"/>
    <w:rsid w:val="009B6514"/>
    <w:rsid w:val="00A061AC"/>
    <w:rsid w:val="00AC4032"/>
    <w:rsid w:val="00AF7B37"/>
    <w:rsid w:val="00B16DF0"/>
    <w:rsid w:val="00B909DC"/>
    <w:rsid w:val="00B92424"/>
    <w:rsid w:val="00BD36A5"/>
    <w:rsid w:val="00BE408E"/>
    <w:rsid w:val="00BF6FDB"/>
    <w:rsid w:val="00C10BF8"/>
    <w:rsid w:val="00C46E3F"/>
    <w:rsid w:val="00CC2A97"/>
    <w:rsid w:val="00CF52D6"/>
    <w:rsid w:val="00D16011"/>
    <w:rsid w:val="00D26004"/>
    <w:rsid w:val="00D76E6E"/>
    <w:rsid w:val="00DB482F"/>
    <w:rsid w:val="00DB6EB4"/>
    <w:rsid w:val="00DC528E"/>
    <w:rsid w:val="00E1565B"/>
    <w:rsid w:val="00E15A2F"/>
    <w:rsid w:val="00E521DC"/>
    <w:rsid w:val="00E566E6"/>
    <w:rsid w:val="00EC06C6"/>
    <w:rsid w:val="00EC1979"/>
    <w:rsid w:val="00ED1C35"/>
    <w:rsid w:val="00ED3A4B"/>
    <w:rsid w:val="00F27FDF"/>
    <w:rsid w:val="00F42139"/>
    <w:rsid w:val="00F45EA0"/>
    <w:rsid w:val="00F60544"/>
    <w:rsid w:val="00F75421"/>
    <w:rsid w:val="00FB68F3"/>
    <w:rsid w:val="00FD3154"/>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6B378E7"/>
  <w14:defaultImageDpi w14:val="32767"/>
  <w15:chartTrackingRefBased/>
  <w15:docId w15:val="{B92E92C9-7C47-9E4F-8632-07F21AE4C6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4"/>
        <w:szCs w:val="24"/>
        <w:lang w:val="en-GB" w:eastAsia="en-US"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76274"/>
    <w:pPr>
      <w:keepNext/>
      <w:keepLines/>
      <w:spacing w:before="24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776274"/>
    <w:pPr>
      <w:keepNext/>
      <w:keepLines/>
      <w:spacing w:before="4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qFormat/>
    <w:rsid w:val="00950E6A"/>
    <w:pPr>
      <w:keepNext/>
      <w:keepLines/>
      <w:spacing w:before="40"/>
      <w:outlineLvl w:val="2"/>
    </w:pPr>
    <w:rPr>
      <w:rFonts w:asciiTheme="majorHAnsi" w:eastAsiaTheme="majorEastAsia" w:hAnsiTheme="majorHAnsi" w:cstheme="majorBidi"/>
      <w:color w:val="1F3763" w:themeColor="accent1" w:themeShade="7F"/>
    </w:rPr>
  </w:style>
  <w:style w:type="paragraph" w:styleId="Heading4">
    <w:name w:val="heading 4"/>
    <w:basedOn w:val="Normal"/>
    <w:next w:val="Normal"/>
    <w:link w:val="Heading4Char"/>
    <w:uiPriority w:val="9"/>
    <w:unhideWhenUsed/>
    <w:qFormat/>
    <w:rsid w:val="003F2AD4"/>
    <w:pPr>
      <w:keepNext/>
      <w:keepLines/>
      <w:spacing w:before="40"/>
      <w:outlineLvl w:val="3"/>
    </w:pPr>
    <w:rPr>
      <w:rFonts w:asciiTheme="majorHAnsi" w:eastAsiaTheme="majorEastAsia" w:hAnsiTheme="majorHAnsi" w:cstheme="majorBidi"/>
      <w:i/>
      <w:iCs/>
      <w:color w:val="2F5496" w:themeColor="accent1" w:themeShade="BF"/>
    </w:rPr>
  </w:style>
  <w:style w:type="paragraph" w:styleId="Heading5">
    <w:name w:val="heading 5"/>
    <w:basedOn w:val="Normal"/>
    <w:next w:val="Normal"/>
    <w:link w:val="Heading5Char"/>
    <w:uiPriority w:val="9"/>
    <w:unhideWhenUsed/>
    <w:qFormat/>
    <w:rsid w:val="003F2AD4"/>
    <w:pPr>
      <w:keepNext/>
      <w:keepLines/>
      <w:spacing w:before="4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76274"/>
    <w:rPr>
      <w:rFonts w:asciiTheme="majorHAnsi" w:eastAsiaTheme="majorEastAsia" w:hAnsiTheme="majorHAnsi" w:cstheme="majorBidi"/>
      <w:color w:val="2F5496" w:themeColor="accent1" w:themeShade="BF"/>
      <w:sz w:val="32"/>
      <w:szCs w:val="32"/>
    </w:rPr>
  </w:style>
  <w:style w:type="character" w:customStyle="1" w:styleId="Heading2Char">
    <w:name w:val="Heading 2 Char"/>
    <w:basedOn w:val="DefaultParagraphFont"/>
    <w:link w:val="Heading2"/>
    <w:uiPriority w:val="9"/>
    <w:rsid w:val="00776274"/>
    <w:rPr>
      <w:rFonts w:asciiTheme="majorHAnsi" w:eastAsiaTheme="majorEastAsia" w:hAnsiTheme="majorHAnsi" w:cstheme="majorBidi"/>
      <w:color w:val="2F5496" w:themeColor="accent1" w:themeShade="BF"/>
      <w:sz w:val="26"/>
      <w:szCs w:val="26"/>
    </w:rPr>
  </w:style>
  <w:style w:type="character" w:customStyle="1" w:styleId="Heading3Char">
    <w:name w:val="Heading 3 Char"/>
    <w:basedOn w:val="DefaultParagraphFont"/>
    <w:link w:val="Heading3"/>
    <w:uiPriority w:val="9"/>
    <w:rsid w:val="00950E6A"/>
    <w:rPr>
      <w:rFonts w:asciiTheme="majorHAnsi" w:eastAsiaTheme="majorEastAsia" w:hAnsiTheme="majorHAnsi" w:cstheme="majorBidi"/>
      <w:color w:val="1F3763" w:themeColor="accent1" w:themeShade="7F"/>
    </w:rPr>
  </w:style>
  <w:style w:type="character" w:styleId="PlaceholderText">
    <w:name w:val="Placeholder Text"/>
    <w:basedOn w:val="DefaultParagraphFont"/>
    <w:uiPriority w:val="99"/>
    <w:semiHidden/>
    <w:rsid w:val="00BD36A5"/>
    <w:rPr>
      <w:color w:val="808080"/>
    </w:rPr>
  </w:style>
  <w:style w:type="character" w:customStyle="1" w:styleId="Heading4Char">
    <w:name w:val="Heading 4 Char"/>
    <w:basedOn w:val="DefaultParagraphFont"/>
    <w:link w:val="Heading4"/>
    <w:uiPriority w:val="9"/>
    <w:rsid w:val="003F2AD4"/>
    <w:rPr>
      <w:rFonts w:asciiTheme="majorHAnsi" w:eastAsiaTheme="majorEastAsia" w:hAnsiTheme="majorHAnsi" w:cstheme="majorBidi"/>
      <w:i/>
      <w:iCs/>
      <w:color w:val="2F5496" w:themeColor="accent1" w:themeShade="BF"/>
    </w:rPr>
  </w:style>
  <w:style w:type="character" w:customStyle="1" w:styleId="Heading5Char">
    <w:name w:val="Heading 5 Char"/>
    <w:basedOn w:val="DefaultParagraphFont"/>
    <w:link w:val="Heading5"/>
    <w:uiPriority w:val="9"/>
    <w:rsid w:val="003F2AD4"/>
    <w:rPr>
      <w:rFonts w:asciiTheme="majorHAnsi" w:eastAsiaTheme="majorEastAsia" w:hAnsiTheme="majorHAnsi" w:cstheme="majorBidi"/>
      <w:color w:val="2F5496" w:themeColor="accent1" w:themeShade="BF"/>
    </w:rPr>
  </w:style>
  <w:style w:type="table" w:styleId="TableGrid">
    <w:name w:val="Table Grid"/>
    <w:basedOn w:val="TableNormal"/>
    <w:uiPriority w:val="39"/>
    <w:rsid w:val="00F7542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1Light-Accent1">
    <w:name w:val="Grid Table 1 Light Accent 1"/>
    <w:basedOn w:val="TableNormal"/>
    <w:uiPriority w:val="46"/>
    <w:rsid w:val="00392A59"/>
    <w:tblPr>
      <w:tblStyleRowBandSize w:val="1"/>
      <w:tblStyleColBandSize w:val="1"/>
      <w:tblBorders>
        <w:top w:val="single" w:sz="4" w:space="0" w:color="B4C6E7" w:themeColor="accent1" w:themeTint="66"/>
        <w:left w:val="single" w:sz="4" w:space="0" w:color="B4C6E7" w:themeColor="accent1" w:themeTint="66"/>
        <w:bottom w:val="single" w:sz="4" w:space="0" w:color="B4C6E7" w:themeColor="accent1" w:themeTint="66"/>
        <w:right w:val="single" w:sz="4" w:space="0" w:color="B4C6E7" w:themeColor="accent1" w:themeTint="66"/>
        <w:insideH w:val="single" w:sz="4" w:space="0" w:color="B4C6E7" w:themeColor="accent1" w:themeTint="66"/>
        <w:insideV w:val="single" w:sz="4" w:space="0" w:color="B4C6E7" w:themeColor="accent1" w:themeTint="66"/>
      </w:tblBorders>
    </w:tblPr>
    <w:tblStylePr w:type="firstRow">
      <w:rPr>
        <w:b/>
        <w:bCs/>
      </w:rPr>
      <w:tblPr/>
      <w:tcPr>
        <w:tcBorders>
          <w:bottom w:val="single" w:sz="12" w:space="0" w:color="8EAADB" w:themeColor="accent1" w:themeTint="99"/>
        </w:tcBorders>
      </w:tcPr>
    </w:tblStylePr>
    <w:tblStylePr w:type="lastRow">
      <w:rPr>
        <w:b/>
        <w:bCs/>
      </w:rPr>
      <w:tblPr/>
      <w:tcPr>
        <w:tcBorders>
          <w:top w:val="double" w:sz="2" w:space="0" w:color="8EAADB" w:themeColor="accent1" w:themeTint="99"/>
        </w:tcBorders>
      </w:tcPr>
    </w:tblStylePr>
    <w:tblStylePr w:type="firstCol">
      <w:rPr>
        <w:b/>
        <w:bCs/>
      </w:rPr>
    </w:tblStylePr>
    <w:tblStylePr w:type="lastCol">
      <w:rPr>
        <w:b/>
        <w:bCs/>
      </w:rPr>
    </w:tblStylePr>
  </w:style>
  <w:style w:type="table" w:styleId="GridTable2-Accent1">
    <w:name w:val="Grid Table 2 Accent 1"/>
    <w:basedOn w:val="TableNormal"/>
    <w:uiPriority w:val="47"/>
    <w:rsid w:val="00392A59"/>
    <w:tblPr>
      <w:tblStyleRowBandSize w:val="1"/>
      <w:tblStyleColBandSize w:val="1"/>
      <w:tblBorders>
        <w:top w:val="single" w:sz="2" w:space="0" w:color="8EAADB" w:themeColor="accent1" w:themeTint="99"/>
        <w:bottom w:val="single" w:sz="2" w:space="0" w:color="8EAADB" w:themeColor="accent1" w:themeTint="99"/>
        <w:insideH w:val="single" w:sz="2" w:space="0" w:color="8EAADB" w:themeColor="accent1" w:themeTint="99"/>
        <w:insideV w:val="single" w:sz="2" w:space="0" w:color="8EAADB" w:themeColor="accent1" w:themeTint="99"/>
      </w:tblBorders>
    </w:tblPr>
    <w:tblStylePr w:type="firstRow">
      <w:rPr>
        <w:b/>
        <w:bCs/>
      </w:rPr>
      <w:tblPr/>
      <w:tcPr>
        <w:tcBorders>
          <w:top w:val="nil"/>
          <w:bottom w:val="single" w:sz="12" w:space="0" w:color="8EAADB" w:themeColor="accent1" w:themeTint="99"/>
          <w:insideH w:val="nil"/>
          <w:insideV w:val="nil"/>
        </w:tcBorders>
        <w:shd w:val="clear" w:color="auto" w:fill="FFFFFF" w:themeFill="background1"/>
      </w:tcPr>
    </w:tblStylePr>
    <w:tblStylePr w:type="lastRow">
      <w:rPr>
        <w:b/>
        <w:bCs/>
      </w:rPr>
      <w:tblPr/>
      <w:tcPr>
        <w:tcBorders>
          <w:top w:val="double" w:sz="2" w:space="0" w:color="8EAADB"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table" w:styleId="GridTable2-Accent5">
    <w:name w:val="Grid Table 2 Accent 5"/>
    <w:basedOn w:val="TableNormal"/>
    <w:uiPriority w:val="47"/>
    <w:rsid w:val="00392A59"/>
    <w:tblPr>
      <w:tblStyleRowBandSize w:val="1"/>
      <w:tblStyleColBandSize w:val="1"/>
      <w:tblBorders>
        <w:top w:val="single" w:sz="2" w:space="0" w:color="9CC2E5" w:themeColor="accent5" w:themeTint="99"/>
        <w:bottom w:val="single" w:sz="2" w:space="0" w:color="9CC2E5" w:themeColor="accent5" w:themeTint="99"/>
        <w:insideH w:val="single" w:sz="2" w:space="0" w:color="9CC2E5" w:themeColor="accent5" w:themeTint="99"/>
        <w:insideV w:val="single" w:sz="2" w:space="0" w:color="9CC2E5" w:themeColor="accent5" w:themeTint="99"/>
      </w:tblBorders>
    </w:tblPr>
    <w:tblStylePr w:type="firstRow">
      <w:rPr>
        <w:b/>
        <w:bCs/>
      </w:rPr>
      <w:tblPr/>
      <w:tcPr>
        <w:tcBorders>
          <w:top w:val="nil"/>
          <w:bottom w:val="single" w:sz="12" w:space="0" w:color="9CC2E5" w:themeColor="accent5" w:themeTint="99"/>
          <w:insideH w:val="nil"/>
          <w:insideV w:val="nil"/>
        </w:tcBorders>
        <w:shd w:val="clear" w:color="auto" w:fill="FFFFFF" w:themeFill="background1"/>
      </w:tcPr>
    </w:tblStylePr>
    <w:tblStylePr w:type="lastRow">
      <w:rPr>
        <w:b/>
        <w:bCs/>
      </w:rPr>
      <w:tblPr/>
      <w:tcPr>
        <w:tcBorders>
          <w:top w:val="double" w:sz="2" w:space="0" w:color="9CC2E5" w:themeColor="accent5"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EEAF6" w:themeFill="accent5" w:themeFillTint="33"/>
      </w:tcPr>
    </w:tblStylePr>
    <w:tblStylePr w:type="band1Horz">
      <w:tblPr/>
      <w:tcPr>
        <w:shd w:val="clear" w:color="auto" w:fill="DEEAF6" w:themeFill="accent5" w:themeFillTint="33"/>
      </w:tcPr>
    </w:tblStylePr>
  </w:style>
  <w:style w:type="table" w:styleId="GridTable2-Accent4">
    <w:name w:val="Grid Table 2 Accent 4"/>
    <w:basedOn w:val="TableNormal"/>
    <w:uiPriority w:val="47"/>
    <w:rsid w:val="00392A59"/>
    <w:tblPr>
      <w:tblStyleRowBandSize w:val="1"/>
      <w:tblStyleColBandSize w:val="1"/>
      <w:tblBorders>
        <w:top w:val="single" w:sz="2" w:space="0" w:color="FFD966" w:themeColor="accent4" w:themeTint="99"/>
        <w:bottom w:val="single" w:sz="2" w:space="0" w:color="FFD966" w:themeColor="accent4" w:themeTint="99"/>
        <w:insideH w:val="single" w:sz="2" w:space="0" w:color="FFD966" w:themeColor="accent4" w:themeTint="99"/>
        <w:insideV w:val="single" w:sz="2" w:space="0" w:color="FFD966" w:themeColor="accent4" w:themeTint="99"/>
      </w:tblBorders>
    </w:tblPr>
    <w:tblStylePr w:type="firstRow">
      <w:rPr>
        <w:b/>
        <w:bCs/>
      </w:rPr>
      <w:tblPr/>
      <w:tcPr>
        <w:tcBorders>
          <w:top w:val="nil"/>
          <w:bottom w:val="single" w:sz="12" w:space="0" w:color="FFD966" w:themeColor="accent4" w:themeTint="99"/>
          <w:insideH w:val="nil"/>
          <w:insideV w:val="nil"/>
        </w:tcBorders>
        <w:shd w:val="clear" w:color="auto" w:fill="FFFFFF" w:themeFill="background1"/>
      </w:tcPr>
    </w:tblStylePr>
    <w:tblStylePr w:type="lastRow">
      <w:rPr>
        <w:b/>
        <w:bCs/>
      </w:rPr>
      <w:tblPr/>
      <w:tcPr>
        <w:tcBorders>
          <w:top w:val="double" w:sz="2" w:space="0" w:color="FFD966" w:themeColor="accent4"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FF2CC" w:themeFill="accent4" w:themeFillTint="33"/>
      </w:tcPr>
    </w:tblStylePr>
    <w:tblStylePr w:type="band1Horz">
      <w:tblPr/>
      <w:tcPr>
        <w:shd w:val="clear" w:color="auto" w:fill="FFF2CC" w:themeFill="accent4" w:themeFillTint="33"/>
      </w:tcPr>
    </w:tblStylePr>
  </w:style>
  <w:style w:type="table" w:styleId="GridTable4-Accent1">
    <w:name w:val="Grid Table 4 Accent 1"/>
    <w:basedOn w:val="TableNormal"/>
    <w:uiPriority w:val="49"/>
    <w:rsid w:val="00392A59"/>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color w:val="FFFFFF" w:themeColor="background1"/>
      </w:rPr>
      <w:tblPr/>
      <w:tcPr>
        <w:tcBorders>
          <w:top w:val="single" w:sz="4" w:space="0" w:color="4472C4" w:themeColor="accent1"/>
          <w:left w:val="single" w:sz="4" w:space="0" w:color="4472C4" w:themeColor="accent1"/>
          <w:bottom w:val="single" w:sz="4" w:space="0" w:color="4472C4" w:themeColor="accent1"/>
          <w:right w:val="single" w:sz="4" w:space="0" w:color="4472C4" w:themeColor="accent1"/>
          <w:insideH w:val="nil"/>
          <w:insideV w:val="nil"/>
        </w:tcBorders>
        <w:shd w:val="clear" w:color="auto" w:fill="4472C4" w:themeFill="accent1"/>
      </w:tcPr>
    </w:tblStylePr>
    <w:tblStylePr w:type="lastRow">
      <w:rPr>
        <w:b/>
        <w:bCs/>
      </w:rPr>
      <w:tblPr/>
      <w:tcPr>
        <w:tcBorders>
          <w:top w:val="double" w:sz="4" w:space="0" w:color="4472C4" w:themeColor="accent1"/>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paragraph" w:styleId="ListParagraph">
    <w:name w:val="List Paragraph"/>
    <w:basedOn w:val="Normal"/>
    <w:uiPriority w:val="34"/>
    <w:qFormat/>
    <w:rsid w:val="008A44EA"/>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92017412">
      <w:bodyDiv w:val="1"/>
      <w:marLeft w:val="0"/>
      <w:marRight w:val="0"/>
      <w:marTop w:val="0"/>
      <w:marBottom w:val="0"/>
      <w:divBdr>
        <w:top w:val="none" w:sz="0" w:space="0" w:color="auto"/>
        <w:left w:val="none" w:sz="0" w:space="0" w:color="auto"/>
        <w:bottom w:val="none" w:sz="0" w:space="0" w:color="auto"/>
        <w:right w:val="none" w:sz="0" w:space="0" w:color="auto"/>
      </w:divBdr>
    </w:div>
    <w:div w:id="94910482">
      <w:bodyDiv w:val="1"/>
      <w:marLeft w:val="0"/>
      <w:marRight w:val="0"/>
      <w:marTop w:val="0"/>
      <w:marBottom w:val="0"/>
      <w:divBdr>
        <w:top w:val="none" w:sz="0" w:space="0" w:color="auto"/>
        <w:left w:val="none" w:sz="0" w:space="0" w:color="auto"/>
        <w:bottom w:val="none" w:sz="0" w:space="0" w:color="auto"/>
        <w:right w:val="none" w:sz="0" w:space="0" w:color="auto"/>
      </w:divBdr>
    </w:div>
    <w:div w:id="120347932">
      <w:bodyDiv w:val="1"/>
      <w:marLeft w:val="0"/>
      <w:marRight w:val="0"/>
      <w:marTop w:val="0"/>
      <w:marBottom w:val="0"/>
      <w:divBdr>
        <w:top w:val="none" w:sz="0" w:space="0" w:color="auto"/>
        <w:left w:val="none" w:sz="0" w:space="0" w:color="auto"/>
        <w:bottom w:val="none" w:sz="0" w:space="0" w:color="auto"/>
        <w:right w:val="none" w:sz="0" w:space="0" w:color="auto"/>
      </w:divBdr>
    </w:div>
    <w:div w:id="219481635">
      <w:bodyDiv w:val="1"/>
      <w:marLeft w:val="0"/>
      <w:marRight w:val="0"/>
      <w:marTop w:val="0"/>
      <w:marBottom w:val="0"/>
      <w:divBdr>
        <w:top w:val="none" w:sz="0" w:space="0" w:color="auto"/>
        <w:left w:val="none" w:sz="0" w:space="0" w:color="auto"/>
        <w:bottom w:val="none" w:sz="0" w:space="0" w:color="auto"/>
        <w:right w:val="none" w:sz="0" w:space="0" w:color="auto"/>
      </w:divBdr>
    </w:div>
    <w:div w:id="561990821">
      <w:bodyDiv w:val="1"/>
      <w:marLeft w:val="0"/>
      <w:marRight w:val="0"/>
      <w:marTop w:val="0"/>
      <w:marBottom w:val="0"/>
      <w:divBdr>
        <w:top w:val="none" w:sz="0" w:space="0" w:color="auto"/>
        <w:left w:val="none" w:sz="0" w:space="0" w:color="auto"/>
        <w:bottom w:val="none" w:sz="0" w:space="0" w:color="auto"/>
        <w:right w:val="none" w:sz="0" w:space="0" w:color="auto"/>
      </w:divBdr>
    </w:div>
    <w:div w:id="643891538">
      <w:bodyDiv w:val="1"/>
      <w:marLeft w:val="0"/>
      <w:marRight w:val="0"/>
      <w:marTop w:val="0"/>
      <w:marBottom w:val="0"/>
      <w:divBdr>
        <w:top w:val="none" w:sz="0" w:space="0" w:color="auto"/>
        <w:left w:val="none" w:sz="0" w:space="0" w:color="auto"/>
        <w:bottom w:val="none" w:sz="0" w:space="0" w:color="auto"/>
        <w:right w:val="none" w:sz="0" w:space="0" w:color="auto"/>
      </w:divBdr>
    </w:div>
    <w:div w:id="840201568">
      <w:bodyDiv w:val="1"/>
      <w:marLeft w:val="0"/>
      <w:marRight w:val="0"/>
      <w:marTop w:val="0"/>
      <w:marBottom w:val="0"/>
      <w:divBdr>
        <w:top w:val="none" w:sz="0" w:space="0" w:color="auto"/>
        <w:left w:val="none" w:sz="0" w:space="0" w:color="auto"/>
        <w:bottom w:val="none" w:sz="0" w:space="0" w:color="auto"/>
        <w:right w:val="none" w:sz="0" w:space="0" w:color="auto"/>
      </w:divBdr>
    </w:div>
    <w:div w:id="858931148">
      <w:bodyDiv w:val="1"/>
      <w:marLeft w:val="0"/>
      <w:marRight w:val="0"/>
      <w:marTop w:val="0"/>
      <w:marBottom w:val="0"/>
      <w:divBdr>
        <w:top w:val="none" w:sz="0" w:space="0" w:color="auto"/>
        <w:left w:val="none" w:sz="0" w:space="0" w:color="auto"/>
        <w:bottom w:val="none" w:sz="0" w:space="0" w:color="auto"/>
        <w:right w:val="none" w:sz="0" w:space="0" w:color="auto"/>
      </w:divBdr>
    </w:div>
    <w:div w:id="1018431796">
      <w:bodyDiv w:val="1"/>
      <w:marLeft w:val="0"/>
      <w:marRight w:val="0"/>
      <w:marTop w:val="0"/>
      <w:marBottom w:val="0"/>
      <w:divBdr>
        <w:top w:val="none" w:sz="0" w:space="0" w:color="auto"/>
        <w:left w:val="none" w:sz="0" w:space="0" w:color="auto"/>
        <w:bottom w:val="none" w:sz="0" w:space="0" w:color="auto"/>
        <w:right w:val="none" w:sz="0" w:space="0" w:color="auto"/>
      </w:divBdr>
    </w:div>
    <w:div w:id="1350182660">
      <w:bodyDiv w:val="1"/>
      <w:marLeft w:val="0"/>
      <w:marRight w:val="0"/>
      <w:marTop w:val="0"/>
      <w:marBottom w:val="0"/>
      <w:divBdr>
        <w:top w:val="none" w:sz="0" w:space="0" w:color="auto"/>
        <w:left w:val="none" w:sz="0" w:space="0" w:color="auto"/>
        <w:bottom w:val="none" w:sz="0" w:space="0" w:color="auto"/>
        <w:right w:val="none" w:sz="0" w:space="0" w:color="auto"/>
      </w:divBdr>
    </w:div>
    <w:div w:id="1601183942">
      <w:bodyDiv w:val="1"/>
      <w:marLeft w:val="0"/>
      <w:marRight w:val="0"/>
      <w:marTop w:val="0"/>
      <w:marBottom w:val="0"/>
      <w:divBdr>
        <w:top w:val="none" w:sz="0" w:space="0" w:color="auto"/>
        <w:left w:val="none" w:sz="0" w:space="0" w:color="auto"/>
        <w:bottom w:val="none" w:sz="0" w:space="0" w:color="auto"/>
        <w:right w:val="none" w:sz="0" w:space="0" w:color="auto"/>
      </w:divBdr>
    </w:div>
    <w:div w:id="1642416691">
      <w:bodyDiv w:val="1"/>
      <w:marLeft w:val="0"/>
      <w:marRight w:val="0"/>
      <w:marTop w:val="0"/>
      <w:marBottom w:val="0"/>
      <w:divBdr>
        <w:top w:val="none" w:sz="0" w:space="0" w:color="auto"/>
        <w:left w:val="none" w:sz="0" w:space="0" w:color="auto"/>
        <w:bottom w:val="none" w:sz="0" w:space="0" w:color="auto"/>
        <w:right w:val="none" w:sz="0" w:space="0" w:color="auto"/>
      </w:divBdr>
    </w:div>
    <w:div w:id="1724520184">
      <w:bodyDiv w:val="1"/>
      <w:marLeft w:val="0"/>
      <w:marRight w:val="0"/>
      <w:marTop w:val="0"/>
      <w:marBottom w:val="0"/>
      <w:divBdr>
        <w:top w:val="none" w:sz="0" w:space="0" w:color="auto"/>
        <w:left w:val="none" w:sz="0" w:space="0" w:color="auto"/>
        <w:bottom w:val="none" w:sz="0" w:space="0" w:color="auto"/>
        <w:right w:val="none" w:sz="0" w:space="0" w:color="auto"/>
      </w:divBdr>
    </w:div>
    <w:div w:id="1811895282">
      <w:bodyDiv w:val="1"/>
      <w:marLeft w:val="0"/>
      <w:marRight w:val="0"/>
      <w:marTop w:val="0"/>
      <w:marBottom w:val="0"/>
      <w:divBdr>
        <w:top w:val="none" w:sz="0" w:space="0" w:color="auto"/>
        <w:left w:val="none" w:sz="0" w:space="0" w:color="auto"/>
        <w:bottom w:val="none" w:sz="0" w:space="0" w:color="auto"/>
        <w:right w:val="none" w:sz="0" w:space="0" w:color="auto"/>
      </w:divBdr>
    </w:div>
    <w:div w:id="1942294772">
      <w:bodyDiv w:val="1"/>
      <w:marLeft w:val="0"/>
      <w:marRight w:val="0"/>
      <w:marTop w:val="0"/>
      <w:marBottom w:val="0"/>
      <w:divBdr>
        <w:top w:val="none" w:sz="0" w:space="0" w:color="auto"/>
        <w:left w:val="none" w:sz="0" w:space="0" w:color="auto"/>
        <w:bottom w:val="none" w:sz="0" w:space="0" w:color="auto"/>
        <w:right w:val="none" w:sz="0" w:space="0" w:color="auto"/>
      </w:divBdr>
    </w:div>
    <w:div w:id="1985576879">
      <w:bodyDiv w:val="1"/>
      <w:marLeft w:val="0"/>
      <w:marRight w:val="0"/>
      <w:marTop w:val="0"/>
      <w:marBottom w:val="0"/>
      <w:divBdr>
        <w:top w:val="none" w:sz="0" w:space="0" w:color="auto"/>
        <w:left w:val="none" w:sz="0" w:space="0" w:color="auto"/>
        <w:bottom w:val="none" w:sz="0" w:space="0" w:color="auto"/>
        <w:right w:val="none" w:sz="0" w:space="0" w:color="auto"/>
      </w:divBdr>
    </w:div>
    <w:div w:id="199355951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emf"/><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F32C424-9812-B249-8667-AD757D83D57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132</TotalTime>
  <Pages>11</Pages>
  <Words>10089</Words>
  <Characters>77591</Characters>
  <Application>Microsoft Office Word</Application>
  <DocSecurity>0</DocSecurity>
  <Lines>1175</Lines>
  <Paragraphs>436</Paragraphs>
  <ScaleCrop>false</ScaleCrop>
  <Company/>
  <LinksUpToDate>false</LinksUpToDate>
  <CharactersWithSpaces>87244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Amy Bo Tinky Solman</dc:creator>
  <cp:keywords/>
  <dc:description/>
  <cp:lastModifiedBy>Amy Bo Tinky Solman</cp:lastModifiedBy>
  <cp:revision>30</cp:revision>
  <dcterms:created xsi:type="dcterms:W3CDTF">2021-01-14T09:16:00Z</dcterms:created>
  <dcterms:modified xsi:type="dcterms:W3CDTF">2021-01-14T18:32:00Z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Recent Style Id 0_1">
    <vt:lpwstr>http://www.zotero.org/styles/american-medical-association</vt:lpwstr>
  </property>
  <property fmtid="{D5CDD505-2E9C-101B-9397-08002B2CF9AE}" pid="3" name="Mendeley Recent Style Name 0_1">
    <vt:lpwstr>American Medical Association</vt:lpwstr>
  </property>
  <property fmtid="{D5CDD505-2E9C-101B-9397-08002B2CF9AE}" pid="4" name="Mendeley Recent Style Id 1_1">
    <vt:lpwstr>http://www.zotero.org/styles/american-political-science-association</vt:lpwstr>
  </property>
  <property fmtid="{D5CDD505-2E9C-101B-9397-08002B2CF9AE}" pid="5" name="Mendeley Recent Style Name 1_1">
    <vt:lpwstr>American Political Science Association</vt:lpwstr>
  </property>
  <property fmtid="{D5CDD505-2E9C-101B-9397-08002B2CF9AE}" pid="6" name="Mendeley Recent Style Id 2_1">
    <vt:lpwstr>http://www.zotero.org/styles/apa</vt:lpwstr>
  </property>
  <property fmtid="{D5CDD505-2E9C-101B-9397-08002B2CF9AE}" pid="7" name="Mendeley Recent Style Name 2_1">
    <vt:lpwstr>American Psychological Association 6th edition</vt:lpwstr>
  </property>
  <property fmtid="{D5CDD505-2E9C-101B-9397-08002B2CF9AE}" pid="8" name="Mendeley Recent Style Id 3_1">
    <vt:lpwstr>http://www.zotero.org/styles/american-sociological-association</vt:lpwstr>
  </property>
  <property fmtid="{D5CDD505-2E9C-101B-9397-08002B2CF9AE}" pid="9" name="Mendeley Recent Style Name 3_1">
    <vt:lpwstr>American Sociological Association</vt:lpwstr>
  </property>
  <property fmtid="{D5CDD505-2E9C-101B-9397-08002B2CF9AE}" pid="10" name="Mendeley Recent Style Id 4_1">
    <vt:lpwstr>http://www.zotero.org/styles/chicago-author-date</vt:lpwstr>
  </property>
  <property fmtid="{D5CDD505-2E9C-101B-9397-08002B2CF9AE}" pid="11" name="Mendeley Recent Style Name 4_1">
    <vt:lpwstr>Chicago Manual of Style 17th edition (author-date)</vt:lpwstr>
  </property>
  <property fmtid="{D5CDD505-2E9C-101B-9397-08002B2CF9AE}" pid="12" name="Mendeley Recent Style Id 5_1">
    <vt:lpwstr>http://www.zotero.org/styles/harvard-cite-them-right</vt:lpwstr>
  </property>
  <property fmtid="{D5CDD505-2E9C-101B-9397-08002B2CF9AE}" pid="13" name="Mendeley Recent Style Name 5_1">
    <vt:lpwstr>Cite Them Right 10th edition - Harvard</vt:lpwstr>
  </property>
  <property fmtid="{D5CDD505-2E9C-101B-9397-08002B2CF9AE}" pid="14" name="Mendeley Recent Style Id 6_1">
    <vt:lpwstr>http://www.zotero.org/styles/ieee</vt:lpwstr>
  </property>
  <property fmtid="{D5CDD505-2E9C-101B-9397-08002B2CF9AE}" pid="15" name="Mendeley Recent Style Name 6_1">
    <vt:lpwstr>IEEE</vt:lpwstr>
  </property>
  <property fmtid="{D5CDD505-2E9C-101B-9397-08002B2CF9AE}" pid="16" name="Mendeley Recent Style Id 7_1">
    <vt:lpwstr>http://www.zotero.org/styles/modern-humanities-research-association</vt:lpwstr>
  </property>
  <property fmtid="{D5CDD505-2E9C-101B-9397-08002B2CF9AE}" pid="17" name="Mendeley Recent Style Name 7_1">
    <vt:lpwstr>Modern Humanities Research Association 3rd edition (note with bibliography)</vt:lpwstr>
  </property>
  <property fmtid="{D5CDD505-2E9C-101B-9397-08002B2CF9AE}" pid="18" name="Mendeley Recent Style Id 8_1">
    <vt:lpwstr>http://www.zotero.org/styles/modern-language-association</vt:lpwstr>
  </property>
  <property fmtid="{D5CDD505-2E9C-101B-9397-08002B2CF9AE}" pid="19" name="Mendeley Recent Style Name 8_1">
    <vt:lpwstr>Modern Language Association 8th edition</vt:lpwstr>
  </property>
  <property fmtid="{D5CDD505-2E9C-101B-9397-08002B2CF9AE}" pid="20" name="Mendeley Recent Style Id 9_1">
    <vt:lpwstr>http://www.zotero.org/styles/nature</vt:lpwstr>
  </property>
  <property fmtid="{D5CDD505-2E9C-101B-9397-08002B2CF9AE}" pid="21" name="Mendeley Recent Style Name 9_1">
    <vt:lpwstr>Nature</vt:lpwstr>
  </property>
  <property fmtid="{D5CDD505-2E9C-101B-9397-08002B2CF9AE}" pid="22" name="Mendeley Document_1">
    <vt:lpwstr>True</vt:lpwstr>
  </property>
  <property fmtid="{D5CDD505-2E9C-101B-9397-08002B2CF9AE}" pid="23" name="Mendeley Unique User Id_1">
    <vt:lpwstr>b5de161e-817c-396c-9a18-ab04037f99af</vt:lpwstr>
  </property>
  <property fmtid="{D5CDD505-2E9C-101B-9397-08002B2CF9AE}" pid="24" name="Mendeley Citation Style_1">
    <vt:lpwstr>http://www.zotero.org/styles/apa</vt:lpwstr>
  </property>
</Properties>
</file>