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A6A2C1" w14:textId="6056D610" w:rsidR="00973D01" w:rsidRPr="00E1565B" w:rsidRDefault="008803AD" w:rsidP="00E1565B">
      <w:pPr>
        <w:jc w:val="center"/>
        <w:rPr>
          <w:sz w:val="36"/>
        </w:rPr>
      </w:pPr>
      <w:r w:rsidRPr="00E1565B">
        <w:rPr>
          <w:sz w:val="36"/>
        </w:rPr>
        <w:t xml:space="preserve">Year One </w:t>
      </w:r>
      <w:r w:rsidR="001A3A9B" w:rsidRPr="00E1565B">
        <w:rPr>
          <w:sz w:val="36"/>
        </w:rPr>
        <w:t xml:space="preserve">Progression </w:t>
      </w:r>
      <w:r w:rsidR="00973D01" w:rsidRPr="00E1565B">
        <w:rPr>
          <w:sz w:val="36"/>
        </w:rPr>
        <w:t>Report</w:t>
      </w:r>
      <w:r w:rsidRPr="00E1565B">
        <w:rPr>
          <w:sz w:val="36"/>
        </w:rPr>
        <w:t xml:space="preserve"> 2021</w:t>
      </w:r>
    </w:p>
    <w:p w14:paraId="443850C0" w14:textId="3F7EB49C" w:rsidR="008803AD" w:rsidRPr="00E1565B" w:rsidRDefault="008803AD" w:rsidP="00E1565B">
      <w:pPr>
        <w:jc w:val="center"/>
        <w:rPr>
          <w:sz w:val="36"/>
        </w:rPr>
      </w:pPr>
    </w:p>
    <w:p w14:paraId="7AE39CDC" w14:textId="37D6E14E" w:rsidR="008803AD" w:rsidRPr="00E1565B" w:rsidRDefault="008803AD" w:rsidP="00E1565B">
      <w:pPr>
        <w:jc w:val="center"/>
        <w:rPr>
          <w:sz w:val="36"/>
        </w:rPr>
      </w:pPr>
      <w:r w:rsidRPr="00E1565B">
        <w:rPr>
          <w:sz w:val="36"/>
        </w:rPr>
        <w:t>Amy Solman</w:t>
      </w:r>
    </w:p>
    <w:p w14:paraId="38F8A92E" w14:textId="4A7FB2F8" w:rsidR="00140D15" w:rsidRDefault="00140D15" w:rsidP="00140D15"/>
    <w:p w14:paraId="0639EF21" w14:textId="794EE9B7" w:rsidR="005D32D0" w:rsidRDefault="001A3A9B" w:rsidP="00776274">
      <w:pPr>
        <w:pStyle w:val="Heading1"/>
      </w:pPr>
      <w:r>
        <w:t>Method</w:t>
      </w:r>
    </w:p>
    <w:p w14:paraId="63690EAF" w14:textId="50653D7E" w:rsidR="00F60544" w:rsidRDefault="00F60544" w:rsidP="00F60544"/>
    <w:p w14:paraId="56F4F685" w14:textId="015EADE1" w:rsidR="00F60544" w:rsidRPr="00F60544" w:rsidRDefault="00F60544" w:rsidP="00F60544">
      <w:pPr>
        <w:pStyle w:val="Heading2"/>
      </w:pPr>
      <w:r>
        <w:t xml:space="preserve">1 Gantt Chat </w:t>
      </w:r>
    </w:p>
    <w:p w14:paraId="0D317D3B" w14:textId="26AEE5CB" w:rsidR="00B909DC" w:rsidRDefault="00B909DC" w:rsidP="00B909DC"/>
    <w:p w14:paraId="7BD36ECF" w14:textId="4A618573" w:rsidR="00F60544" w:rsidRDefault="00314DC3" w:rsidP="00F60544">
      <w:r w:rsidRPr="00314DC3">
        <w:rPr>
          <w:noProof/>
        </w:rPr>
        <w:drawing>
          <wp:inline distT="0" distB="0" distL="0" distR="0" wp14:anchorId="1A496C3D" wp14:editId="0269C05E">
            <wp:extent cx="5727700" cy="67265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27700" cy="6726555"/>
                    </a:xfrm>
                    <a:prstGeom prst="rect">
                      <a:avLst/>
                    </a:prstGeom>
                  </pic:spPr>
                </pic:pic>
              </a:graphicData>
            </a:graphic>
          </wp:inline>
        </w:drawing>
      </w:r>
    </w:p>
    <w:p w14:paraId="2B5711AC" w14:textId="464DCE26" w:rsidR="00AF7B37" w:rsidRDefault="00AF7B37" w:rsidP="00B909DC">
      <w:pPr>
        <w:pStyle w:val="Heading2"/>
        <w:rPr>
          <w:rFonts w:asciiTheme="minorHAnsi" w:eastAsiaTheme="minorHAnsi" w:hAnsiTheme="minorHAnsi" w:cstheme="minorBidi"/>
          <w:color w:val="auto"/>
          <w:sz w:val="24"/>
          <w:szCs w:val="24"/>
        </w:rPr>
      </w:pPr>
    </w:p>
    <w:p w14:paraId="31EA5967" w14:textId="0E941D7F" w:rsidR="00AF7B37" w:rsidRDefault="00AF7B37" w:rsidP="00AF7B37">
      <w:r>
        <w:t>Conferences:</w:t>
      </w:r>
    </w:p>
    <w:p w14:paraId="633C3999" w14:textId="187A7FB8" w:rsidR="00AF7B37" w:rsidRDefault="00AF7B37" w:rsidP="00AF7B37"/>
    <w:p w14:paraId="2E828738" w14:textId="443A99B1" w:rsidR="00AF7B37" w:rsidRDefault="008A44EA" w:rsidP="008A44EA">
      <w:pPr>
        <w:pStyle w:val="ListParagraph"/>
        <w:numPr>
          <w:ilvl w:val="0"/>
          <w:numId w:val="1"/>
        </w:numPr>
      </w:pPr>
      <w:r>
        <w:t>Arctic Science Summit Week (</w:t>
      </w:r>
      <w:r w:rsidR="00AF7B37">
        <w:t>ASSW</w:t>
      </w:r>
      <w:r>
        <w:t xml:space="preserve">) </w:t>
      </w:r>
      <w:r w:rsidR="00AF7B37">
        <w:t>2021 Science Symposium</w:t>
      </w:r>
      <w:r>
        <w:t xml:space="preserve"> 20</w:t>
      </w:r>
      <w:r w:rsidRPr="008A44EA">
        <w:rPr>
          <w:vertAlign w:val="superscript"/>
        </w:rPr>
        <w:t>th</w:t>
      </w:r>
      <w:r>
        <w:t>-26</w:t>
      </w:r>
      <w:r w:rsidRPr="008A44EA">
        <w:rPr>
          <w:vertAlign w:val="superscript"/>
        </w:rPr>
        <w:t>th</w:t>
      </w:r>
      <w:r>
        <w:t xml:space="preserve"> March 2021 (Online) – Early Bird registration January 2021 – 28</w:t>
      </w:r>
      <w:r w:rsidRPr="008A44EA">
        <w:rPr>
          <w:vertAlign w:val="superscript"/>
        </w:rPr>
        <w:t>th</w:t>
      </w:r>
      <w:r>
        <w:t xml:space="preserve"> February 2021 (registration not open as of 14</w:t>
      </w:r>
      <w:r w:rsidRPr="008A44EA">
        <w:rPr>
          <w:vertAlign w:val="superscript"/>
        </w:rPr>
        <w:t>th</w:t>
      </w:r>
      <w:r>
        <w:t xml:space="preserve"> January 2021)</w:t>
      </w:r>
    </w:p>
    <w:p w14:paraId="7CA55516" w14:textId="2041AA33" w:rsidR="00AF7B37" w:rsidRDefault="008A44EA" w:rsidP="008A44EA">
      <w:pPr>
        <w:pStyle w:val="ListParagraph"/>
        <w:numPr>
          <w:ilvl w:val="0"/>
          <w:numId w:val="1"/>
        </w:numPr>
      </w:pPr>
      <w:r w:rsidRPr="008A44EA">
        <w:t>Astrobiology Science Conference</w:t>
      </w:r>
      <w:r>
        <w:t xml:space="preserve"> (</w:t>
      </w:r>
      <w:proofErr w:type="spellStart"/>
      <w:r w:rsidR="00AF7B37">
        <w:t>AbSciCon</w:t>
      </w:r>
      <w:proofErr w:type="spellEnd"/>
      <w:r w:rsidR="00AF7B37">
        <w:t xml:space="preserve"> 2022</w:t>
      </w:r>
      <w:r>
        <w:t>) 15</w:t>
      </w:r>
      <w:r w:rsidRPr="008A44EA">
        <w:rPr>
          <w:vertAlign w:val="superscript"/>
        </w:rPr>
        <w:t>th</w:t>
      </w:r>
      <w:r>
        <w:t xml:space="preserve"> May-20</w:t>
      </w:r>
      <w:r w:rsidRPr="008A44EA">
        <w:rPr>
          <w:vertAlign w:val="superscript"/>
        </w:rPr>
        <w:t>th</w:t>
      </w:r>
      <w:r>
        <w:t xml:space="preserve"> May 2022, Atlanta GA, USA – Abstract submissions November 2021 - January 2022</w:t>
      </w:r>
      <w:r w:rsidR="00314DC3">
        <w:t xml:space="preserve">. No registration deadline given by likely April 2022. No registration costs given but likely $245 (£179) as per </w:t>
      </w:r>
      <w:proofErr w:type="spellStart"/>
      <w:r w:rsidR="00314DC3">
        <w:t>AbSciCon</w:t>
      </w:r>
      <w:proofErr w:type="spellEnd"/>
      <w:r w:rsidR="00314DC3">
        <w:t xml:space="preserve"> 2019. </w:t>
      </w:r>
    </w:p>
    <w:p w14:paraId="3679EDC3" w14:textId="0E0CD474" w:rsidR="008A44EA" w:rsidRDefault="008A44EA" w:rsidP="008A44EA">
      <w:pPr>
        <w:pStyle w:val="ListParagraph"/>
        <w:numPr>
          <w:ilvl w:val="0"/>
          <w:numId w:val="1"/>
        </w:numPr>
      </w:pPr>
      <w:r>
        <w:t xml:space="preserve">Goldschmidt Conference July 2022, Chicago, IL, USA – Estimated abstract deadline February 2022. Estimated early bird registration deadline May 2022. Non-member student fee approximately </w:t>
      </w:r>
      <w:r>
        <w:rPr>
          <w:rFonts w:ascii="Calibri" w:hAnsi="Calibri"/>
        </w:rPr>
        <w:t>£340.</w:t>
      </w:r>
      <w:r w:rsidR="00314DC3">
        <w:rPr>
          <w:rFonts w:ascii="Calibri" w:hAnsi="Calibri"/>
        </w:rPr>
        <w:t xml:space="preserve"> </w:t>
      </w:r>
      <w:r w:rsidR="00314DC3">
        <w:rPr>
          <w:b/>
        </w:rPr>
        <w:t xml:space="preserve">Present </w:t>
      </w:r>
      <w:r w:rsidR="00314DC3" w:rsidRPr="00314DC3">
        <w:rPr>
          <w:b/>
        </w:rPr>
        <w:t>metadata/archive</w:t>
      </w:r>
      <w:r w:rsidR="00314DC3">
        <w:rPr>
          <w:b/>
        </w:rPr>
        <w:t xml:space="preserve">/spring </w:t>
      </w:r>
      <w:proofErr w:type="spellStart"/>
      <w:r w:rsidR="00314DC3">
        <w:rPr>
          <w:b/>
        </w:rPr>
        <w:t>Foxfonna</w:t>
      </w:r>
      <w:proofErr w:type="spellEnd"/>
      <w:r w:rsidR="00314DC3">
        <w:rPr>
          <w:b/>
        </w:rPr>
        <w:t xml:space="preserve"> results</w:t>
      </w:r>
    </w:p>
    <w:p w14:paraId="5EBF1B8B" w14:textId="3C4B649B" w:rsidR="00AF7B37" w:rsidRPr="00314DC3" w:rsidRDefault="008A44EA" w:rsidP="008A44EA">
      <w:pPr>
        <w:pStyle w:val="ListParagraph"/>
        <w:numPr>
          <w:ilvl w:val="0"/>
          <w:numId w:val="1"/>
        </w:numPr>
        <w:rPr>
          <w:rFonts w:ascii="Times New Roman" w:eastAsia="Times New Roman" w:hAnsi="Times New Roman" w:cs="Times New Roman"/>
        </w:rPr>
      </w:pPr>
      <w:r w:rsidRPr="008A44EA">
        <w:rPr>
          <w:rFonts w:eastAsia="Times New Roman" w:cs="Times New Roman"/>
        </w:rPr>
        <w:t>18th International Symposium on Microbial Ecology</w:t>
      </w:r>
      <w:r>
        <w:rPr>
          <w:rFonts w:ascii="Times New Roman" w:eastAsia="Times New Roman" w:hAnsi="Times New Roman" w:cs="Times New Roman"/>
        </w:rPr>
        <w:t xml:space="preserve"> (</w:t>
      </w:r>
      <w:r w:rsidR="00AF7B37">
        <w:t>ISME18</w:t>
      </w:r>
      <w:r>
        <w:t>)</w:t>
      </w:r>
      <w:r w:rsidR="00AF7B37">
        <w:t xml:space="preserve"> 2022</w:t>
      </w:r>
      <w:r w:rsidR="00E566E6">
        <w:t xml:space="preserve"> </w:t>
      </w:r>
      <w:r>
        <w:t>21</w:t>
      </w:r>
      <w:r w:rsidRPr="008A44EA">
        <w:rPr>
          <w:vertAlign w:val="superscript"/>
        </w:rPr>
        <w:t>st</w:t>
      </w:r>
      <w:r>
        <w:t xml:space="preserve"> August 2022, Cape Town, South Africa </w:t>
      </w:r>
      <w:r w:rsidR="00E566E6">
        <w:t xml:space="preserve">– </w:t>
      </w:r>
      <w:r>
        <w:t>Abstract submission dates not announced</w:t>
      </w:r>
      <w:r w:rsidR="00314DC3">
        <w:t xml:space="preserve"> but likely March as per ISME17</w:t>
      </w:r>
      <w:r>
        <w:t>. Early bird student non-member fee R 8 500 (£412)</w:t>
      </w:r>
      <w:r w:rsidR="00314DC3">
        <w:t xml:space="preserve">, deadline likely June 2022. </w:t>
      </w:r>
      <w:r w:rsidR="00314DC3">
        <w:rPr>
          <w:b/>
        </w:rPr>
        <w:t xml:space="preserve">Present </w:t>
      </w:r>
      <w:r w:rsidR="00314DC3" w:rsidRPr="00314DC3">
        <w:rPr>
          <w:b/>
        </w:rPr>
        <w:t>metadata/archive</w:t>
      </w:r>
      <w:r w:rsidR="00314DC3">
        <w:rPr>
          <w:b/>
        </w:rPr>
        <w:t xml:space="preserve">/spring </w:t>
      </w:r>
      <w:proofErr w:type="spellStart"/>
      <w:r w:rsidR="00314DC3">
        <w:rPr>
          <w:b/>
        </w:rPr>
        <w:t>Foxfonna</w:t>
      </w:r>
      <w:proofErr w:type="spellEnd"/>
      <w:r w:rsidR="00314DC3">
        <w:rPr>
          <w:b/>
        </w:rPr>
        <w:t xml:space="preserve"> results</w:t>
      </w:r>
    </w:p>
    <w:p w14:paraId="64D187B0" w14:textId="6AB31370" w:rsidR="00314DC3" w:rsidRPr="00314DC3" w:rsidRDefault="00314DC3" w:rsidP="00314DC3">
      <w:pPr>
        <w:pStyle w:val="ListParagraph"/>
        <w:numPr>
          <w:ilvl w:val="0"/>
          <w:numId w:val="1"/>
        </w:numPr>
      </w:pPr>
      <w:r w:rsidRPr="008A44EA">
        <w:t xml:space="preserve">International Conference on Polar Microbiology and Ecology </w:t>
      </w:r>
      <w:r>
        <w:t>(ICPME) 24</w:t>
      </w:r>
      <w:r w:rsidRPr="008A44EA">
        <w:rPr>
          <w:vertAlign w:val="superscript"/>
        </w:rPr>
        <w:t>th</w:t>
      </w:r>
      <w:r>
        <w:t>-25</w:t>
      </w:r>
      <w:r w:rsidRPr="008A44EA">
        <w:rPr>
          <w:vertAlign w:val="superscript"/>
        </w:rPr>
        <w:t>th</w:t>
      </w:r>
      <w:r>
        <w:t xml:space="preserve"> June 2023, </w:t>
      </w:r>
      <w:proofErr w:type="gramStart"/>
      <w:r>
        <w:t>Oslo,  Norway</w:t>
      </w:r>
      <w:proofErr w:type="gramEnd"/>
      <w:r>
        <w:t xml:space="preserve"> – Abstract submission deadline 13</w:t>
      </w:r>
      <w:r w:rsidRPr="008A44EA">
        <w:rPr>
          <w:vertAlign w:val="superscript"/>
        </w:rPr>
        <w:t>th</w:t>
      </w:r>
      <w:r>
        <w:t xml:space="preserve"> February 2022. Registration deadline 24</w:t>
      </w:r>
      <w:r w:rsidRPr="008A44EA">
        <w:rPr>
          <w:vertAlign w:val="superscript"/>
        </w:rPr>
        <w:t>th</w:t>
      </w:r>
      <w:r>
        <w:t xml:space="preserve"> May 2023. Student oral/poster presenter registration </w:t>
      </w:r>
      <w:r>
        <w:rPr>
          <w:rFonts w:ascii="Calibri" w:hAnsi="Calibri"/>
        </w:rPr>
        <w:t>€</w:t>
      </w:r>
      <w:r>
        <w:t xml:space="preserve">350 (£311). </w:t>
      </w:r>
      <w:r>
        <w:rPr>
          <w:b/>
        </w:rPr>
        <w:t xml:space="preserve">Present </w:t>
      </w:r>
      <w:r w:rsidRPr="00314DC3">
        <w:rPr>
          <w:b/>
        </w:rPr>
        <w:t>metadata/archive</w:t>
      </w:r>
      <w:r>
        <w:rPr>
          <w:b/>
        </w:rPr>
        <w:t xml:space="preserve">/spring </w:t>
      </w:r>
      <w:proofErr w:type="spellStart"/>
      <w:r>
        <w:rPr>
          <w:b/>
        </w:rPr>
        <w:t>Foxfonna</w:t>
      </w:r>
      <w:proofErr w:type="spellEnd"/>
      <w:r>
        <w:rPr>
          <w:b/>
        </w:rPr>
        <w:t xml:space="preserve"> results</w:t>
      </w:r>
    </w:p>
    <w:p w14:paraId="6B5070B7" w14:textId="74F7A7D9" w:rsidR="00AF7B37" w:rsidRDefault="00AF7B37" w:rsidP="008A44EA">
      <w:pPr>
        <w:pStyle w:val="ListParagraph"/>
        <w:numPr>
          <w:ilvl w:val="0"/>
          <w:numId w:val="1"/>
        </w:numPr>
      </w:pPr>
      <w:r>
        <w:t>Goldschmi</w:t>
      </w:r>
      <w:r w:rsidR="008A44EA">
        <w:t>d</w:t>
      </w:r>
      <w:r>
        <w:t xml:space="preserve">t Conference </w:t>
      </w:r>
      <w:r w:rsidR="008A44EA">
        <w:t>9</w:t>
      </w:r>
      <w:r w:rsidR="008A44EA" w:rsidRPr="008A44EA">
        <w:rPr>
          <w:vertAlign w:val="superscript"/>
        </w:rPr>
        <w:t>th</w:t>
      </w:r>
      <w:r w:rsidR="008A44EA">
        <w:t xml:space="preserve"> – 14</w:t>
      </w:r>
      <w:r w:rsidR="008A44EA" w:rsidRPr="008A44EA">
        <w:rPr>
          <w:vertAlign w:val="superscript"/>
        </w:rPr>
        <w:t>th</w:t>
      </w:r>
      <w:r w:rsidR="008A44EA">
        <w:t xml:space="preserve"> July 2023, Prague, Czech Republic </w:t>
      </w:r>
      <w:r w:rsidR="00E566E6">
        <w:t xml:space="preserve">– </w:t>
      </w:r>
      <w:r w:rsidR="008A44EA">
        <w:t>Estimated abstract deadline February 2023. Estimated early bird registration deadline May 2023.</w:t>
      </w:r>
      <w:r w:rsidR="00314DC3">
        <w:t xml:space="preserve"> </w:t>
      </w:r>
      <w:r w:rsidR="00314DC3" w:rsidRPr="00314DC3">
        <w:rPr>
          <w:b/>
        </w:rPr>
        <w:t xml:space="preserve">Present summer </w:t>
      </w:r>
      <w:proofErr w:type="spellStart"/>
      <w:r w:rsidR="00314DC3" w:rsidRPr="00314DC3">
        <w:rPr>
          <w:b/>
        </w:rPr>
        <w:t>Foxfonna</w:t>
      </w:r>
      <w:proofErr w:type="spellEnd"/>
      <w:r w:rsidR="00314DC3" w:rsidRPr="00314DC3">
        <w:rPr>
          <w:b/>
        </w:rPr>
        <w:t xml:space="preserve"> results.</w:t>
      </w:r>
    </w:p>
    <w:p w14:paraId="27603F7E" w14:textId="77777777" w:rsidR="00AF7B37" w:rsidRPr="00AF7B37" w:rsidRDefault="00AF7B37" w:rsidP="00AF7B37"/>
    <w:p w14:paraId="4F1E46BC" w14:textId="46183FDE" w:rsidR="00B909DC" w:rsidRDefault="00F60544" w:rsidP="00B909DC">
      <w:pPr>
        <w:pStyle w:val="Heading2"/>
      </w:pPr>
      <w:r>
        <w:t>2</w:t>
      </w:r>
      <w:r w:rsidR="00B909DC">
        <w:t xml:space="preserve"> Cryoconite metadata analysis</w:t>
      </w:r>
    </w:p>
    <w:p w14:paraId="0CAE613C" w14:textId="18D50547" w:rsidR="004F1438" w:rsidRDefault="004F1438" w:rsidP="004F1438"/>
    <w:p w14:paraId="3F383D66" w14:textId="23F109F0" w:rsidR="004F1438" w:rsidRDefault="00F60544" w:rsidP="007805F8">
      <w:pPr>
        <w:pStyle w:val="Heading3"/>
      </w:pPr>
      <w:r>
        <w:t>2</w:t>
      </w:r>
      <w:r w:rsidR="004F1438">
        <w:t>.1 Datasets</w:t>
      </w:r>
    </w:p>
    <w:p w14:paraId="51C038CF" w14:textId="41162E4C" w:rsidR="004F1438" w:rsidRDefault="004F1438" w:rsidP="004F1438"/>
    <w:p w14:paraId="0AFAF181" w14:textId="4A0DEE55" w:rsidR="00F60544" w:rsidRDefault="00F60544" w:rsidP="004F1438">
      <w:r>
        <w:t>DNA sequencing data from pervious cryoconite studies will be downloaded from their respective repositories</w:t>
      </w:r>
      <w:r w:rsidR="00247449">
        <w:t xml:space="preserve">. Associated spatial and environmental characteristics will also be obtained where available. Community, spatial and environmental data will be compiled into a metadata table. </w:t>
      </w:r>
    </w:p>
    <w:p w14:paraId="047C8F0B" w14:textId="77777777" w:rsidR="00F60544" w:rsidRDefault="00F60544" w:rsidP="004F1438"/>
    <w:p w14:paraId="5CD429A2" w14:textId="1D47A122" w:rsidR="004F1438" w:rsidRDefault="00F60544" w:rsidP="007805F8">
      <w:pPr>
        <w:pStyle w:val="Heading3"/>
      </w:pPr>
      <w:r>
        <w:t>2</w:t>
      </w:r>
      <w:r w:rsidR="004F1438">
        <w:t>.2 Bioinformatic analysis</w:t>
      </w:r>
    </w:p>
    <w:p w14:paraId="7A1000EA" w14:textId="77777777" w:rsidR="004F1438" w:rsidRDefault="004F1438" w:rsidP="004F1438"/>
    <w:p w14:paraId="53000E49" w14:textId="13473A09" w:rsidR="004F1438" w:rsidRDefault="00F60544" w:rsidP="004F1438">
      <w:pPr>
        <w:pStyle w:val="Heading3"/>
      </w:pPr>
      <w:r>
        <w:t>2</w:t>
      </w:r>
      <w:r w:rsidR="004F1438">
        <w:t>.</w:t>
      </w:r>
      <w:r w:rsidR="007805F8">
        <w:t>2.1</w:t>
      </w:r>
      <w:r w:rsidR="004F1438">
        <w:t xml:space="preserve"> Classification of ASVs and ecological functions</w:t>
      </w:r>
    </w:p>
    <w:p w14:paraId="764FCDC9" w14:textId="6E968A48" w:rsidR="004F1438" w:rsidRDefault="004F1438" w:rsidP="004F1438"/>
    <w:p w14:paraId="5465D90F" w14:textId="7F00FA41" w:rsidR="00ED1C35" w:rsidRDefault="004F1438" w:rsidP="004F1438">
      <w:r>
        <w:t xml:space="preserve">Where raw reads are available </w:t>
      </w:r>
      <w:r w:rsidR="00CB335A">
        <w:t xml:space="preserve">from previous studies, </w:t>
      </w:r>
      <w:r>
        <w:t>QIIME2 will be used to process sequence libraries</w:t>
      </w:r>
      <w:r w:rsidR="00247449">
        <w:t xml:space="preserve"> into ASVs rather than OTUs</w:t>
      </w:r>
      <w:r>
        <w:t xml:space="preserve">. </w:t>
      </w:r>
      <w:r w:rsidR="003B61D7">
        <w:t xml:space="preserve">ASVs offer the benefits of close-reference and </w:t>
      </w:r>
      <w:r w:rsidR="003B61D7" w:rsidRPr="00CB335A">
        <w:rPr>
          <w:i/>
        </w:rPr>
        <w:t>do novo</w:t>
      </w:r>
      <w:r w:rsidR="003B61D7">
        <w:t xml:space="preserve"> OTU methods in that they are reusable across studies, suitable for use in future studies and </w:t>
      </w:r>
      <w:r w:rsidR="00CB335A">
        <w:t xml:space="preserve">applicable </w:t>
      </w:r>
      <w:r w:rsidR="003B61D7">
        <w:t>to communities lacking deep coverage in reference database</w:t>
      </w:r>
      <w:r w:rsidR="00ED1C35">
        <w:t>s</w:t>
      </w:r>
      <w:r w:rsidR="003B61D7">
        <w:t xml:space="preserve"> </w:t>
      </w:r>
      <w:r w:rsidR="003B61D7">
        <w:fldChar w:fldCharType="begin" w:fldLock="1"/>
      </w:r>
      <w:r w:rsidR="00CB335A">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rsidR="003B61D7">
        <w:fldChar w:fldCharType="separate"/>
      </w:r>
      <w:r w:rsidR="003B61D7" w:rsidRPr="003B61D7">
        <w:rPr>
          <w:noProof/>
        </w:rPr>
        <w:t>(Callahan, McMurdie, &amp; Holmes, 2017)</w:t>
      </w:r>
      <w:r w:rsidR="003B61D7">
        <w:fldChar w:fldCharType="end"/>
      </w:r>
      <w:r w:rsidR="003B61D7">
        <w:t xml:space="preserve">. </w:t>
      </w:r>
    </w:p>
    <w:p w14:paraId="2D9F92AB" w14:textId="77777777" w:rsidR="00CB335A" w:rsidRDefault="00ED1C35" w:rsidP="004F1438">
      <w:r>
        <w:t xml:space="preserve">  </w:t>
      </w:r>
      <w:r w:rsidR="00CB335A">
        <w:t xml:space="preserve">QIIME2 will be used with </w:t>
      </w:r>
      <w:r w:rsidR="004F1438">
        <w:t>Divisive Amplicon Denoising Algorithm 2 (DADA2)</w:t>
      </w:r>
      <w:r w:rsidR="00CB335A">
        <w:t xml:space="preserve"> and ASVs will be classified against the </w:t>
      </w:r>
      <w:r w:rsidR="004F1438">
        <w:t>Silva rRNA database.</w:t>
      </w:r>
      <w:r w:rsidR="00CB335A">
        <w:t xml:space="preserve"> </w:t>
      </w:r>
      <w:r w:rsidR="004F1438">
        <w:t xml:space="preserve">Alpha diversity indices </w:t>
      </w:r>
      <w:r w:rsidR="00CB335A">
        <w:t>(</w:t>
      </w:r>
      <w:r w:rsidR="004F1438">
        <w:t xml:space="preserve">Faith’s phylogenetic diversity (PD), Shannon’s diversity index, Chao1 and </w:t>
      </w:r>
      <w:proofErr w:type="spellStart"/>
      <w:r w:rsidR="004F1438">
        <w:t>Pielou’s</w:t>
      </w:r>
      <w:proofErr w:type="spellEnd"/>
      <w:r w:rsidR="004F1438">
        <w:t xml:space="preserve"> evenness index</w:t>
      </w:r>
      <w:r w:rsidR="00CB335A">
        <w:t>)</w:t>
      </w:r>
      <w:r w:rsidR="004F1438">
        <w:t xml:space="preserve"> will be calculated for each sample so I can use multiple indices for community comparison.</w:t>
      </w:r>
    </w:p>
    <w:p w14:paraId="72059F07" w14:textId="6CB4B70F" w:rsidR="00CB335A" w:rsidRDefault="00CB335A" w:rsidP="004F1438">
      <w:r>
        <w:lastRenderedPageBreak/>
        <w:t xml:space="preserve">  If </w:t>
      </w:r>
      <w:proofErr w:type="gramStart"/>
      <w:r>
        <w:t>not</w:t>
      </w:r>
      <w:proofErr w:type="gramEnd"/>
      <w:r>
        <w:t xml:space="preserve"> all data is available as raw reads the proceeding analysis will take two stages: 1) analysis and comparison of all datasets using original OTU form, 2) ASV re-classification for raw-read datasets, analysis and comparison of ASV datasets only.</w:t>
      </w:r>
    </w:p>
    <w:p w14:paraId="398189BF" w14:textId="4D4BE46C" w:rsidR="004F1438" w:rsidRDefault="004F1438" w:rsidP="004F1438">
      <w:r>
        <w:t xml:space="preserve">  The functional annotation of prokaryotic taxa database (FAPROTAX) </w:t>
      </w:r>
      <w:r w:rsidR="00CB335A">
        <w:t xml:space="preserve">is a database that maps prokaryotic clades to metabolic functions </w:t>
      </w:r>
      <w:r w:rsidR="00CB335A">
        <w:fldChar w:fldCharType="begin" w:fldLock="1"/>
      </w:r>
      <w:r w:rsidR="0008240A">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communities","type":"article-journal","volume":"1"},"uris":["http://www.mendeley.com/documents/?uuid=70c2505e-e6ea-4c63-8f57-80cfa166e4bc"]}],"mendeley":{"formattedCitation":"(Louca et al., 2017)","plainTextFormattedCitation":"(Louca et al., 2017)","previouslyFormattedCitation":"(Louca et al., 2017)"},"properties":{"noteIndex":0},"schema":"https://github.com/citation-style-language/schema/raw/master/csl-citation.json"}</w:instrText>
      </w:r>
      <w:r w:rsidR="00CB335A">
        <w:fldChar w:fldCharType="separate"/>
      </w:r>
      <w:r w:rsidR="00CB335A" w:rsidRPr="00CB335A">
        <w:rPr>
          <w:noProof/>
        </w:rPr>
        <w:t>(Louca et al., 2017)</w:t>
      </w:r>
      <w:r w:rsidR="00CB335A">
        <w:fldChar w:fldCharType="end"/>
      </w:r>
      <w:r w:rsidR="00CB335A">
        <w:t>. It will be used to predict the ecological functions of the cryoconite prokaryotic communities and offers a cheaper alternative environmental shotgun sequencing.</w:t>
      </w:r>
    </w:p>
    <w:p w14:paraId="398E4665" w14:textId="77777777" w:rsidR="004F1438" w:rsidRDefault="004F1438" w:rsidP="004F1438"/>
    <w:p w14:paraId="222F5AA6" w14:textId="4F64E407" w:rsidR="004F1438" w:rsidRDefault="00F60544" w:rsidP="004F1438">
      <w:pPr>
        <w:pStyle w:val="Heading3"/>
      </w:pPr>
      <w:r>
        <w:t>2</w:t>
      </w:r>
      <w:r w:rsidR="007805F8">
        <w:t xml:space="preserve">.2.2 </w:t>
      </w:r>
      <w:r w:rsidR="004F1438">
        <w:t xml:space="preserve">Quantification of abundant and rare taxa </w:t>
      </w:r>
    </w:p>
    <w:p w14:paraId="0DB55080" w14:textId="77777777" w:rsidR="004F1438" w:rsidRDefault="004F1438" w:rsidP="004F1438"/>
    <w:p w14:paraId="7FDDE8D5" w14:textId="0320A893" w:rsidR="004F1438" w:rsidRDefault="004762D3" w:rsidP="004F1438">
      <w:r>
        <w:t>In addition to re-classification of OTUs into ASVs, I will also use the novel approach of analysing the geographic patterns and community assembly mechanisms using total, abundance and rare communities</w:t>
      </w:r>
      <w:r w:rsidR="000E46FE">
        <w:t xml:space="preserve">. </w:t>
      </w:r>
      <w:r w:rsidR="004F1438">
        <w:t>Differentiating between abundant and rare taxa is necessary as they can exhibit different biogeographic patterns</w:t>
      </w:r>
      <w:r w:rsidR="0008240A">
        <w:t xml:space="preserve"> and difference assembly processes</w:t>
      </w:r>
      <w:r w:rsidR="004F1438">
        <w:t xml:space="preserve"> </w:t>
      </w:r>
      <w:r w:rsidR="0008240A">
        <w:fldChar w:fldCharType="begin" w:fldLock="1"/>
      </w:r>
      <w:r w:rsidR="0008240A">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 Liu, Yang, Yu, &amp; Wilkinson, 2015)","plainTextFormattedCitation":"(Li et al., 2021; Liu, Yang, Yu, &amp; Wilkinson, 2015)","previouslyFormattedCitation":"(Li et al., 2021; Liu, Yang, Yu, &amp; Wilkinson, 2015)"},"properties":{"noteIndex":0},"schema":"https://github.com/citation-style-language/schema/raw/master/csl-citation.json"}</w:instrText>
      </w:r>
      <w:r w:rsidR="0008240A">
        <w:fldChar w:fldCharType="separate"/>
      </w:r>
      <w:r w:rsidR="0008240A" w:rsidRPr="0008240A">
        <w:rPr>
          <w:noProof/>
        </w:rPr>
        <w:t>(Li et al., 2021; Liu, Yang, Yu, &amp; Wilkinson, 2015)</w:t>
      </w:r>
      <w:r w:rsidR="0008240A">
        <w:fldChar w:fldCharType="end"/>
      </w:r>
      <w:r w:rsidR="004F1438">
        <w:t>. Abundant and rare taxa will be classified based on their relative abundance in local and metacommunities</w:t>
      </w:r>
      <w:r w:rsidR="0008240A">
        <w:t xml:space="preserve"> </w:t>
      </w:r>
      <w:r w:rsidR="0008240A">
        <w:fldChar w:fldCharType="begin" w:fldLock="1"/>
      </w:r>
      <w:r w:rsidR="00181E47">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rsidR="0008240A">
        <w:fldChar w:fldCharType="separate"/>
      </w:r>
      <w:r w:rsidR="0008240A" w:rsidRPr="0008240A">
        <w:rPr>
          <w:noProof/>
        </w:rPr>
        <w:t>(Li et al., 2021)</w:t>
      </w:r>
      <w:r w:rsidR="0008240A">
        <w:fldChar w:fldCharType="end"/>
      </w:r>
      <w:r w:rsidR="004F1438">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Default="004F1438" w:rsidP="004F1438"/>
    <w:p w14:paraId="74B4A580" w14:textId="6F0D854E" w:rsidR="004F1438" w:rsidRDefault="00F60544" w:rsidP="004F1438">
      <w:pPr>
        <w:pStyle w:val="Heading3"/>
      </w:pPr>
      <w:r>
        <w:t>2</w:t>
      </w:r>
      <w:r w:rsidR="007805F8">
        <w:t xml:space="preserve">.2.3 </w:t>
      </w:r>
      <w:r w:rsidR="004F1438">
        <w:t>Differences between communities and environmental factors</w:t>
      </w:r>
    </w:p>
    <w:p w14:paraId="35767998" w14:textId="77777777" w:rsidR="004F1438" w:rsidRDefault="004F1438" w:rsidP="004F1438"/>
    <w:p w14:paraId="7577DAB3" w14:textId="169C4D04" w:rsidR="004F1438" w:rsidRDefault="004F1438" w:rsidP="004F1438">
      <w:r>
        <w:t xml:space="preserve">I will use </w:t>
      </w:r>
      <w:r w:rsidR="0008240A">
        <w:t xml:space="preserve">the </w:t>
      </w:r>
      <w:r>
        <w:t xml:space="preserve">Mann-Whitney test to compare environmental characteristics, </w:t>
      </w:r>
      <w:r w:rsidR="00EC1979">
        <w:t xml:space="preserve">total, abundant and rare </w:t>
      </w:r>
      <w:r>
        <w:t xml:space="preserve">community abundances, and </w:t>
      </w:r>
      <w:r w:rsidR="0008240A">
        <w:t xml:space="preserve">alpha </w:t>
      </w:r>
      <w:r>
        <w:t xml:space="preserve">diversity </w:t>
      </w:r>
      <w:r w:rsidR="00EC1979">
        <w:t>between datasets</w:t>
      </w:r>
      <w:r w:rsidR="007805F8">
        <w:t>.</w:t>
      </w:r>
      <w:r w:rsidR="0008240A">
        <w:t xml:space="preserve"> Pearson’s correlation analysis will be performed on microbial community abundances and spatial/environmental characteristics. Coefficient of variation will be used to illustrate of abundance heterogeneity across datasets. </w:t>
      </w:r>
    </w:p>
    <w:p w14:paraId="7814D16B" w14:textId="77777777" w:rsidR="004F1438" w:rsidRDefault="004F1438" w:rsidP="004F1438"/>
    <w:p w14:paraId="51B2EBA8" w14:textId="0187053C" w:rsidR="004F1438" w:rsidRPr="00DB6EB4" w:rsidRDefault="00F60544" w:rsidP="004F1438">
      <w:pPr>
        <w:pStyle w:val="Heading3"/>
      </w:pPr>
      <w:r>
        <w:t>2</w:t>
      </w:r>
      <w:r w:rsidR="007805F8">
        <w:t xml:space="preserve">.2.4 </w:t>
      </w:r>
      <w:r w:rsidR="004F1438">
        <w:t xml:space="preserve">Geographic Analysis </w:t>
      </w:r>
    </w:p>
    <w:p w14:paraId="2DD16289" w14:textId="77777777" w:rsidR="004F1438" w:rsidRDefault="004F1438" w:rsidP="004F1438"/>
    <w:p w14:paraId="54BDF64A" w14:textId="683BBF25" w:rsidR="004F1438" w:rsidRDefault="00F60544" w:rsidP="00E15A2F">
      <w:pPr>
        <w:pStyle w:val="Heading4"/>
      </w:pPr>
      <w:r>
        <w:t>2</w:t>
      </w:r>
      <w:r w:rsidR="007805F8">
        <w:t>.2.</w:t>
      </w:r>
      <w:r w:rsidR="00E15A2F">
        <w:t>4.1</w:t>
      </w:r>
      <w:r w:rsidR="007805F8">
        <w:t xml:space="preserve"> </w:t>
      </w:r>
      <w:r w:rsidR="003A006C">
        <w:t>Island Species-Area Relationship (</w:t>
      </w:r>
      <w:r w:rsidR="004F1438">
        <w:t>ISAR</w:t>
      </w:r>
      <w:r w:rsidR="003A006C">
        <w:t>)</w:t>
      </w:r>
    </w:p>
    <w:p w14:paraId="31DEC740" w14:textId="54BA6AA5" w:rsidR="004F1438" w:rsidRDefault="007805F8" w:rsidP="004F1438">
      <w:pPr>
        <w:rPr>
          <w:rFonts w:eastAsiaTheme="minorEastAsia"/>
        </w:rPr>
      </w:pPr>
      <w:r>
        <w:t xml:space="preserve">Where cryoconite hole size data is available, analysis </w:t>
      </w:r>
      <w:r w:rsidR="004F1438">
        <w:rPr>
          <w:rFonts w:eastAsiaTheme="minorEastAsia"/>
        </w:rPr>
        <w:t>of the effect of island size will be carried out using Faith’s PD and ASV richness</w:t>
      </w:r>
      <w:r>
        <w:rPr>
          <w:rFonts w:eastAsiaTheme="minorEastAsia"/>
        </w:rPr>
        <w:t xml:space="preserve"> for total, abundant and rare groups</w:t>
      </w:r>
      <w:r w:rsidR="004F1438">
        <w:rPr>
          <w:rFonts w:eastAsiaTheme="minorEastAsia"/>
        </w:rPr>
        <w:t>. A linear model will be fit to log</w:t>
      </w:r>
      <w:r w:rsidR="004F1438" w:rsidRPr="00500F98">
        <w:rPr>
          <w:rFonts w:eastAsiaTheme="minorEastAsia"/>
          <w:vertAlign w:val="subscript"/>
        </w:rPr>
        <w:t>10</w:t>
      </w:r>
      <w:r w:rsidR="004F1438">
        <w:rPr>
          <w:rFonts w:eastAsiaTheme="minorEastAsia"/>
        </w:rPr>
        <w:t>-transformed Faith’s PD (as well as ASV richness) as modelled by log</w:t>
      </w:r>
      <w:r w:rsidR="004F1438" w:rsidRPr="00500F98">
        <w:rPr>
          <w:rFonts w:eastAsiaTheme="minorEastAsia"/>
          <w:vertAlign w:val="subscript"/>
        </w:rPr>
        <w:t>10</w:t>
      </w:r>
      <w:r w:rsidR="004F1438">
        <w:rPr>
          <w:rFonts w:eastAsiaTheme="minorEastAsia"/>
        </w:rPr>
        <w:t>-transformed cryoconite area.</w:t>
      </w:r>
    </w:p>
    <w:p w14:paraId="4A8EC1DC" w14:textId="77777777" w:rsidR="004F1438" w:rsidRDefault="004F1438" w:rsidP="004F1438"/>
    <w:p w14:paraId="4A09FFD0" w14:textId="130958EC" w:rsidR="00975B94" w:rsidRPr="00975B94" w:rsidRDefault="00F60544" w:rsidP="00374593">
      <w:pPr>
        <w:pStyle w:val="Heading4"/>
      </w:pPr>
      <w:r>
        <w:t>2</w:t>
      </w:r>
      <w:r w:rsidR="00E521DC">
        <w:t>.2.</w:t>
      </w:r>
      <w:r w:rsidR="00E15A2F">
        <w:t>4.2</w:t>
      </w:r>
      <w:r w:rsidR="00E521DC">
        <w:t xml:space="preserve"> </w:t>
      </w:r>
      <w:r w:rsidR="00374593">
        <w:t>Distance-Decay Relationship (</w:t>
      </w:r>
      <w:r w:rsidR="004F1438">
        <w:t>DDR</w:t>
      </w:r>
      <w:r w:rsidR="00374593">
        <w:t>)</w:t>
      </w:r>
    </w:p>
    <w:p w14:paraId="2B051A18" w14:textId="03E5D45B" w:rsidR="004F1438" w:rsidRPr="000104C9" w:rsidRDefault="00E55AF2" w:rsidP="004F1438">
      <w:r>
        <w:t>Using</w:t>
      </w:r>
      <w:r w:rsidR="004F1438">
        <w:t xml:space="preserve"> QIIME</w:t>
      </w:r>
      <w:r>
        <w:t>2</w:t>
      </w:r>
      <w:r w:rsidR="004F1438">
        <w:t xml:space="preserve"> I will use unweighted </w:t>
      </w:r>
      <w:proofErr w:type="spellStart"/>
      <w:r w:rsidR="004F1438">
        <w:t>UniFrac</w:t>
      </w:r>
      <w:proofErr w:type="spellEnd"/>
      <w:r w:rsidR="004F1438">
        <w:t xml:space="preserve"> distances to calculate pair-wise compositional dissimilarity between cryoconite samples</w:t>
      </w:r>
      <w:r>
        <w:t xml:space="preserve"> across all datasets</w:t>
      </w:r>
      <w:r w:rsidR="004F1438">
        <w:t>.</w:t>
      </w:r>
      <w:r>
        <w:t xml:space="preserve"> </w:t>
      </w:r>
      <w:r w:rsidR="004F1438">
        <w:t xml:space="preserve">This will be carried out using the </w:t>
      </w:r>
      <w:proofErr w:type="spellStart"/>
      <w:r w:rsidR="004F1438">
        <w:t>GreenGenes</w:t>
      </w:r>
      <w:proofErr w:type="spellEnd"/>
      <w:r w:rsidR="004F1438">
        <w:t xml:space="preserve"> database. The dissimilarity matrix will be used to test for spatial autocorrelation between cryoconite samples. Using the R package “vegan”, Mantel tests will be used to test for statistical significance in the relationship between geographic and phylogenetic distance. A linear </w:t>
      </w:r>
      <w:r>
        <w:t xml:space="preserve">or logistic </w:t>
      </w:r>
      <w:r w:rsidR="004F1438">
        <w:t xml:space="preserve">model will be fit to the unweighted </w:t>
      </w:r>
      <w:proofErr w:type="spellStart"/>
      <w:r w:rsidR="004F1438">
        <w:t>UniFrac</w:t>
      </w:r>
      <w:proofErr w:type="spellEnd"/>
      <w:r w:rsidR="004F1438">
        <w:t xml:space="preserve"> dissimilarities </w:t>
      </w:r>
      <w:r w:rsidR="004F1438">
        <w:rPr>
          <w:rFonts w:eastAsiaTheme="minorEastAsia"/>
        </w:rPr>
        <w:t>as modelled by log</w:t>
      </w:r>
      <w:r w:rsidR="004F1438" w:rsidRPr="00500F98">
        <w:rPr>
          <w:rFonts w:eastAsiaTheme="minorEastAsia"/>
          <w:vertAlign w:val="subscript"/>
        </w:rPr>
        <w:t>10</w:t>
      </w:r>
      <w:r w:rsidR="004F1438">
        <w:rPr>
          <w:rFonts w:eastAsiaTheme="minorEastAsia"/>
        </w:rPr>
        <w:t>-transformed distance between samples.</w:t>
      </w:r>
    </w:p>
    <w:p w14:paraId="7DC6E262" w14:textId="77777777" w:rsidR="004F1438" w:rsidRDefault="004F1438" w:rsidP="004F1438"/>
    <w:p w14:paraId="41729566" w14:textId="7AC79196" w:rsidR="004F1438" w:rsidRDefault="00F60544" w:rsidP="000E46FE">
      <w:pPr>
        <w:pStyle w:val="Heading3"/>
      </w:pPr>
      <w:r>
        <w:lastRenderedPageBreak/>
        <w:t>2</w:t>
      </w:r>
      <w:r w:rsidR="00E521DC">
        <w:t>.2.</w:t>
      </w:r>
      <w:r w:rsidR="00BA62E9">
        <w:t>5</w:t>
      </w:r>
      <w:r w:rsidR="00E521DC">
        <w:t xml:space="preserve"> </w:t>
      </w:r>
      <w:r w:rsidR="00BA62E9">
        <w:t>Multivariate analysis to test for e</w:t>
      </w:r>
      <w:r w:rsidR="004F1438">
        <w:t>ffect of spatial and environmental factors</w:t>
      </w:r>
    </w:p>
    <w:p w14:paraId="6B8AB73E" w14:textId="77777777" w:rsidR="00975B94" w:rsidRDefault="004F1438" w:rsidP="004F1438">
      <w:r>
        <w:t xml:space="preserve">Canonical correlation analysis (CCA) will be used 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79A339A8" w14:textId="77777777" w:rsidR="007730E7" w:rsidRDefault="007730E7" w:rsidP="004F1438"/>
    <w:p w14:paraId="723F554D" w14:textId="094365C0" w:rsidR="00975B94" w:rsidRDefault="004F1438" w:rsidP="004F1438">
      <w:r>
        <w:t>Distance-based Moran’s eigenvector maps (</w:t>
      </w:r>
      <w:proofErr w:type="spellStart"/>
      <w:r>
        <w:t>dbMEM</w:t>
      </w:r>
      <w:proofErr w:type="spellEnd"/>
      <w:r>
        <w:t xml:space="preserve">) will be </w:t>
      </w:r>
      <w:r w:rsidR="00975B94">
        <w:t xml:space="preserve">used to generate spatial factors based on latitude and longitude coordinates. The </w:t>
      </w:r>
      <w:proofErr w:type="spellStart"/>
      <w:r w:rsidR="00975B94">
        <w:t>dbMEM</w:t>
      </w:r>
      <w:proofErr w:type="spellEnd"/>
      <w:r w:rsidR="00975B94">
        <w:t xml:space="preserve"> generated spatial factors will be used with environmental factors common to the datasets to perform CCA.    </w:t>
      </w:r>
    </w:p>
    <w:p w14:paraId="539EAE1C" w14:textId="77777777" w:rsidR="004F1438" w:rsidRDefault="004F1438" w:rsidP="004F1438"/>
    <w:p w14:paraId="4492B8BE" w14:textId="163AEB4C" w:rsidR="004F1438" w:rsidRDefault="004F1438" w:rsidP="00975B94">
      <w:r>
        <w:t>Variation partitioning analysis (VPA) will be using to assess the relative role of spatial and environmental factors in explaining community variation. This will indicate what percentage of community variation can be explained by spatial or environmental factors, as well as combined spatial and environmental factors, for total, abundance and rare communities.</w:t>
      </w:r>
      <w:r w:rsidR="00A902EE">
        <w:t xml:space="preserve"> This will be done in combination with a permutation for pure effects of spatial and environmental factors.</w:t>
      </w:r>
    </w:p>
    <w:p w14:paraId="4BC6180E" w14:textId="77777777" w:rsidR="004F1438" w:rsidRDefault="004F1438" w:rsidP="004F1438"/>
    <w:p w14:paraId="0995B26C" w14:textId="14A5E3CD" w:rsidR="004F1438" w:rsidRDefault="004F1438" w:rsidP="004F1438">
      <w:r>
        <w:t xml:space="preserve">Mantel tests will be used to verify the contributions of spatial and environmental factors on total, abundance and rare communities. Partial Mantel tests will be used to verify the contributions of spatial factors while controlling for environmental factors and vice versa for total, abundance and rare total and active communities. Mantel and partial mantel test results can be compared with VPA results to see if they are consistent with their interpretation of the relative contribution of spatial and environmental factors in shaping total and active microbial community assembly. </w:t>
      </w:r>
    </w:p>
    <w:p w14:paraId="4EEA8AD6" w14:textId="77777777" w:rsidR="004F1438" w:rsidRDefault="004F1438" w:rsidP="004F1438"/>
    <w:p w14:paraId="16DD1706" w14:textId="7DE1BF82" w:rsidR="004F1438" w:rsidRDefault="00A902EE" w:rsidP="004F1438">
      <w:r>
        <w:t xml:space="preserve">I will also plot the number of occurrences of ASVs in samples </w:t>
      </w:r>
      <w:r w:rsidR="004F1438" w:rsidRPr="004864FB">
        <w:t>against the</w:t>
      </w:r>
      <w:r w:rsidR="004F1438">
        <w:t>ir</w:t>
      </w:r>
      <w:r w:rsidR="004F1438" w:rsidRPr="004864FB">
        <w:t xml:space="preserve"> average relative abundance</w:t>
      </w:r>
      <w:r>
        <w:t xml:space="preserve">. </w:t>
      </w:r>
      <w:r w:rsidR="004F1438" w:rsidRPr="004864FB">
        <w:t>Spearman’s rank correlations</w:t>
      </w:r>
      <w:r w:rsidR="004F1438">
        <w:t xml:space="preserve"> </w:t>
      </w:r>
      <w:r>
        <w:t xml:space="preserve">will be </w:t>
      </w:r>
      <w:r w:rsidR="004F1438">
        <w:t xml:space="preserve">calculated </w:t>
      </w:r>
      <w:r>
        <w:t xml:space="preserve">for the plots </w:t>
      </w:r>
      <w:r w:rsidR="004F1438">
        <w:t xml:space="preserve">to assess if there is a significant positive relationship between the number of </w:t>
      </w:r>
      <w:r>
        <w:t>cryoconite holes</w:t>
      </w:r>
      <w:r w:rsidR="004F1438">
        <w:t xml:space="preserve"> occupied and the average relative abundance of ASVs to indicate if rare taxa experience limited dispersal and/or adaption.</w:t>
      </w:r>
    </w:p>
    <w:p w14:paraId="3AC90E82" w14:textId="77777777" w:rsidR="004F1438" w:rsidRDefault="004F1438" w:rsidP="004F1438"/>
    <w:p w14:paraId="4E3E5616" w14:textId="25665AB0" w:rsidR="004F1438" w:rsidRDefault="00F60544" w:rsidP="004F1438">
      <w:pPr>
        <w:pStyle w:val="Heading3"/>
      </w:pPr>
      <w:r>
        <w:t>2</w:t>
      </w:r>
      <w:r w:rsidR="00E521DC">
        <w:t>.2.</w:t>
      </w:r>
      <w:r w:rsidR="00BA62E9">
        <w:t>6</w:t>
      </w:r>
      <w:r w:rsidR="00E521DC">
        <w:t xml:space="preserve"> </w:t>
      </w:r>
      <w:r w:rsidR="004F1438">
        <w:t>Community assembly processes</w:t>
      </w:r>
    </w:p>
    <w:p w14:paraId="4879610F" w14:textId="77777777" w:rsidR="004F1438" w:rsidRDefault="004F1438" w:rsidP="004F1438"/>
    <w:p w14:paraId="6111FF42" w14:textId="0B6ABC70" w:rsidR="004F1438" w:rsidRDefault="004F1438" w:rsidP="004F1438">
      <w:r>
        <w:t>I will quantify the relative contribution of community assembly processes in shaping t</w:t>
      </w:r>
      <w:r w:rsidR="00903E33">
        <w:t xml:space="preserve">otal, abundant and rare prokaryotic </w:t>
      </w:r>
      <w:r>
        <w:t xml:space="preserve">communities using the analytical framework set out by </w:t>
      </w:r>
      <w:r>
        <w:fldChar w:fldCharType="begin" w:fldLock="1"/>
      </w:r>
      <w: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Pr>
          <w:rFonts w:ascii="Cambria Math" w:hAnsi="Cambria Math" w:cs="Cambria Math"/>
        </w:rPr>
        <w:instrText>∼</w:instrText>
      </w:r>
      <w:r>
        <w:instrText xml:space="preserve">25% of spatial turnover in community composition; (ii) in deeper, finer-grained sediments, Selection is strong (governing </w:instrText>
      </w:r>
      <w:r>
        <w:rPr>
          <w:rFonts w:ascii="Cambria Math" w:hAnsi="Cambria Math" w:cs="Cambria Math"/>
        </w:rPr>
        <w:instrText>∼</w:instrText>
      </w:r>
      <w:r>
        <w:instrText xml:space="preserve">60% of turnover), being imposed by an unmeasured but spatially structured environmental variable; (iii) in shallower, coarser-grained sediments, Selection is weaker (governing </w:instrText>
      </w:r>
      <w:r>
        <w:rPr>
          <w:rFonts w:ascii="Cambria Math" w:hAnsi="Cambria Math" w:cs="Cambria Math"/>
        </w:rPr>
        <w:instrText>∼</w:instrText>
      </w:r>
      <w: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This framework is dependent on phylogenetic turnover</w:t>
      </w:r>
      <w:r w:rsidR="00181E47">
        <w:t xml:space="preserve"> so relies on more closely related ASVs exhibiting more similar habitat preferences</w:t>
      </w:r>
      <w:r w:rsidR="00903E33">
        <w:t>.</w:t>
      </w:r>
      <w:r>
        <w:t xml:space="preserve"> In order to use phylogenetic turnover to infer ecological processes </w:t>
      </w:r>
      <w:r w:rsidR="00181E47">
        <w:t>I</w:t>
      </w:r>
      <w: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t xml:space="preserve"> </w:t>
      </w:r>
      <w:r w:rsidR="00181E47">
        <w:fldChar w:fldCharType="begin" w:fldLock="1"/>
      </w:r>
      <w:r w:rsidR="00181E47">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81E47">
        <w:rPr>
          <w:rFonts w:ascii="Cambria Math" w:hAnsi="Cambria Math" w:cs="Cambria Math"/>
        </w:rPr>
        <w:instrText>∼</w:instrText>
      </w:r>
      <w:r w:rsidR="00181E47">
        <w:instrText xml:space="preserve">25% of spatial turnover in community composition; (ii) in deeper, finer-grained sediments, Selection is strong (governing </w:instrText>
      </w:r>
      <w:r w:rsidR="00181E47">
        <w:rPr>
          <w:rFonts w:ascii="Cambria Math" w:hAnsi="Cambria Math" w:cs="Cambria Math"/>
        </w:rPr>
        <w:instrText>∼</w:instrText>
      </w:r>
      <w:r w:rsidR="00181E47">
        <w:instrText xml:space="preserve">60% of turnover), being imposed by an unmeasured but spatially structured environmental variable; (iii) in shallower, coarser-grained sediments, Selection is weaker (governing </w:instrText>
      </w:r>
      <w:r w:rsidR="00181E47">
        <w:rPr>
          <w:rFonts w:ascii="Cambria Math" w:hAnsi="Cambria Math" w:cs="Cambria Math"/>
        </w:rPr>
        <w:instrText>∼</w:instrText>
      </w:r>
      <w:r w:rsidR="00181E47">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2013)"},"properties":{"noteIndex":0},"schema":"https://github.com/citation-style-language/schema/raw/master/csl-citation.json"}</w:instrText>
      </w:r>
      <w:r w:rsidR="00181E47">
        <w:fldChar w:fldCharType="separate"/>
      </w:r>
      <w:r w:rsidR="00181E47" w:rsidRPr="00181E47">
        <w:rPr>
          <w:noProof/>
        </w:rPr>
        <w:t>(Stegen et al., 2013)</w:t>
      </w:r>
      <w:r w:rsidR="00181E47">
        <w:fldChar w:fldCharType="end"/>
      </w:r>
      <w:r>
        <w:t>.</w:t>
      </w:r>
    </w:p>
    <w:p w14:paraId="30741255" w14:textId="77777777" w:rsidR="004F1438" w:rsidRDefault="004F1438" w:rsidP="004F1438"/>
    <w:p w14:paraId="6FF01AB9" w14:textId="77777777" w:rsidR="004F1438" w:rsidRDefault="004F1438" w:rsidP="004F1438">
      <w:r>
        <w:t xml:space="preserve">Within the framework of </w:t>
      </w:r>
      <w:r>
        <w:fldChar w:fldCharType="begin" w:fldLock="1"/>
      </w:r>
      <w: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Pr>
          <w:rFonts w:ascii="Cambria Math" w:hAnsi="Cambria Math" w:cs="Cambria Math"/>
        </w:rPr>
        <w:instrText>∼</w:instrText>
      </w:r>
      <w:r>
        <w:instrText xml:space="preserve">25% of spatial turnover in community composition; (ii) in deeper, finer-grained sediments, Selection is strong (governing </w:instrText>
      </w:r>
      <w:r>
        <w:rPr>
          <w:rFonts w:ascii="Cambria Math" w:hAnsi="Cambria Math" w:cs="Cambria Math"/>
        </w:rPr>
        <w:instrText>∼</w:instrText>
      </w:r>
      <w:r>
        <w:instrText xml:space="preserve">60% of turnover), being imposed by an unmeasured but spatially structured environmental variable; (iii) in shallower, coarser-grained sediments, Selection is weaker (governing </w:instrText>
      </w:r>
      <w:r>
        <w:rPr>
          <w:rFonts w:ascii="Cambria Math" w:hAnsi="Cambria Math" w:cs="Cambria Math"/>
        </w:rPr>
        <w:instrText>∼</w:instrText>
      </w:r>
      <w: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xml:space="preserve">, community assembly processes may be deterministic (niche-based) or stochastic (neutral). Deterministic processes include heterogenous selection, whereby selective pressure leads to high compositional turnover, or homogenous selection, whereby selective pressure leads to low compositional turnover. </w:t>
      </w:r>
      <w:r>
        <w:lastRenderedPageBreak/>
        <w:t xml:space="preserve">Stochastic processes include dispersal limitation, where low immigration rates lead to high compositional turnover, homogenizing dispersal, where high immigration rates lead to low compositional turnover, and drift, where random birth/death events lead to compositional turnover. </w:t>
      </w:r>
    </w:p>
    <w:p w14:paraId="693E0EDC" w14:textId="77777777" w:rsidR="004F1438" w:rsidRDefault="004F1438" w:rsidP="004F1438"/>
    <w:p w14:paraId="0CCCFE3E" w14:textId="77777777" w:rsidR="004F1438" w:rsidRDefault="004F1438" w:rsidP="004F1438">
      <w:pPr>
        <w:rPr>
          <w:rFonts w:eastAsiaTheme="minorEastAsia"/>
        </w:rPr>
      </w:pPr>
      <w:r>
        <w:t xml:space="preserve">Ecological processes are evaluated using weighted </w:t>
      </w:r>
      <m:oMath>
        <m:r>
          <w:rPr>
            <w:rFonts w:ascii="Cambria Math" w:hAnsi="Cambria Math"/>
          </w:rPr>
          <m:t>β</m:t>
        </m:r>
      </m:oMath>
      <w:r>
        <w:rPr>
          <w:rFonts w:eastAsiaTheme="minorEastAsia"/>
        </w:rPr>
        <w:t>-nearest taxon index (</w:t>
      </w:r>
      <m:oMath>
        <m:r>
          <w:rPr>
            <w:rFonts w:ascii="Cambria Math" w:hAnsi="Cambria Math"/>
          </w:rPr>
          <m:t>β</m:t>
        </m:r>
      </m:oMath>
      <w:r>
        <w:rPr>
          <w:rFonts w:eastAsiaTheme="minorEastAsia"/>
        </w:rPr>
        <w:t xml:space="preserve">NTI) and Bray-Curtis based </w:t>
      </w:r>
      <w:proofErr w:type="spellStart"/>
      <w:r>
        <w:rPr>
          <w:rFonts w:eastAsiaTheme="minorEastAsia"/>
        </w:rPr>
        <w:t>Raup</w:t>
      </w:r>
      <w:proofErr w:type="spellEnd"/>
      <w:r>
        <w:rPr>
          <w:rFonts w:eastAsiaTheme="minorEastAsia"/>
        </w:rPr>
        <w:t>-Crick (</w:t>
      </w:r>
      <w:proofErr w:type="spellStart"/>
      <w:r>
        <w:rPr>
          <w:rFonts w:eastAsiaTheme="minorEastAsia"/>
        </w:rPr>
        <w:t>RC</w:t>
      </w:r>
      <w:r w:rsidRPr="004E2BA6">
        <w:rPr>
          <w:rFonts w:eastAsiaTheme="minorEastAsia"/>
          <w:vertAlign w:val="subscript"/>
        </w:rPr>
        <w:t>bray</w:t>
      </w:r>
      <w:proofErr w:type="spellEnd"/>
      <w:r>
        <w:rPr>
          <w:rFonts w:eastAsiaTheme="minorEastAsia"/>
        </w:rPr>
        <w:t xml:space="preserve">) null models. Phylogenetic turnover between the communities will be analysed using R package “picante” to calculate the weighted </w:t>
      </w:r>
      <m:oMath>
        <m:r>
          <w:rPr>
            <w:rFonts w:ascii="Cambria Math" w:hAnsi="Cambria Math"/>
          </w:rPr>
          <m:t>β</m:t>
        </m:r>
      </m:oMath>
      <w:r>
        <w:rPr>
          <w:rFonts w:eastAsiaTheme="minorEastAsia"/>
        </w:rPr>
        <w:t>-mean nearest taxon distance (</w:t>
      </w:r>
      <m:oMath>
        <m:r>
          <w:rPr>
            <w:rFonts w:ascii="Cambria Math" w:hAnsi="Cambria Math"/>
          </w:rPr>
          <m:t>β</m:t>
        </m:r>
      </m:oMath>
      <w:r>
        <w:rPr>
          <w:rFonts w:eastAsiaTheme="minorEastAsia"/>
        </w:rPr>
        <w:t xml:space="preserve">MNTD). </w:t>
      </w:r>
      <m:oMath>
        <m:r>
          <w:rPr>
            <w:rFonts w:ascii="Cambria Math" w:hAnsi="Cambria Math"/>
          </w:rPr>
          <m:t>β</m:t>
        </m:r>
      </m:oMath>
      <w:r>
        <w:rPr>
          <w:rFonts w:eastAsiaTheme="minorEastAsia"/>
        </w:rPr>
        <w:t xml:space="preserve">NTI is the number of standard deviations of the </w:t>
      </w:r>
      <m:oMath>
        <m:r>
          <w:rPr>
            <w:rFonts w:ascii="Cambria Math" w:hAnsi="Cambria Math"/>
          </w:rPr>
          <m:t>β</m:t>
        </m:r>
      </m:oMath>
      <w:r>
        <w:rPr>
          <w:rFonts w:eastAsiaTheme="minorEastAsia"/>
        </w:rPr>
        <w:t xml:space="preserve">MNTD from the null distribution. If </w:t>
      </w:r>
      <m:oMath>
        <m:r>
          <w:rPr>
            <w:rFonts w:ascii="Cambria Math" w:hAnsi="Cambria Math"/>
          </w:rPr>
          <m:t>β</m:t>
        </m:r>
      </m:oMath>
      <w:r>
        <w:rPr>
          <w:rFonts w:eastAsiaTheme="minorEastAsia"/>
        </w:rPr>
        <w:t xml:space="preserve">NTI is &gt;2 is it suggestive of heterogenous selection, if </w:t>
      </w:r>
      <m:oMath>
        <m:r>
          <w:rPr>
            <w:rFonts w:ascii="Cambria Math" w:hAnsi="Cambria Math"/>
          </w:rPr>
          <m:t>β</m:t>
        </m:r>
      </m:oMath>
      <w:r>
        <w:rPr>
          <w:rFonts w:eastAsiaTheme="minorEastAsia"/>
        </w:rPr>
        <w:t>NTI is &lt;-2 this is evidence of homogenous selection. If |</w:t>
      </w:r>
      <m:oMath>
        <m:r>
          <w:rPr>
            <w:rFonts w:ascii="Cambria Math" w:hAnsi="Cambria Math"/>
          </w:rPr>
          <m:t>β</m:t>
        </m:r>
      </m:oMath>
      <w:r>
        <w:rPr>
          <w:rFonts w:eastAsiaTheme="minorEastAsia"/>
        </w:rPr>
        <w:t>NTI| is &lt;2 RC</w:t>
      </w:r>
      <w:r w:rsidRPr="00C018B2">
        <w:rPr>
          <w:rFonts w:eastAsiaTheme="minorEastAsia"/>
          <w:vertAlign w:val="subscript"/>
        </w:rPr>
        <w:t>bray</w:t>
      </w:r>
      <w:r>
        <w:rPr>
          <w:rFonts w:eastAsiaTheme="minorEastAsia"/>
        </w:rPr>
        <w:t xml:space="preserve"> values are used to indicate dispersal limitation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&gt;0.95), homogenizing dispersal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&lt;-0.95) and drift (|</w:t>
      </w:r>
      <w:proofErr w:type="spellStart"/>
      <w:r>
        <w:rPr>
          <w:rFonts w:eastAsiaTheme="minorEastAsia"/>
        </w:rPr>
        <w:t>RC</w:t>
      </w:r>
      <w:r w:rsidRPr="00C018B2">
        <w:rPr>
          <w:rFonts w:eastAsiaTheme="minorEastAsia"/>
          <w:vertAlign w:val="subscript"/>
        </w:rPr>
        <w:t>bray</w:t>
      </w:r>
      <w:proofErr w:type="spellEnd"/>
      <w:r>
        <w:rPr>
          <w:rFonts w:eastAsiaTheme="minorEastAsia"/>
        </w:rPr>
        <w:t>|&lt;0.95).</w:t>
      </w:r>
    </w:p>
    <w:p w14:paraId="3265173D" w14:textId="77777777" w:rsidR="004F1438" w:rsidRDefault="004F1438" w:rsidP="004F1438">
      <w:pPr>
        <w:rPr>
          <w:rFonts w:eastAsiaTheme="minorEastAsia"/>
        </w:rPr>
      </w:pPr>
    </w:p>
    <w:p w14:paraId="6B395C98" w14:textId="5C9B3AE4" w:rsidR="004F1438" w:rsidRDefault="00F60544" w:rsidP="004F1438">
      <w:pPr>
        <w:pStyle w:val="Heading3"/>
        <w:rPr>
          <w:rFonts w:eastAsiaTheme="minorEastAsia"/>
        </w:rPr>
      </w:pPr>
      <w:r>
        <w:t>2</w:t>
      </w:r>
      <w:r w:rsidR="00E521DC">
        <w:t>.2.</w:t>
      </w:r>
      <w:r w:rsidR="00BA62E9">
        <w:t>7</w:t>
      </w:r>
      <w:r w:rsidR="00E521DC">
        <w:t xml:space="preserve"> </w:t>
      </w:r>
      <w:r w:rsidR="004F1438">
        <w:rPr>
          <w:rFonts w:eastAsiaTheme="minorEastAsia"/>
        </w:rPr>
        <w:t>Co-occurrence network analysis</w:t>
      </w:r>
    </w:p>
    <w:p w14:paraId="12A22078" w14:textId="77777777" w:rsidR="004F1438" w:rsidRDefault="004F1438" w:rsidP="004F1438">
      <w:pPr>
        <w:rPr>
          <w:rFonts w:eastAsiaTheme="minorEastAsia"/>
        </w:rPr>
      </w:pPr>
    </w:p>
    <w:p w14:paraId="2296D6B3" w14:textId="72AB7EC2" w:rsidR="004F1438" w:rsidRDefault="004F1438" w:rsidP="004F1438">
      <w:pPr>
        <w:rPr>
          <w:rFonts w:eastAsiaTheme="minorEastAsia"/>
        </w:rPr>
      </w:pPr>
      <w:r>
        <w:rPr>
          <w:rFonts w:eastAsiaTheme="minorEastAsia"/>
        </w:rPr>
        <w:t xml:space="preserve">Community co-occurrence network models will be constructed to compare total community interactions for </w:t>
      </w:r>
      <w:r w:rsidR="007660B4">
        <w:rPr>
          <w:rFonts w:eastAsiaTheme="minorEastAsia"/>
        </w:rPr>
        <w:t>each dataset</w:t>
      </w:r>
      <w:r>
        <w:rPr>
          <w:rFonts w:eastAsiaTheme="minorEastAsia"/>
        </w:rPr>
        <w:t>. Co-occurrence network analysis can highlight positive (cooperative) and negative (competitive) connections between ASVs</w:t>
      </w:r>
      <w:r w:rsidR="009A303A">
        <w:rPr>
          <w:rFonts w:eastAsiaTheme="minorEastAsia"/>
        </w:rPr>
        <w:t xml:space="preserve">. </w:t>
      </w:r>
      <w:r>
        <w:rPr>
          <w:rFonts w:eastAsiaTheme="minorEastAsia"/>
        </w:rPr>
        <w:t>Significant correlations will be indicated by Pearson’s correlation coefficients of &gt;0.6 or &lt;-0.6 with significance level &lt;0.05. ASVs that are present in at least 30% of samples will be retained for network construction.</w:t>
      </w:r>
      <w:r w:rsidR="009A303A">
        <w:rPr>
          <w:rFonts w:eastAsiaTheme="minorEastAsia"/>
        </w:rPr>
        <w:t xml:space="preserve"> </w:t>
      </w:r>
      <w:r>
        <w:rPr>
          <w:rFonts w:eastAsiaTheme="minorEastAsia"/>
        </w:rPr>
        <w:t xml:space="preserve">I will generate a network diagram using </w:t>
      </w:r>
      <w:proofErr w:type="spellStart"/>
      <w:r>
        <w:rPr>
          <w:rFonts w:eastAsiaTheme="minorEastAsia"/>
        </w:rPr>
        <w:t>Gephi</w:t>
      </w:r>
      <w:proofErr w:type="spellEnd"/>
      <w:r>
        <w:rPr>
          <w:rFonts w:eastAsiaTheme="minorEastAsia"/>
        </w:rPr>
        <w:t xml:space="preserve"> software. </w:t>
      </w:r>
    </w:p>
    <w:p w14:paraId="0FB7604F" w14:textId="77777777" w:rsidR="004F1438" w:rsidRDefault="004F1438" w:rsidP="004F1438">
      <w:pPr>
        <w:rPr>
          <w:rFonts w:eastAsiaTheme="minorEastAsia"/>
        </w:rPr>
      </w:pPr>
    </w:p>
    <w:p w14:paraId="5AA291C7" w14:textId="5A9CF366" w:rsidR="004F1438" w:rsidRDefault="004F1438" w:rsidP="004F1438">
      <w:pPr>
        <w:rPr>
          <w:rFonts w:eastAsiaTheme="minorEastAsia"/>
        </w:rPr>
      </w:pPr>
      <w:r>
        <w:rPr>
          <w:rFonts w:eastAsiaTheme="minorEastAsia"/>
        </w:rPr>
        <w:t xml:space="preserve">For each sample </w:t>
      </w:r>
      <w:r w:rsidR="007660B4">
        <w:rPr>
          <w:rFonts w:eastAsiaTheme="minorEastAsia"/>
        </w:rPr>
        <w:t xml:space="preserve">in each dataset </w:t>
      </w:r>
      <w:r>
        <w:rPr>
          <w:rFonts w:eastAsiaTheme="minorEastAsia"/>
        </w:rPr>
        <w:t>a subnetwork will be constructed.</w:t>
      </w:r>
      <w:r w:rsidR="009A303A">
        <w:rPr>
          <w:rFonts w:eastAsiaTheme="minorEastAsia"/>
        </w:rPr>
        <w:t xml:space="preserve"> </w:t>
      </w:r>
      <w:r>
        <w:rPr>
          <w:rFonts w:eastAsiaTheme="minorEastAsia"/>
        </w:rPr>
        <w:t>To assess the 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29BF6F50" w14:textId="77777777" w:rsidR="004F1438" w:rsidRDefault="004F1438" w:rsidP="004F1438">
      <w:pPr>
        <w:rPr>
          <w:rFonts w:eastAsiaTheme="minorEastAsia"/>
        </w:rPr>
      </w:pPr>
    </w:p>
    <w:p w14:paraId="301E18BF" w14:textId="77777777" w:rsidR="004F1438" w:rsidRPr="0098799B" w:rsidRDefault="004F1438" w:rsidP="004F1438">
      <w:pPr>
        <w:rPr>
          <w:rFonts w:eastAsiaTheme="minorEastAsia"/>
        </w:rPr>
      </w:pPr>
      <w:r>
        <w:rPr>
          <w:rFonts w:eastAsiaTheme="minorEastAsia"/>
        </w:rPr>
        <w:t xml:space="preserve">Previous investigations have found predominantly positive connections in DNA-based (total) community co-occurrence network analysis and predominately negative connections in RNA-based (active) community co-occurrence network analysis </w:t>
      </w:r>
      <w:r>
        <w:rPr>
          <w:rFonts w:eastAsiaTheme="minorEastAsia"/>
        </w:rPr>
        <w:fldChar w:fldCharType="begin" w:fldLock="1"/>
      </w:r>
      <w:r>
        <w:rPr>
          <w:rFonts w:eastAsiaTheme="minorEastAsia"/>
        </w:rPr>
        <w:instrText>ADDIN CSL_CITATION {"citationItems":[{"id":"ITEM-1","itemData":{"DOI":"10.1111/mec.12739","ISSN":"1365294X","PMID":"24684298","abstract":"To test the hypothesis that different drivers shape the diversity and biogeography of the total and active bacterial community, we examined the bacterial community composition along two transects, one from the inner Pearl River estuary to the open waters of the South China Sea (SCS) and the other from the Luzon Strait to the SCS basin, using 454 pyrosequencing of the 16S rRNA and 16S rRNA gene (V1-3 regions) and thereby characterizing the active and total bacterial community, respectively. The diversity and biogeographic patterns differed substantially between the active and total bacterial communities. Although the composition of both the total and active bacterial community was strongly correlated with environmental factors and weakly correlated with geographic distance, the active bacterial community displayed higher environmental sensitivity than the total community and particularly a greater distance effect largely caused by the active assemblage from deep waters. The 16S rRNA vs. rDNA relationships indicated that the active bacteria were low in relative abundance in the SCS. This might be due to a high competition between active bacterial taxa as indicated by our community network models. Based on these analyses, we speculate that high competition could cause some dispersal limitation of the active bacterial community resulting in a distinct distance-decay relationship. Altogether, our results indicated that the biogeographic distribution of bacteria in the SCS is the result of both environmental control and distance decay. © 2014 The Authors. Molecular Ecology Published by John Wiley &amp; Sons Ltd.","author":[{"dropping-particle":"","family":"Zhang","given":"Yao","non-dropping-particle":"","parse-names":false,"suffix":""},{"dropping-particle":"","family":"Zhao","given":"Zihao","non-dropping-particle":"","parse-names":false,"suffix":""},{"dropping-particle":"","family":"Dai","given":"Minhan","non-dropping-particle":"","parse-names":false,"suffix":""},{"dropping-particle":"","family":"Jiao","given":"Nianzhi","non-dropping-particle":"","parse-names":false,"suffix":""},{"dropping-particle":"","family":"Herndl","given":"Gerhard J.","non-dropping-particle":"","parse-names":false,"suffix":""}],"container-title":"Molecular Ecology","id":"ITEM-1","issue":"9","issued":{"date-parts":[["2014"]]},"page":"2260-2274","title":"Drivers shaping the diversity and biogeography of total and active bacterial communities in the South China Sea","type":"article-journal","volume":"23"},"uris":["http://www.mendeley.com/documents/?uuid=c89ee646-7dd8-4b6a-a9b4-540bc0d5b52e"]},{"id":"ITEM-2","itemData":{"DOI":"10.3389/fmicb.2019.02404","ISSN":"1664302X","abstract":"The Sansha Yongle Blue Hole is the deepest blue hole in the world and exhibits unique environmental characteristics. In this paper, Illumina sequencing and qPCR analysis were conducted to obtain the microbial information in this special ecosystem. The results showed that the richness and diversity of bacterial communities in the hole was greater than those of archaeal communities, and bacterial and archaeal communities were dominated by Proteobacteria and Euryarchaeota, respectively. Temperature and nitrate concentration significantly contributed to the heterogeneous distribution of major bacterial clades; salinity explained most variations of the archaeal communities, but not significant. A sudden increase of bacterial 16S rRNA, archaeal 16S rRNA, ANAMMOX 16S rRNA, nirS and dsrB gene was noticed from 90 to 100 m in the hole probably due to more phytoplankton at this depth. Sulfur oxidation and nitrate reduction were the most abundant predicted ecological functions in the hole, while lots of archaea were predicted to be involved in aerobic ammonia oxidation and methanogenesis. The co-occurrence network analysis illustrated that a synergistic effect between sulfate reduction and sulfur oxidation, and between nitrogen fixation and denitrification, a certain degree of coupling between sulfur and nitrogen cycle was also observed in the hole. The comparisons of bacterial and archaeal communities between the hole and other caves in the world (or other areas of the South China Sea) suggest that similar conditions are hypothesized to give rise to similar microbial communities, and environmental conditions may contribute significantly to the bacterial and archaeal communities.","author":[{"dropping-particle":"","family":"He","given":"Hui","non-dropping-particle":"","parse-names":false,"suffix":""},{"dropping-particle":"","family":"Fu","given":"Lulu","non-dropping-particle":"","parse-names":false,"suffix":""},{"dropping-particle":"","family":"Liu","given":"Qian","non-dropping-particle":"","parse-names":false,"suffix":""},{"dropping-particle":"","family":"Fu","given":"Liang","non-dropping-particle":"","parse-names":false,"suffix":""},{"dropping-particle":"","family":"Bi","given":"Naishuang","non-dropping-particle":"","parse-names":false,"suffix":""},{"dropping-particle":"","family":"Yang","given":"Zuosheng","non-dropping-particle":"","parse-names":false,"suffix":""},{"dropping-particle":"","family":"Zhen","given":"Yu","non-dropping-particle":"","parse-names":false,"suffix":""}],"container-title":"Frontiers in Microbiology","id":"ITEM-2","issue":"October","issued":{"date-parts":[["2019"]]},"page":"1-16","title":"Community Structure, Abundance and Potential Functions of Bacteria and Archaea in the Sansha Yongle Blue Hole, Xisha, South China Sea","type":"article-journal","volume":"10"},"uris":["http://www.mendeley.com/documents/?uuid=0ece5bc7-d8b0-447f-a94c-28d116c564ff"]}],"mendeley":{"formattedCitation":"(He et al., 2019; Zhang, Zhao, Dai, Jiao, &amp; Herndl, 2014)","plainTextFormattedCitation":"(He et al., 2019; Zhang, Zhao, Dai, Jiao, &amp; Herndl, 2014)","previouslyFormattedCitation":"(He et al., 2019; Zhang, Zhao, Dai, Jiao, &amp; Herndl, 2014)"},"properties":{"noteIndex":0},"schema":"https://github.com/citation-style-language/schema/raw/master/csl-citation.json"}</w:instrText>
      </w:r>
      <w:r>
        <w:rPr>
          <w:rFonts w:eastAsiaTheme="minorEastAsia"/>
        </w:rPr>
        <w:fldChar w:fldCharType="separate"/>
      </w:r>
      <w:r w:rsidRPr="008803AD">
        <w:rPr>
          <w:rFonts w:eastAsiaTheme="minorEastAsia"/>
          <w:noProof/>
        </w:rPr>
        <w:t>(He et al., 2019; Zhang, Zhao, Dai, Jiao, &amp; Herndl, 2014)</w:t>
      </w:r>
      <w:r>
        <w:rPr>
          <w:rFonts w:eastAsiaTheme="minorEastAsia"/>
        </w:rPr>
        <w:fldChar w:fldCharType="end"/>
      </w:r>
      <w:r>
        <w:rPr>
          <w:rFonts w:eastAsiaTheme="minorEastAsia"/>
        </w:rPr>
        <w:t xml:space="preserve">. Dominant positive connections within DNA-based networks may be a result of mutual cooperation between taxa after long periods of co-evolution, whilst negative connections in RNA-based networks may be evidence of resource competition </w:t>
      </w:r>
      <w:r>
        <w:rPr>
          <w:rFonts w:eastAsiaTheme="minorEastAsia"/>
        </w:rPr>
        <w:fldChar w:fldCharType="begin" w:fldLock="1"/>
      </w:r>
      <w:r>
        <w:rPr>
          <w:rFonts w:eastAsiaTheme="minorEastAsia"/>
        </w:rPr>
        <w:instrText>ADDIN CSL_CITATION {"citationItems":[{"id":"ITEM-1","itemData":{"DOI":"10.1111/mec.12739","ISSN":"1365294X","PMID":"24684298","abstract":"To test the hypothesis that different drivers shape the diversity and biogeography of the total and active bacterial community, we examined the bacterial community composition along two transects, one from the inner Pearl River estuary to the open waters of the South China Sea (SCS) and the other from the Luzon Strait to the SCS basin, using 454 pyrosequencing of the 16S rRNA and 16S rRNA gene (V1-3 regions) and thereby characterizing the active and total bacterial community, respectively. The diversity and biogeographic patterns differed substantially between the active and total bacterial communities. Although the composition of both the total and active bacterial community was strongly correlated with environmental factors and weakly correlated with geographic distance, the active bacterial community displayed higher environmental sensitivity than the total community and particularly a greater distance effect largely caused by the active assemblage from deep waters. The 16S rRNA vs. rDNA relationships indicated that the active bacteria were low in relative abundance in the SCS. This might be due to a high competition between active bacterial taxa as indicated by our community network models. Based on these analyses, we speculate that high competition could cause some dispersal limitation of the active bacterial community resulting in a distinct distance-decay relationship. Altogether, our results indicated that the biogeographic distribution of bacteria in the SCS is the result of both environmental control and distance decay. © 2014 The Authors. Molecular Ecology Published by John Wiley &amp; Sons Ltd.","author":[{"dropping-particle":"","family":"Zhang","given":"Yao","non-dropping-particle":"","parse-names":false,"suffix":""},{"dropping-particle":"","family":"Zhao","given":"Zihao","non-dropping-particle":"","parse-names":false,"suffix":""},{"dropping-particle":"","family":"Dai","given":"Minhan","non-dropping-particle":"","parse-names":false,"suffix":""},{"dropping-particle":"","family":"Jiao","given":"Nianzhi","non-dropping-particle":"","parse-names":false,"suffix":""},{"dropping-particle":"","family":"Herndl","given":"Gerhard J.","non-dropping-particle":"","parse-names":false,"suffix":""}],"container-title":"Molecular Ecology","id":"ITEM-1","issue":"9","issued":{"date-parts":[["2014"]]},"page":"2260-2274","title":"Drivers shaping the diversity and biogeography of total and active bacterial communities in the South China Sea","type":"article-journal","volume":"23"},"uris":["http://www.mendeley.com/documents/?uuid=c89ee646-7dd8-4b6a-a9b4-540bc0d5b52e"]}],"mendeley":{"formattedCitation":"(Zhang et al., 2014)","plainTextFormattedCitation":"(Zhang et al., 2014)","previouslyFormattedCitation":"(Zhang et al., 2014)"},"properties":{"noteIndex":0},"schema":"https://github.com/citation-style-language/schema/raw/master/csl-citation.json"}</w:instrText>
      </w:r>
      <w:r>
        <w:rPr>
          <w:rFonts w:eastAsiaTheme="minorEastAsia"/>
        </w:rPr>
        <w:fldChar w:fldCharType="separate"/>
      </w:r>
      <w:r w:rsidRPr="008803AD">
        <w:rPr>
          <w:rFonts w:eastAsiaTheme="minorEastAsia"/>
          <w:noProof/>
        </w:rPr>
        <w:t>(Zhang et al., 2014)</w:t>
      </w:r>
      <w:r>
        <w:rPr>
          <w:rFonts w:eastAsiaTheme="minorEastAsia"/>
        </w:rPr>
        <w:fldChar w:fldCharType="end"/>
      </w:r>
      <w:r>
        <w:rPr>
          <w:rFonts w:eastAsiaTheme="minorEastAsia"/>
        </w:rPr>
        <w:t xml:space="preserve">.    </w:t>
      </w:r>
    </w:p>
    <w:p w14:paraId="4042C6DF" w14:textId="77777777" w:rsidR="004F1438" w:rsidRPr="004F1438" w:rsidRDefault="004F1438" w:rsidP="004F1438"/>
    <w:p w14:paraId="75363642" w14:textId="3BCC7897" w:rsidR="00B909DC" w:rsidRDefault="00B909DC" w:rsidP="00B909DC"/>
    <w:p w14:paraId="2E3B0103" w14:textId="5B24F452" w:rsidR="00B909DC" w:rsidRDefault="00F60544" w:rsidP="00B909DC">
      <w:pPr>
        <w:pStyle w:val="Heading2"/>
      </w:pPr>
      <w:r>
        <w:t>3</w:t>
      </w:r>
      <w:r w:rsidR="00B909DC">
        <w:t xml:space="preserve"> Archived cryoconite analysis</w:t>
      </w:r>
    </w:p>
    <w:p w14:paraId="2E66C87D" w14:textId="38262114" w:rsidR="0098799B" w:rsidRDefault="0098799B" w:rsidP="0098799B"/>
    <w:p w14:paraId="22675D3D" w14:textId="132FF6B2" w:rsidR="0098799B" w:rsidRDefault="00F60544" w:rsidP="0098799B">
      <w:pPr>
        <w:pStyle w:val="Heading3"/>
      </w:pPr>
      <w:r>
        <w:t>3</w:t>
      </w:r>
      <w:r w:rsidR="00E521DC">
        <w:t>.1</w:t>
      </w:r>
      <w:r w:rsidR="0098799B">
        <w:t xml:space="preserve"> DNA and RNA extraction</w:t>
      </w:r>
    </w:p>
    <w:p w14:paraId="4ECA2AFF" w14:textId="77777777" w:rsidR="0098799B" w:rsidRDefault="0098799B" w:rsidP="0098799B"/>
    <w:p w14:paraId="3CE069DB" w14:textId="0486AF1D" w:rsidR="0098799B" w:rsidRDefault="0098799B" w:rsidP="0098799B">
      <w:r>
        <w:lastRenderedPageBreak/>
        <w:t xml:space="preserve">DNA/RNA extraction protocol taken from </w:t>
      </w:r>
      <w:r>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973D01">
        <w:rPr>
          <w:noProof/>
        </w:rPr>
        <w:t>Li et al., 2021</w:t>
      </w:r>
      <w:r>
        <w:fldChar w:fldCharType="end"/>
      </w:r>
      <w:r>
        <w:t xml:space="preserve">. A DNA extraction kit will be used to extract total DNA from 0.25g (wet weight) sediment per sample. </w:t>
      </w:r>
      <w:r w:rsidR="004F1438">
        <w:t>An</w:t>
      </w:r>
      <w:r>
        <w:t xml:space="preserve"> RNA extraction kit will be used to extract RNA from 4g (wet weight) sediment per sample. RNA will be purified using DNase Max Kit or similar to remove coextracted DNA. Purified RNA will be used to synthesize complementary DNA (cDNA) using a </w:t>
      </w:r>
      <w:proofErr w:type="spellStart"/>
      <w:r>
        <w:t>Transcriptor</w:t>
      </w:r>
      <w:proofErr w:type="spellEnd"/>
      <w:r>
        <w:t xml:space="preserve"> First Strand cDNA Synthesis Kit or similar. DNA and cDNA will then be stored at -80</w:t>
      </w:r>
      <w:r>
        <w:rPr>
          <w:rFonts w:ascii="Calibri" w:hAnsi="Calibri"/>
        </w:rPr>
        <w:t>°</w:t>
      </w:r>
      <w:r>
        <w:t>C until further analysis. DNA will be used for quantitative p</w:t>
      </w:r>
      <w:r w:rsidRPr="00973D01">
        <w:t>olymerase chain reaction</w:t>
      </w:r>
      <w:r>
        <w:t xml:space="preserve"> (qPCR). cDNA will be used for qPCR and pyrosequencing. </w:t>
      </w:r>
    </w:p>
    <w:p w14:paraId="0849BBA5" w14:textId="77777777" w:rsidR="0098799B" w:rsidRDefault="0098799B" w:rsidP="0098799B"/>
    <w:p w14:paraId="0FB06E8E" w14:textId="577293E2" w:rsidR="0098799B" w:rsidRDefault="00F60544" w:rsidP="0098799B">
      <w:pPr>
        <w:pStyle w:val="Heading3"/>
      </w:pPr>
      <w:r>
        <w:t>3</w:t>
      </w:r>
      <w:r w:rsidR="00E521DC">
        <w:t xml:space="preserve">.2 </w:t>
      </w:r>
      <w:r w:rsidR="0098799B">
        <w:t>BONCAT</w:t>
      </w:r>
    </w:p>
    <w:p w14:paraId="7E8DE73E" w14:textId="77777777" w:rsidR="0098799B" w:rsidRDefault="0098799B" w:rsidP="0098799B"/>
    <w:p w14:paraId="24ED356E" w14:textId="570F1260" w:rsidR="0098799B" w:rsidRDefault="00F60544" w:rsidP="003F2AD4">
      <w:pPr>
        <w:pStyle w:val="Heading4"/>
      </w:pPr>
      <w:r>
        <w:t>3</w:t>
      </w:r>
      <w:r w:rsidR="00E521DC">
        <w:t>.2.1</w:t>
      </w:r>
      <w:r w:rsidR="0098799B">
        <w:t xml:space="preserve"> BONCAT (visualizing single-cell microbial activity)</w:t>
      </w:r>
    </w:p>
    <w:p w14:paraId="3B2772D6" w14:textId="77777777" w:rsidR="0098799B" w:rsidRDefault="0098799B" w:rsidP="0098799B">
      <w:proofErr w:type="spellStart"/>
      <w:r>
        <w:t>Bioorthogonal</w:t>
      </w:r>
      <w:proofErr w:type="spellEnd"/>
      <w:r>
        <w:t xml:space="preserve"> noncanonical amino acid tagging (BONCAT) is a method for identifying metabolically active cells by tracking the incorporation of </w:t>
      </w:r>
      <w:r w:rsidRPr="006524CC">
        <w:t>﻿</w:t>
      </w:r>
      <w:proofErr w:type="spellStart"/>
      <w:r w:rsidRPr="006524CC">
        <w:t>azide</w:t>
      </w:r>
      <w:proofErr w:type="spellEnd"/>
      <w:r w:rsidRPr="006524CC">
        <w:t xml:space="preserve">‐ or alkyne-bearing methionine </w:t>
      </w:r>
      <w:r>
        <w:t xml:space="preserve">(amino acid) </w:t>
      </w:r>
      <w:r w:rsidRPr="006524CC">
        <w:t>analogues</w:t>
      </w:r>
      <w:r>
        <w:t xml:space="preserve"> into newly synthesized proteins </w:t>
      </w:r>
      <w:r>
        <w:fldChar w:fldCharType="begin" w:fldLock="1"/>
      </w:r>
      <w: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fldChar w:fldCharType="separate"/>
      </w:r>
      <w:r w:rsidRPr="00352379">
        <w:rPr>
          <w:noProof/>
        </w:rPr>
        <w:t>(Hatzenpichler et al., 2016)</w:t>
      </w:r>
      <w:r>
        <w:fldChar w:fldCharType="end"/>
      </w:r>
      <w:r>
        <w:t>. Translational activity refers to the translation of a messenger RNA (mRNA) molecule sequence to an amino acid sequence during protein synthesis. mRNA is a type of RNA made in the nucleolus before being transported into the cytoplasm to the translational machinery. The translational machinery binds to mRNA molecule and reads the genetic code to build new proteins. So, DNA is transcribed into an mRNA molecule that binds with translational machinery in the cytoplasm to synthesize a new protein. Translationally active cells can be identified by combining BONCAT with rRNA-targeted fluorescence in situ hybridization (BONCAT-FISH). Genetic analysis of BONCAT-labelled cells could be carried out by isolating those cells via fluorescence-activated cell sorting (BONCAT-FACS).</w:t>
      </w:r>
    </w:p>
    <w:p w14:paraId="736D4638" w14:textId="77777777" w:rsidR="0098799B" w:rsidRDefault="0098799B" w:rsidP="0098799B">
      <w:r>
        <w:t xml:space="preserve">  I will incubate cryoconite samples with a biorthogonal synthetic amino acid such as </w:t>
      </w:r>
      <w:r w:rsidRPr="00352379">
        <w:t xml:space="preserve">﻿L-methionine (Met) surrogates L-azidohomoalanine (AHA) </w:t>
      </w:r>
      <w:r>
        <w:t>or</w:t>
      </w:r>
      <w:r w:rsidRPr="00352379">
        <w:t xml:space="preserve"> L-homopropargylglycine (HPG)</w:t>
      </w:r>
      <w:r>
        <w:t>. During incubation the synthetic amino acid will enter the cell. Translationally active cells will incorporate the synthetic amino acid into newly synthesized proteins, in place of Met. Proteins containing the synthetic amino acid are fluorescently labelled via a Cu(I)-</w:t>
      </w:r>
      <w:proofErr w:type="spellStart"/>
      <w:r>
        <w:t>catalyzed</w:t>
      </w:r>
      <w:proofErr w:type="spellEnd"/>
      <w:r>
        <w:t xml:space="preserve"> </w:t>
      </w:r>
      <w:proofErr w:type="spellStart"/>
      <w:r>
        <w:t>azide</w:t>
      </w:r>
      <w:proofErr w:type="spellEnd"/>
      <w:r>
        <w:t xml:space="preserve">−alkyne click reaction. </w:t>
      </w:r>
    </w:p>
    <w:p w14:paraId="63AFB70A" w14:textId="77777777" w:rsidR="0098799B" w:rsidRDefault="0098799B" w:rsidP="0098799B"/>
    <w:p w14:paraId="670DDEA9" w14:textId="45EB75F8" w:rsidR="0098799B" w:rsidRDefault="0098799B" w:rsidP="0098799B">
      <w:r>
        <w:t xml:space="preserve">BONCAT is the labelling of cells actively synthesising proteins while qPCR of 16S rRNA gene transcripts works on the assumption that rRNA is a structural component of ribosomes and ribosomes will increase with metabolic activity. BONCAT is then a more accurate method for labelling translationally active cells, as opposed to quantifying gene transcript numbers which may not necessarily be indicative of true cellular activity. Dormant cells may harbour ribosomes for use when activity recommences in favourable environmental conditions. </w:t>
      </w:r>
    </w:p>
    <w:p w14:paraId="1A23E60B" w14:textId="77777777" w:rsidR="0098799B" w:rsidRDefault="0098799B" w:rsidP="0098799B"/>
    <w:p w14:paraId="6E3CF601" w14:textId="3F56FCC8" w:rsidR="0098799B" w:rsidRDefault="00F60544" w:rsidP="003F2AD4">
      <w:pPr>
        <w:pStyle w:val="Heading3"/>
      </w:pPr>
      <w:r>
        <w:t>3</w:t>
      </w:r>
      <w:r w:rsidR="00E521DC">
        <w:t>.3</w:t>
      </w:r>
      <w:r w:rsidR="0098799B">
        <w:t xml:space="preserve"> qPCR</w:t>
      </w:r>
    </w:p>
    <w:p w14:paraId="33B6858A" w14:textId="77777777" w:rsidR="0098799B" w:rsidRDefault="0098799B" w:rsidP="0098799B"/>
    <w:p w14:paraId="7C2DDEAA" w14:textId="0D1E0357" w:rsidR="0098799B" w:rsidRDefault="003F2AD4" w:rsidP="0098799B">
      <w:r>
        <w:t xml:space="preserve">qPCR of DNA and RNA will be used to verify </w:t>
      </w:r>
      <w:r w:rsidR="00D16011">
        <w:t xml:space="preserve">results of </w:t>
      </w:r>
      <w:r>
        <w:t xml:space="preserve">the active and in-active cell BONCAT quantification. </w:t>
      </w:r>
      <w:r w:rsidR="0098799B">
        <w:t xml:space="preserve">qPCR protocol taken from </w:t>
      </w:r>
      <w:r w:rsidR="0098799B">
        <w:fldChar w:fldCharType="begin" w:fldLock="1"/>
      </w:r>
      <w:r w:rsidR="0098799B">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rsidR="0098799B">
        <w:fldChar w:fldCharType="separate"/>
      </w:r>
      <w:r w:rsidR="0098799B" w:rsidRPr="00973D01">
        <w:rPr>
          <w:noProof/>
        </w:rPr>
        <w:t>Li et al., 2021</w:t>
      </w:r>
      <w:r w:rsidR="0098799B">
        <w:fldChar w:fldCharType="end"/>
      </w:r>
      <w:r w:rsidR="0098799B">
        <w:t xml:space="preserve">. qPCR will be used to calculate bacterial and archaeal abundance of total (DNA) and active (cDNA) communities for each sample, allowing me to compare the ratio of 16S rRNA gene transcript abundance to 16S rRNA gene abundance for bacterial and archaeal communities and which of 16S rRNA gene transcript abundance and 16S rRNA gene abundance is more heterogenous across samples. DNA and cDNA will be used a template for qPCR with appropriate primers for bacterial and </w:t>
      </w:r>
      <w:r w:rsidR="0098799B">
        <w:lastRenderedPageBreak/>
        <w:t xml:space="preserve">archaeal 16S rRNA genes. qPCR assays will be performed in triplicate, along with positive and negative controls will be used to ensure assays are stable and uncontaminated. Total and active abundances will then be calculated using standard curves.  </w:t>
      </w:r>
    </w:p>
    <w:p w14:paraId="06C4104E" w14:textId="77777777" w:rsidR="0098799B" w:rsidRDefault="0098799B" w:rsidP="0098799B"/>
    <w:p w14:paraId="2AB22D38" w14:textId="4A1877FE" w:rsidR="0098799B" w:rsidRDefault="00F60544" w:rsidP="003F2AD4">
      <w:pPr>
        <w:pStyle w:val="Heading3"/>
      </w:pPr>
      <w:r>
        <w:t>3</w:t>
      </w:r>
      <w:r w:rsidR="00E521DC">
        <w:t>.4</w:t>
      </w:r>
      <w:r w:rsidR="0098799B">
        <w:t xml:space="preserve"> Amplification and sequencing </w:t>
      </w:r>
    </w:p>
    <w:p w14:paraId="107D8F9E" w14:textId="77777777" w:rsidR="0098799B" w:rsidRPr="003D6CD2" w:rsidRDefault="0098799B" w:rsidP="0098799B"/>
    <w:p w14:paraId="3BFB64CF" w14:textId="77777777" w:rsidR="0098799B" w:rsidRDefault="0098799B" w:rsidP="0098799B">
      <w:r>
        <w:t>DNA extraction and metagenome sequencing to assess community-wide gene functions (who’s there, what is their genomic potential)</w:t>
      </w:r>
    </w:p>
    <w:p w14:paraId="36572CD2" w14:textId="77777777" w:rsidR="0098799B" w:rsidRDefault="0098799B" w:rsidP="0098799B"/>
    <w:p w14:paraId="495F430A" w14:textId="21ED0449" w:rsidR="0098799B" w:rsidRDefault="00A97CFF" w:rsidP="0098799B">
      <w:r>
        <w:t xml:space="preserve">A </w:t>
      </w:r>
      <w:proofErr w:type="spellStart"/>
      <w:r>
        <w:t>metatranscriptomics</w:t>
      </w:r>
      <w:proofErr w:type="spellEnd"/>
      <w:r>
        <w:t xml:space="preserve"> approach will be used, as RNA is extracted from the environmental samples (snow/ice/cryoconite). </w:t>
      </w:r>
      <w:bookmarkStart w:id="0" w:name="_GoBack"/>
      <w:bookmarkEnd w:id="0"/>
    </w:p>
    <w:p w14:paraId="669BACCC" w14:textId="77777777" w:rsidR="0098799B" w:rsidRDefault="0098799B" w:rsidP="0098799B"/>
    <w:p w14:paraId="7D4109F6" w14:textId="77777777" w:rsidR="0098799B" w:rsidRDefault="0098799B" w:rsidP="0098799B">
      <w:r>
        <w:t xml:space="preserve">Pyrosequencing protocol taken from </w:t>
      </w:r>
      <w:r>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973D01">
        <w:rPr>
          <w:noProof/>
        </w:rPr>
        <w:t>Li et al., 2021</w:t>
      </w:r>
      <w:r>
        <w:fldChar w:fldCharType="end"/>
      </w:r>
      <w:r>
        <w:t>. DNA and cDNA extracted from samples will be used as a template at the RNA level. Primers suitable for bacteria and archaea will be used to amplify the hypervariable V3-V4 (</w:t>
      </w:r>
      <m:oMath>
        <m:r>
          <w:rPr>
            <w:rFonts w:ascii="Cambria Math" w:hAnsi="Cambria Math"/>
          </w:rPr>
          <m:t>~</m:t>
        </m:r>
      </m:oMath>
      <w:r>
        <w:t>480 bp) and V4-V5 (</w:t>
      </w:r>
      <m:oMath>
        <m:r>
          <w:rPr>
            <w:rFonts w:ascii="Cambria Math" w:hAnsi="Cambria Math"/>
          </w:rPr>
          <m:t>~</m:t>
        </m:r>
      </m:oMath>
      <w:r>
        <w:t>420 bp) regions of the 16S rRNA gene. Multiplex sequencing will be used to generate sequence libraries.</w:t>
      </w:r>
    </w:p>
    <w:p w14:paraId="43282C3C" w14:textId="77777777" w:rsidR="0098799B" w:rsidRDefault="0098799B" w:rsidP="0098799B"/>
    <w:p w14:paraId="7735DC06" w14:textId="77777777" w:rsidR="0098799B" w:rsidRDefault="0098799B" w:rsidP="0098799B">
      <w:r>
        <w:t xml:space="preserve">I will carry out molecular characterisation of dissolved and particulate organic matter via </w:t>
      </w:r>
      <w:r w:rsidRPr="00326A27">
        <w:t xml:space="preserve">Fourier transform ion cyclotron resonance </w:t>
      </w:r>
      <w:r>
        <w:t xml:space="preserve">mass spectroscopy </w:t>
      </w:r>
      <w:r w:rsidRPr="00326A27">
        <w:t>FT-ICR-MS</w:t>
      </w:r>
      <w:r>
        <w:t xml:space="preserve">. I will also </w:t>
      </w:r>
      <w:proofErr w:type="gramStart"/>
      <w:r>
        <w:t>using</w:t>
      </w:r>
      <w:proofErr w:type="gramEnd"/>
      <w:r>
        <w:t xml:space="preserve"> g</w:t>
      </w:r>
      <w:r w:rsidRPr="00326A27">
        <w:t>as chromatography–mass spectrometry</w:t>
      </w:r>
      <w:r>
        <w:t xml:space="preserve"> (GC-MS-MS) to characterize metabolites.</w:t>
      </w:r>
    </w:p>
    <w:p w14:paraId="6846D766" w14:textId="77777777" w:rsidR="0098799B" w:rsidRDefault="0098799B" w:rsidP="0098799B"/>
    <w:p w14:paraId="00C262C3" w14:textId="11CCB62B" w:rsidR="0098799B" w:rsidRDefault="00F60544" w:rsidP="003F2AD4">
      <w:pPr>
        <w:pStyle w:val="Heading3"/>
      </w:pPr>
      <w:r>
        <w:t>3</w:t>
      </w:r>
      <w:r w:rsidR="00E521DC">
        <w:t>.5</w:t>
      </w:r>
      <w:r w:rsidR="0098799B">
        <w:t xml:space="preserve"> Bioinformatic analysis</w:t>
      </w:r>
    </w:p>
    <w:p w14:paraId="3B076627" w14:textId="25E6CB06" w:rsidR="003F2AD4" w:rsidRDefault="003F2AD4" w:rsidP="003F2AD4"/>
    <w:p w14:paraId="22076B64" w14:textId="5BEC0406" w:rsidR="003F2AD4" w:rsidRPr="003F2AD4" w:rsidRDefault="003F2AD4" w:rsidP="003F2AD4">
      <w:r>
        <w:t xml:space="preserve">Will repeat method as outlined for metadata </w:t>
      </w:r>
      <w:proofErr w:type="spellStart"/>
      <w:r>
        <w:t>anlysis</w:t>
      </w:r>
      <w:proofErr w:type="spellEnd"/>
      <w:r>
        <w:t>: classification of ASVs and ecological function, quantification of abundant and rare taxa, differences between communities and environmental factors, geographic analysis, community assembly analysis, co-occurrence network analysis.</w:t>
      </w:r>
    </w:p>
    <w:p w14:paraId="237786A6" w14:textId="3B7554F6" w:rsidR="00973D01" w:rsidRDefault="00973D01"/>
    <w:p w14:paraId="1F494639" w14:textId="2D73D513" w:rsidR="00973D01" w:rsidRDefault="00F60544" w:rsidP="00776274">
      <w:pPr>
        <w:pStyle w:val="Heading2"/>
      </w:pPr>
      <w:r>
        <w:t>4</w:t>
      </w:r>
      <w:r w:rsidR="00973D01">
        <w:t xml:space="preserve"> </w:t>
      </w:r>
      <w:proofErr w:type="spellStart"/>
      <w:r w:rsidR="00B909DC">
        <w:t>Foxfonna</w:t>
      </w:r>
      <w:proofErr w:type="spellEnd"/>
      <w:r w:rsidR="00B909DC">
        <w:t xml:space="preserve"> </w:t>
      </w:r>
      <w:r w:rsidR="0098799B">
        <w:t xml:space="preserve">spring </w:t>
      </w:r>
      <w:r w:rsidR="00B909DC">
        <w:t>snow, snow/ice interface and ice analysis</w:t>
      </w:r>
    </w:p>
    <w:p w14:paraId="7F6BC7D0" w14:textId="64DD7557" w:rsidR="00247449" w:rsidRDefault="00247449" w:rsidP="00B909DC"/>
    <w:p w14:paraId="0668117E" w14:textId="0434A538" w:rsidR="00B92424" w:rsidRDefault="00247449" w:rsidP="00B909DC">
      <w:r>
        <w:t xml:space="preserve">Samples will be collected from </w:t>
      </w:r>
      <w:proofErr w:type="spellStart"/>
      <w:r>
        <w:t>Foxfonna</w:t>
      </w:r>
      <w:proofErr w:type="spellEnd"/>
      <w:r>
        <w:t xml:space="preserve"> Glacier along a transect from snow, to snow/ice interface and onto bare ice. Samples will be collected in triplicate to ensure enough biomass for DNA/RNA extraction. Triplicate samples will be thawed and mixed to obtain a </w:t>
      </w:r>
      <w:proofErr w:type="spellStart"/>
      <w:r>
        <w:t>sinlge</w:t>
      </w:r>
      <w:proofErr w:type="spellEnd"/>
      <w:r>
        <w:t xml:space="preserve"> representative sample </w:t>
      </w:r>
      <w:r>
        <w:fldChar w:fldCharType="begin" w:fldLock="1"/>
      </w:r>
      <w:r w:rsidR="00CC2A97">
        <w:instrText>ADDIN CSL_CITATION {"citationItems":[{"id":"ITEM-1","itemData":{"DOI":"10.1016/j.scitotenv.2019.135264","ISSN":"18791026","PMID":"31848061","abstract":"The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Environment","id":"ITEM-1","issued":{"date-parts":[["2020"]]},"page":"135264","publisher":"Elsevier B.V.","title":"Bacterial community structure of a glacio-marine system in the Arctic (Ny-Ålesund, Svalbard)","type":"article-journal","volume":"718"},"uris":["http://www.mendeley.com/documents/?uuid=90d56f65-1435-4dd2-98f2-fae8ef9cb980"]}],"mendeley":{"formattedCitation":"(Thomas, Sinha, &amp; Krishnan, 2020)","plainTextFormattedCitation":"(Thomas, Sinha, &amp; Krishnan, 2020)","previouslyFormattedCitation":"(Thomas, Sinha, &amp; Krishnan, 2020)"},"properties":{"noteIndex":0},"schema":"https://github.com/citation-style-language/schema/raw/master/csl-citation.json"}</w:instrText>
      </w:r>
      <w:r>
        <w:fldChar w:fldCharType="separate"/>
      </w:r>
      <w:r w:rsidRPr="00247449">
        <w:rPr>
          <w:noProof/>
        </w:rPr>
        <w:t>(Thomas, Sinha, &amp; Krishnan, 2020)</w:t>
      </w:r>
      <w:r>
        <w:fldChar w:fldCharType="end"/>
      </w:r>
      <w:r>
        <w:t xml:space="preserve">. </w:t>
      </w:r>
    </w:p>
    <w:p w14:paraId="32CFED53" w14:textId="77777777" w:rsidR="00B92424" w:rsidRDefault="00B92424" w:rsidP="00B909DC"/>
    <w:p w14:paraId="1EEB7156" w14:textId="52C5A4E7" w:rsidR="00247449" w:rsidRDefault="00B92424" w:rsidP="00B92424">
      <w:pPr>
        <w:pStyle w:val="Heading3"/>
      </w:pPr>
      <w:r>
        <w:t>4.1 Spatial and environmental characteristics</w:t>
      </w:r>
    </w:p>
    <w:p w14:paraId="20E76933" w14:textId="2FE6DD66" w:rsidR="00F75421" w:rsidRDefault="00F75421" w:rsidP="00B909DC">
      <w:r>
        <w:t xml:space="preserve">  In-situ measurements will include: GPS coordinates, temperature, dissolved oxygen and </w:t>
      </w:r>
      <w:r w:rsidR="00BF6FDB">
        <w:t>conductivity</w:t>
      </w:r>
      <w:r>
        <w:t xml:space="preserve">. </w:t>
      </w:r>
    </w:p>
    <w:p w14:paraId="24CC5A61" w14:textId="28729437" w:rsidR="00F75421" w:rsidRDefault="00F75421" w:rsidP="00B909DC">
      <w:r>
        <w:t xml:space="preserve">  Snow/ice samples will also be taken from each sample site for chemical analysis. Analysis will include dissolved nutrients and major ions (Table 1)</w:t>
      </w:r>
      <w:r w:rsidR="00BF6FDB">
        <w:t>.</w:t>
      </w:r>
    </w:p>
    <w:p w14:paraId="4318F41A" w14:textId="2F5959EB" w:rsidR="00F75421" w:rsidRDefault="00F75421" w:rsidP="00B909DC"/>
    <w:tbl>
      <w:tblPr>
        <w:tblStyle w:val="GridTable4-Accent1"/>
        <w:tblW w:w="0" w:type="auto"/>
        <w:tblLook w:val="0420" w:firstRow="1" w:lastRow="0" w:firstColumn="0" w:lastColumn="0" w:noHBand="0" w:noVBand="1"/>
      </w:tblPr>
      <w:tblGrid>
        <w:gridCol w:w="4505"/>
        <w:gridCol w:w="4505"/>
      </w:tblGrid>
      <w:tr w:rsidR="00F75421" w14:paraId="14043712" w14:textId="77777777" w:rsidTr="00392A59">
        <w:trPr>
          <w:cnfStyle w:val="100000000000" w:firstRow="1" w:lastRow="0" w:firstColumn="0" w:lastColumn="0" w:oddVBand="0" w:evenVBand="0" w:oddHBand="0" w:evenHBand="0" w:firstRowFirstColumn="0" w:firstRowLastColumn="0" w:lastRowFirstColumn="0" w:lastRowLastColumn="0"/>
        </w:trPr>
        <w:tc>
          <w:tcPr>
            <w:tcW w:w="4505" w:type="dxa"/>
          </w:tcPr>
          <w:p w14:paraId="6857932B" w14:textId="36E6692A" w:rsidR="00F75421" w:rsidRPr="00F75421" w:rsidRDefault="00F75421" w:rsidP="00B909DC">
            <w:pPr>
              <w:rPr>
                <w:b w:val="0"/>
              </w:rPr>
            </w:pPr>
            <w:r w:rsidRPr="00F75421">
              <w:rPr>
                <w:b w:val="0"/>
              </w:rPr>
              <w:t>Dissolved Nutrients</w:t>
            </w:r>
          </w:p>
        </w:tc>
        <w:tc>
          <w:tcPr>
            <w:tcW w:w="4505" w:type="dxa"/>
          </w:tcPr>
          <w:p w14:paraId="02B5D049" w14:textId="3A0339F0" w:rsidR="00F75421" w:rsidRPr="00F75421" w:rsidRDefault="00F75421" w:rsidP="00B909DC">
            <w:pPr>
              <w:rPr>
                <w:b w:val="0"/>
              </w:rPr>
            </w:pPr>
            <w:r w:rsidRPr="00F75421">
              <w:rPr>
                <w:b w:val="0"/>
              </w:rPr>
              <w:t>Major Ions</w:t>
            </w:r>
          </w:p>
        </w:tc>
      </w:tr>
      <w:tr w:rsidR="00F75421" w14:paraId="5CB9C831"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00C16A03" w14:textId="104EFD94" w:rsidR="00F75421" w:rsidRDefault="00F75421" w:rsidP="00B909DC">
            <w:r>
              <w:t>Dissolved Organic Carbon</w:t>
            </w:r>
          </w:p>
        </w:tc>
        <w:tc>
          <w:tcPr>
            <w:tcW w:w="4505" w:type="dxa"/>
          </w:tcPr>
          <w:p w14:paraId="170CAF9D" w14:textId="1A741DD5" w:rsidR="00F75421" w:rsidRDefault="00F75421" w:rsidP="00B909DC">
            <w:r>
              <w:t>Chloride (Cl</w:t>
            </w:r>
            <w:r w:rsidRPr="00E93FA8">
              <w:rPr>
                <w:vertAlign w:val="superscript"/>
              </w:rPr>
              <w:t>-</w:t>
            </w:r>
            <w:r>
              <w:t>)</w:t>
            </w:r>
          </w:p>
        </w:tc>
      </w:tr>
      <w:tr w:rsidR="00F75421" w14:paraId="0A6546EB" w14:textId="77777777" w:rsidTr="00392A59">
        <w:tc>
          <w:tcPr>
            <w:tcW w:w="4505" w:type="dxa"/>
          </w:tcPr>
          <w:p w14:paraId="5E41E0F2" w14:textId="330158FC" w:rsidR="00F75421" w:rsidRDefault="00F75421" w:rsidP="00B909DC">
            <w:r>
              <w:t>Dissolved Inorganic Carbon</w:t>
            </w:r>
          </w:p>
        </w:tc>
        <w:tc>
          <w:tcPr>
            <w:tcW w:w="4505" w:type="dxa"/>
          </w:tcPr>
          <w:p w14:paraId="205F7DAE" w14:textId="562AA789" w:rsidR="00F75421" w:rsidRDefault="00F75421" w:rsidP="00B909DC">
            <w:r>
              <w:t>Sulphate (SO</w:t>
            </w:r>
            <w:r w:rsidRPr="00E93FA8">
              <w:rPr>
                <w:vertAlign w:val="subscript"/>
              </w:rPr>
              <w:t>4</w:t>
            </w:r>
            <w:r w:rsidRPr="00E93FA8">
              <w:rPr>
                <w:vertAlign w:val="superscript"/>
              </w:rPr>
              <w:t>2-</w:t>
            </w:r>
            <w:r>
              <w:t>)</w:t>
            </w:r>
          </w:p>
        </w:tc>
      </w:tr>
      <w:tr w:rsidR="00F75421" w14:paraId="23E1C8E6"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6A5E5C84" w14:textId="0DF6AA4C" w:rsidR="00F75421" w:rsidRDefault="00BF6FDB" w:rsidP="00B909DC">
            <w:r>
              <w:t>Total Dissolved Nitrogen</w:t>
            </w:r>
          </w:p>
        </w:tc>
        <w:tc>
          <w:tcPr>
            <w:tcW w:w="4505" w:type="dxa"/>
          </w:tcPr>
          <w:p w14:paraId="4110282B" w14:textId="5F4595DF" w:rsidR="00F75421" w:rsidRDefault="00F75421" w:rsidP="00B909DC">
            <w:r>
              <w:t>Calcium (</w:t>
            </w:r>
            <w:r w:rsidRPr="00E93FA8">
              <w:t>﻿Ca</w:t>
            </w:r>
            <w:r w:rsidRPr="00E93FA8">
              <w:rPr>
                <w:vertAlign w:val="superscript"/>
              </w:rPr>
              <w:t>2+</w:t>
            </w:r>
            <w:r>
              <w:t>)</w:t>
            </w:r>
          </w:p>
        </w:tc>
      </w:tr>
      <w:tr w:rsidR="00F75421" w14:paraId="78046050" w14:textId="77777777" w:rsidTr="00392A59">
        <w:tc>
          <w:tcPr>
            <w:tcW w:w="4505" w:type="dxa"/>
          </w:tcPr>
          <w:p w14:paraId="27E4D9C7" w14:textId="4CA9C836" w:rsidR="00F75421" w:rsidRDefault="00BF6FDB" w:rsidP="00B909DC">
            <w:r>
              <w:t>Nitrite (NO</w:t>
            </w:r>
            <w:r>
              <w:rPr>
                <w:vertAlign w:val="subscript"/>
              </w:rPr>
              <w:t>2</w:t>
            </w:r>
            <w:r w:rsidRPr="00222505">
              <w:rPr>
                <w:vertAlign w:val="superscript"/>
              </w:rPr>
              <w:t>-</w:t>
            </w:r>
            <w:r>
              <w:t>)</w:t>
            </w:r>
          </w:p>
        </w:tc>
        <w:tc>
          <w:tcPr>
            <w:tcW w:w="4505" w:type="dxa"/>
          </w:tcPr>
          <w:p w14:paraId="11835FF1" w14:textId="2F3EF4AD" w:rsidR="00F75421" w:rsidRDefault="00F75421" w:rsidP="00B909DC">
            <w:r>
              <w:t>Sodium (Na</w:t>
            </w:r>
            <w:r w:rsidRPr="0032567D">
              <w:rPr>
                <w:vertAlign w:val="superscript"/>
              </w:rPr>
              <w:t>+</w:t>
            </w:r>
            <w:r>
              <w:t>)</w:t>
            </w:r>
          </w:p>
        </w:tc>
      </w:tr>
      <w:tr w:rsidR="00F75421" w14:paraId="429678BB"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AEFCD01" w14:textId="557E8268" w:rsidR="00F75421" w:rsidRDefault="00BF6FDB" w:rsidP="00B909DC">
            <w:r>
              <w:lastRenderedPageBreak/>
              <w:t>Nitrate (NO</w:t>
            </w:r>
            <w:r w:rsidRPr="00222505">
              <w:rPr>
                <w:vertAlign w:val="subscript"/>
              </w:rPr>
              <w:t>3</w:t>
            </w:r>
            <w:r w:rsidRPr="00222505">
              <w:rPr>
                <w:vertAlign w:val="superscript"/>
              </w:rPr>
              <w:t>-</w:t>
            </w:r>
            <w:r>
              <w:t>)</w:t>
            </w:r>
          </w:p>
        </w:tc>
        <w:tc>
          <w:tcPr>
            <w:tcW w:w="4505" w:type="dxa"/>
          </w:tcPr>
          <w:p w14:paraId="3C988797" w14:textId="1F86129B" w:rsidR="00F75421" w:rsidRDefault="00F75421" w:rsidP="00B909DC">
            <w:r>
              <w:t>Potassium (K</w:t>
            </w:r>
            <w:r w:rsidRPr="0032567D">
              <w:rPr>
                <w:vertAlign w:val="superscript"/>
              </w:rPr>
              <w:t>+</w:t>
            </w:r>
            <w:r>
              <w:t>)</w:t>
            </w:r>
          </w:p>
        </w:tc>
      </w:tr>
      <w:tr w:rsidR="00F75421" w14:paraId="0AB4B500" w14:textId="77777777" w:rsidTr="00392A59">
        <w:tc>
          <w:tcPr>
            <w:tcW w:w="4505" w:type="dxa"/>
          </w:tcPr>
          <w:p w14:paraId="21A285B6" w14:textId="54EEAA9B" w:rsidR="00F75421" w:rsidRDefault="00BF6FDB" w:rsidP="00B909DC">
            <w:r>
              <w:t>Ammonium (NH</w:t>
            </w:r>
            <w:r w:rsidRPr="00222505">
              <w:rPr>
                <w:vertAlign w:val="subscript"/>
              </w:rPr>
              <w:t>4</w:t>
            </w:r>
            <w:r w:rsidRPr="00222505">
              <w:rPr>
                <w:vertAlign w:val="superscript"/>
              </w:rPr>
              <w:t>+</w:t>
            </w:r>
            <w:r>
              <w:t>)</w:t>
            </w:r>
          </w:p>
        </w:tc>
        <w:tc>
          <w:tcPr>
            <w:tcW w:w="4505" w:type="dxa"/>
          </w:tcPr>
          <w:p w14:paraId="72F0608B" w14:textId="01619024" w:rsidR="00F75421" w:rsidRDefault="00F75421" w:rsidP="00B909DC">
            <w:r>
              <w:t>Magnesium (Mg</w:t>
            </w:r>
            <w:r w:rsidRPr="0032567D">
              <w:rPr>
                <w:vertAlign w:val="superscript"/>
              </w:rPr>
              <w:t>2+</w:t>
            </w:r>
            <w:r>
              <w:t>)</w:t>
            </w:r>
            <w:r>
              <w:rPr>
                <w:vertAlign w:val="superscript"/>
              </w:rPr>
              <w:t xml:space="preserve">  </w:t>
            </w:r>
          </w:p>
        </w:tc>
      </w:tr>
      <w:tr w:rsidR="00F75421" w14:paraId="07E145CD"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1908842" w14:textId="7989C330" w:rsidR="00F75421" w:rsidRDefault="00BF6FDB" w:rsidP="00B909DC">
            <w:r>
              <w:t>Phosphate (PO</w:t>
            </w:r>
            <w:r w:rsidRPr="00222505">
              <w:rPr>
                <w:vertAlign w:val="subscript"/>
              </w:rPr>
              <w:t>4</w:t>
            </w:r>
            <w:r w:rsidRPr="00222505">
              <w:rPr>
                <w:vertAlign w:val="superscript"/>
              </w:rPr>
              <w:t>3-</w:t>
            </w:r>
            <w:r>
              <w:t>)</w:t>
            </w:r>
          </w:p>
        </w:tc>
        <w:tc>
          <w:tcPr>
            <w:tcW w:w="4505" w:type="dxa"/>
          </w:tcPr>
          <w:p w14:paraId="30C81BDA" w14:textId="617F35DA" w:rsidR="00F75421" w:rsidRDefault="00BF6FDB" w:rsidP="00B909DC">
            <w:r>
              <w:t>Nitrate (NO</w:t>
            </w:r>
            <w:r w:rsidRPr="00222505">
              <w:rPr>
                <w:vertAlign w:val="subscript"/>
              </w:rPr>
              <w:t>3</w:t>
            </w:r>
            <w:r w:rsidRPr="00222505">
              <w:rPr>
                <w:vertAlign w:val="superscript"/>
              </w:rPr>
              <w:t>-</w:t>
            </w:r>
            <w:r>
              <w:t>),</w:t>
            </w:r>
          </w:p>
        </w:tc>
      </w:tr>
      <w:tr w:rsidR="00BF6FDB" w14:paraId="29DD6398" w14:textId="77777777" w:rsidTr="00392A59">
        <w:tc>
          <w:tcPr>
            <w:tcW w:w="4505" w:type="dxa"/>
          </w:tcPr>
          <w:p w14:paraId="51C176D4" w14:textId="1EDAD854" w:rsidR="00BF6FDB" w:rsidRDefault="00BF6FDB" w:rsidP="00B909DC">
            <w:r>
              <w:t>Silicon dioxide (SiO</w:t>
            </w:r>
            <w:r w:rsidRPr="00BF6FDB">
              <w:rPr>
                <w:vertAlign w:val="subscript"/>
              </w:rPr>
              <w:t>2</w:t>
            </w:r>
            <w:r>
              <w:t>)</w:t>
            </w:r>
          </w:p>
        </w:tc>
        <w:tc>
          <w:tcPr>
            <w:tcW w:w="4505" w:type="dxa"/>
          </w:tcPr>
          <w:p w14:paraId="05F8839A" w14:textId="37464BE8" w:rsidR="00BF6FDB" w:rsidRDefault="00BF6FDB" w:rsidP="00B909DC"/>
        </w:tc>
      </w:tr>
    </w:tbl>
    <w:p w14:paraId="11DB695C" w14:textId="681F582D" w:rsidR="00F75421" w:rsidRDefault="00F75421" w:rsidP="00F75421">
      <w:pPr>
        <w:jc w:val="center"/>
      </w:pPr>
      <w:r w:rsidRPr="00F75421">
        <w:rPr>
          <w:b/>
        </w:rPr>
        <w:t>Table 1</w:t>
      </w:r>
      <w:r>
        <w:t>. Dissolved nutrients and major ion concentrations for laboratory analysis</w:t>
      </w:r>
    </w:p>
    <w:p w14:paraId="439BD6BB" w14:textId="4C89A6B0" w:rsidR="00247449" w:rsidRDefault="00247449" w:rsidP="00B909DC"/>
    <w:p w14:paraId="57CC9736" w14:textId="28A611B9" w:rsidR="00247449" w:rsidRDefault="00247449" w:rsidP="00B909DC">
      <w:r>
        <w:t>I will repeat DNA/RNA extraction, BONCAT, qPC</w:t>
      </w:r>
      <w:r w:rsidR="00FD3154">
        <w:t xml:space="preserve">R </w:t>
      </w:r>
      <w:r>
        <w:t xml:space="preserve">and sequencing </w:t>
      </w:r>
      <w:r w:rsidR="00FD3154">
        <w:t>procedure</w:t>
      </w:r>
      <w:r>
        <w:t xml:space="preserve"> outlined for archived cryoconite samples and bioinformatics method outlined for metadata analysis.</w:t>
      </w:r>
    </w:p>
    <w:p w14:paraId="79ACAC0C" w14:textId="77777777" w:rsidR="003F2AD4" w:rsidRDefault="003F2AD4" w:rsidP="00B909DC"/>
    <w:p w14:paraId="16A055AE" w14:textId="63CCAE13" w:rsidR="00B909DC" w:rsidRDefault="00F60544" w:rsidP="00B909DC">
      <w:pPr>
        <w:pStyle w:val="Heading2"/>
      </w:pPr>
      <w:r>
        <w:t>5</w:t>
      </w:r>
      <w:r w:rsidR="00B909DC">
        <w:t xml:space="preserve"> </w:t>
      </w:r>
      <w:proofErr w:type="spellStart"/>
      <w:r w:rsidR="00B909DC">
        <w:t>Foxfonna</w:t>
      </w:r>
      <w:proofErr w:type="spellEnd"/>
      <w:r w:rsidR="00B909DC">
        <w:t xml:space="preserve"> </w:t>
      </w:r>
      <w:r w:rsidR="0098799B">
        <w:t xml:space="preserve">summer </w:t>
      </w:r>
      <w:r w:rsidR="00B909DC">
        <w:t>cryoconite analysis</w:t>
      </w:r>
    </w:p>
    <w:p w14:paraId="42525CCD" w14:textId="6CBF01AE" w:rsidR="00B909DC" w:rsidRDefault="00B909DC" w:rsidP="00B909DC"/>
    <w:p w14:paraId="76B06EE9" w14:textId="0E56D3FE" w:rsidR="00B909DC" w:rsidRPr="00B909DC" w:rsidRDefault="00F60544" w:rsidP="0098799B">
      <w:pPr>
        <w:pStyle w:val="Heading3"/>
      </w:pPr>
      <w:r>
        <w:t>5</w:t>
      </w:r>
      <w:r w:rsidR="00B909DC">
        <w:t>.1 Sample collection</w:t>
      </w:r>
    </w:p>
    <w:p w14:paraId="6CEF2761" w14:textId="2DC69E30" w:rsidR="00973D01" w:rsidRDefault="00973D01"/>
    <w:p w14:paraId="37AF6B48" w14:textId="1E7DFD9D" w:rsidR="00973D01" w:rsidRDefault="00973D01">
      <w:r>
        <w:t xml:space="preserve">Cryoconite hole sediment will be collected from </w:t>
      </w:r>
      <w:proofErr w:type="spellStart"/>
      <w:r>
        <w:t>Foxfonna</w:t>
      </w:r>
      <w:proofErr w:type="spellEnd"/>
      <w:r>
        <w:t xml:space="preserve"> Glacier, Svalbard, in August 2021. (INCLUDE INFO ON THE GLACIER TYPE) 30 cryoconite holes will be sampled using a spatially nested sampling scheme incorporating scales of 2, 15, and 100m as developed by </w:t>
      </w:r>
      <w:r>
        <w:fldChar w:fldCharType="begin" w:fldLock="1"/>
      </w:r>
      <w:r w:rsidR="00181E47">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2018)","manualFormatting":"Darcy, Gendron, Sommers, Porazinska, &amp; Schmidt, 2018. ","plainTextFormattedCitation":"(Darcy, Gendron, Sommers, Porazinska, &amp; Schmidt, 2018)","previouslyFormattedCitation":"(Darcy et al., 2018)"},"properties":{"noteIndex":0},"schema":"https://github.com/citation-style-language/schema/raw/master/csl-citation.json"}</w:instrText>
      </w:r>
      <w:r>
        <w:fldChar w:fldCharType="separate"/>
      </w:r>
      <w:r w:rsidRPr="00973D01">
        <w:rPr>
          <w:noProof/>
        </w:rPr>
        <w:t>Darcy, Gendron, Sommers, Porazinska, &amp; Schmidt, 2018</w:t>
      </w:r>
      <w:r>
        <w:rPr>
          <w:noProof/>
        </w:rPr>
        <w:t xml:space="preserve">. </w:t>
      </w:r>
      <w:r>
        <w:fldChar w:fldCharType="end"/>
      </w:r>
      <w:r>
        <w:t xml:space="preserve">(SHOULD I INCREASE THESE DISTANCES) The sampling regime comprises 5 triangles with sides of 15m, spaced 100m apart. 2 cryoconite holes at approximately 2m apart are sampled at each vertex of the 5 triangles (Figure 1). </w:t>
      </w:r>
    </w:p>
    <w:p w14:paraId="1FE3926A" w14:textId="0A83D282" w:rsidR="00973D01" w:rsidRDefault="00973D01">
      <w:r>
        <w:t xml:space="preserve">  Cryoconite granules will be collected from the bottom of each cryoconite hole using s sterile disposable plastic pipette, placed in a sterile tube and stored at -20</w:t>
      </w:r>
      <w:r>
        <w:rPr>
          <w:rFonts w:ascii="Calibri" w:hAnsi="Calibri"/>
        </w:rPr>
        <w:t>°</w:t>
      </w:r>
      <w:r>
        <w:t>C until returning to the laboratory, where it will be stored at -80</w:t>
      </w:r>
      <w:r>
        <w:rPr>
          <w:rFonts w:ascii="Calibri" w:hAnsi="Calibri"/>
        </w:rPr>
        <w:t>°</w:t>
      </w:r>
      <w:r>
        <w:t>C until further analysis.</w:t>
      </w:r>
    </w:p>
    <w:p w14:paraId="74EC4F38" w14:textId="3F2D6B20" w:rsidR="00973D01" w:rsidRDefault="00973D01"/>
    <w:p w14:paraId="4C7380F1" w14:textId="59303DCC" w:rsidR="00973D01" w:rsidRDefault="00973D01" w:rsidP="00973D01">
      <w:pPr>
        <w:jc w:val="center"/>
      </w:pPr>
      <w:r>
        <w:t xml:space="preserve">Figure 1: Sampling scheme taken from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fldChar w:fldCharType="separate"/>
      </w:r>
      <w:r w:rsidRPr="00973D01">
        <w:rPr>
          <w:noProof/>
        </w:rPr>
        <w:t>Darcy et al., 2018</w:t>
      </w:r>
      <w:r>
        <w:rPr>
          <w:noProof/>
        </w:rPr>
        <w:t xml:space="preserve">  </w:t>
      </w:r>
      <w:r>
        <w:fldChar w:fldCharType="end"/>
      </w:r>
    </w:p>
    <w:p w14:paraId="54E9989A" w14:textId="5919D2BF" w:rsidR="00973D01" w:rsidRDefault="00973D01" w:rsidP="00973D01">
      <w:pPr>
        <w:jc w:val="center"/>
      </w:pPr>
      <w:r>
        <w:rPr>
          <w:noProof/>
        </w:rPr>
        <w:drawing>
          <wp:inline distT="0" distB="0" distL="0" distR="0" wp14:anchorId="4EB6C300" wp14:editId="10E869BE">
            <wp:extent cx="2616200" cy="100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a:blip r:embed="rId7">
                      <a:extLst>
                        <a:ext uri="{28A0092B-C50C-407E-A947-70E740481C1C}">
                          <a14:useLocalDpi xmlns:a14="http://schemas.microsoft.com/office/drawing/2010/main" val="0"/>
                        </a:ext>
                      </a:extLst>
                    </a:blip>
                    <a:stretch>
                      <a:fillRect/>
                    </a:stretch>
                  </pic:blipFill>
                  <pic:spPr>
                    <a:xfrm>
                      <a:off x="0" y="0"/>
                      <a:ext cx="2616200" cy="1003300"/>
                    </a:xfrm>
                    <a:prstGeom prst="rect">
                      <a:avLst/>
                    </a:prstGeom>
                  </pic:spPr>
                </pic:pic>
              </a:graphicData>
            </a:graphic>
          </wp:inline>
        </w:drawing>
      </w:r>
    </w:p>
    <w:p w14:paraId="6F836B60" w14:textId="27109E21" w:rsidR="001A3A9B" w:rsidRDefault="001A3A9B" w:rsidP="00973D01">
      <w:pPr>
        <w:jc w:val="center"/>
      </w:pPr>
    </w:p>
    <w:p w14:paraId="438F2B89" w14:textId="2E239392" w:rsidR="001A3A9B" w:rsidRDefault="001A3A9B"/>
    <w:p w14:paraId="581D739D" w14:textId="02FFCC98" w:rsidR="00287AB7" w:rsidRDefault="00287AB7" w:rsidP="0098799B">
      <w:pPr>
        <w:pStyle w:val="Heading3"/>
      </w:pPr>
      <w:r>
        <w:t>5.2 Measuring photosynthesis and respiration</w:t>
      </w:r>
    </w:p>
    <w:p w14:paraId="2A588C0E" w14:textId="2201CEB4" w:rsidR="00287AB7" w:rsidRDefault="00287AB7" w:rsidP="00287AB7"/>
    <w:p w14:paraId="3A63A329" w14:textId="501A11E8" w:rsidR="00287AB7" w:rsidRDefault="00287AB7" w:rsidP="00287AB7">
      <w:r>
        <w:t xml:space="preserve">For approximately 5 of the sampled cryoconite holes, gross photosynthesis, respiration and net community production will be measured using </w:t>
      </w:r>
      <w:r w:rsidR="00CC2A97">
        <w:t>the</w:t>
      </w:r>
      <w:r>
        <w:t xml:space="preserve"> </w:t>
      </w:r>
      <m:oMath>
        <m:r>
          <w:rPr>
            <w:rFonts w:ascii="Cambria Math" w:hAnsi="Cambria Math"/>
          </w:rPr>
          <m:t>∆</m:t>
        </m:r>
      </m:oMath>
      <w:r w:rsidR="0031294B">
        <w:rPr>
          <w:rFonts w:eastAsiaTheme="minorEastAsia"/>
        </w:rPr>
        <w:t>C</w:t>
      </w:r>
      <w:r w:rsidR="00CC2A97">
        <w:rPr>
          <w:rFonts w:eastAsiaTheme="minorEastAsia"/>
        </w:rPr>
        <w:t>O</w:t>
      </w:r>
      <w:r w:rsidR="00CC2A97" w:rsidRPr="0031294B">
        <w:rPr>
          <w:rFonts w:eastAsiaTheme="minorEastAsia"/>
          <w:vertAlign w:val="subscript"/>
        </w:rPr>
        <w:t>2</w:t>
      </w:r>
      <w:r w:rsidR="00CC2A97">
        <w:rPr>
          <w:rFonts w:eastAsiaTheme="minorEastAsia"/>
        </w:rPr>
        <w:t xml:space="preserve"> </w:t>
      </w:r>
      <w:r>
        <w:t>24-hour incubation method</w:t>
      </w:r>
      <w:r w:rsidR="00CC2A97">
        <w:t xml:space="preserve"> </w:t>
      </w:r>
      <w:r w:rsidR="00CC2A97">
        <w:fldChar w:fldCharType="begin" w:fldLock="1"/>
      </w:r>
      <w:r w:rsidR="003B61D7">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methods","type":"article-journal","volume":"51"},"uris":["http://www.mendeley.com/documents/?uuid=3ec8e199-9b43-4c6d-a9d7-f6688a607680"]}],"mendeley":{"formattedCitation":"(Telling et al., 2010)","plainTextFormattedCitation":"(Telling et al., 2010)","previouslyFormattedCitation":"(Telling et al., 2010)"},"properties":{"noteIndex":0},"schema":"https://github.com/citation-style-language/schema/raw/master/csl-citation.json"}</w:instrText>
      </w:r>
      <w:r w:rsidR="00CC2A97">
        <w:fldChar w:fldCharType="separate"/>
      </w:r>
      <w:r w:rsidR="00CC2A97" w:rsidRPr="00CC2A97">
        <w:rPr>
          <w:noProof/>
        </w:rPr>
        <w:t>(Telling et al., 2010)</w:t>
      </w:r>
      <w:r w:rsidR="00CC2A97">
        <w:fldChar w:fldCharType="end"/>
      </w:r>
      <w:r>
        <w:t xml:space="preserve">. </w:t>
      </w:r>
    </w:p>
    <w:p w14:paraId="47C27A0E" w14:textId="77777777" w:rsidR="00287AB7" w:rsidRPr="00287AB7" w:rsidRDefault="00287AB7" w:rsidP="00287AB7"/>
    <w:p w14:paraId="25E11C7C" w14:textId="799805A5" w:rsidR="00973D01" w:rsidRDefault="00F60544" w:rsidP="0098799B">
      <w:pPr>
        <w:pStyle w:val="Heading3"/>
      </w:pPr>
      <w:r>
        <w:t>5</w:t>
      </w:r>
      <w:r w:rsidR="0098799B">
        <w:t>.2</w:t>
      </w:r>
      <w:r w:rsidR="00973D01">
        <w:t xml:space="preserve"> Spatial and Environmental Characteristics</w:t>
      </w:r>
    </w:p>
    <w:p w14:paraId="10226CA3" w14:textId="13AE6A71" w:rsidR="00973D01" w:rsidRDefault="00973D01"/>
    <w:p w14:paraId="21FAC8C2" w14:textId="233706E1" w:rsidR="00F75421" w:rsidRDefault="00973D01" w:rsidP="00BF6FDB">
      <w:r>
        <w:t xml:space="preserve">The spatial characteristics of each cryoconite hole will be recorded including diameter measured along north-south and east-west axes, as well as depth, using a tape measure/ruler. </w:t>
      </w:r>
      <w:r w:rsidR="00BF6FDB">
        <w:t xml:space="preserve">All other spatial and environmental measurements will follow the method set out for </w:t>
      </w:r>
      <w:proofErr w:type="spellStart"/>
      <w:r w:rsidR="00BF6FDB">
        <w:t>Foxfonna</w:t>
      </w:r>
      <w:proofErr w:type="spellEnd"/>
      <w:r w:rsidR="00BF6FDB">
        <w:t xml:space="preserve"> spring expedition. </w:t>
      </w:r>
    </w:p>
    <w:p w14:paraId="4CF896A5" w14:textId="77B80E8E" w:rsidR="00973D01" w:rsidRDefault="00973D01"/>
    <w:p w14:paraId="38089A7A" w14:textId="4BAA57D7" w:rsidR="0092669D" w:rsidRDefault="00F60544" w:rsidP="0098799B">
      <w:pPr>
        <w:pStyle w:val="Heading3"/>
      </w:pPr>
      <w:r>
        <w:lastRenderedPageBreak/>
        <w:t>5</w:t>
      </w:r>
      <w:r w:rsidR="0092669D">
        <w:t>.3 Further analysis</w:t>
      </w:r>
    </w:p>
    <w:p w14:paraId="5370F419" w14:textId="77777777" w:rsidR="0092669D" w:rsidRDefault="0092669D" w:rsidP="0092669D"/>
    <w:p w14:paraId="6B135CE3" w14:textId="3E542714" w:rsidR="00973D01" w:rsidRDefault="0092669D" w:rsidP="0092669D">
      <w:r>
        <w:t>Cryoconite samples</w:t>
      </w:r>
      <w:r w:rsidR="00973D01">
        <w:t xml:space="preserve"> </w:t>
      </w:r>
      <w:r>
        <w:t xml:space="preserve">collected from </w:t>
      </w:r>
      <w:proofErr w:type="spellStart"/>
      <w:r>
        <w:t>Foxfonna</w:t>
      </w:r>
      <w:proofErr w:type="spellEnd"/>
      <w:r>
        <w:t xml:space="preserve"> glacier will follow the DNA/RNA extraction, BONCAT, qPCR, amplification and sequencing, and bioinformatics methods outlined previously.</w:t>
      </w:r>
    </w:p>
    <w:p w14:paraId="04334CBD" w14:textId="3F13AA14" w:rsidR="00FB68F3" w:rsidRDefault="00FB68F3">
      <w:pPr>
        <w:rPr>
          <w:rFonts w:eastAsiaTheme="minorEastAsia"/>
        </w:rPr>
      </w:pPr>
    </w:p>
    <w:p w14:paraId="6E614763" w14:textId="3D4F25C3" w:rsidR="00FB68F3" w:rsidRDefault="00F60544" w:rsidP="00950E6A">
      <w:pPr>
        <w:pStyle w:val="Heading2"/>
      </w:pPr>
      <w:r>
        <w:t>6</w:t>
      </w:r>
      <w:r w:rsidR="00FB68F3">
        <w:t xml:space="preserve"> Caveats of </w:t>
      </w:r>
      <w:r w:rsidR="00CF52D6">
        <w:t>m</w:t>
      </w:r>
      <w:r w:rsidR="00FB68F3">
        <w:t>ethod</w:t>
      </w:r>
    </w:p>
    <w:p w14:paraId="24FCA584" w14:textId="77777777" w:rsidR="00FB68F3" w:rsidRDefault="00FB68F3" w:rsidP="00FB68F3"/>
    <w:p w14:paraId="0B6678DF" w14:textId="49188143" w:rsidR="00FB68F3" w:rsidRDefault="00FB68F3" w:rsidP="00FB68F3">
      <w:r>
        <w:t xml:space="preserve">Simulated rRNA/DNA ratios show potential to misclassify active populations as dormant </w:t>
      </w:r>
      <w:r>
        <w:fldChar w:fldCharType="begin" w:fldLock="1"/>
      </w:r>
      <w: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fldChar w:fldCharType="separate"/>
      </w:r>
      <w:r w:rsidRPr="00FC7B33">
        <w:rPr>
          <w:noProof/>
        </w:rPr>
        <w:t>(Steven, Hesse, Soghigian, Gallegos-Graves, &amp; Dunbar, 2017)</w:t>
      </w:r>
      <w:r>
        <w:fldChar w:fldCharType="end"/>
      </w:r>
    </w:p>
    <w:p w14:paraId="2F8D8F29" w14:textId="77777777" w:rsidR="004864FB" w:rsidRDefault="004864FB"/>
    <w:p w14:paraId="6C78322E" w14:textId="631ACCB1" w:rsidR="00973D01" w:rsidRDefault="00F60544" w:rsidP="00950E6A">
      <w:pPr>
        <w:pStyle w:val="Heading2"/>
      </w:pPr>
      <w:r>
        <w:t>7</w:t>
      </w:r>
      <w:r w:rsidR="00FB68F3">
        <w:t xml:space="preserve"> </w:t>
      </w:r>
      <w:r w:rsidR="00973D01">
        <w:t xml:space="preserve">Bibliography </w:t>
      </w:r>
    </w:p>
    <w:p w14:paraId="595FF9A9" w14:textId="51F9C05B" w:rsidR="00973D01" w:rsidRDefault="00973D01"/>
    <w:p w14:paraId="65D453E5" w14:textId="1D9EDBF4" w:rsidR="00181E47" w:rsidRPr="00181E47" w:rsidRDefault="00973D01" w:rsidP="00181E47">
      <w:pPr>
        <w:widowControl w:val="0"/>
        <w:autoSpaceDE w:val="0"/>
        <w:autoSpaceDN w:val="0"/>
        <w:adjustRightInd w:val="0"/>
        <w:ind w:left="480" w:hanging="480"/>
        <w:rPr>
          <w:rFonts w:ascii="Calibri" w:hAnsi="Calibri" w:cs="Times New Roman"/>
          <w:noProof/>
          <w:lang w:val="en-US"/>
        </w:rPr>
      </w:pPr>
      <w:r>
        <w:fldChar w:fldCharType="begin" w:fldLock="1"/>
      </w:r>
      <w:r>
        <w:instrText xml:space="preserve">ADDIN Mendeley Bibliography CSL_BIBLIOGRAPHY </w:instrText>
      </w:r>
      <w:r>
        <w:fldChar w:fldCharType="separate"/>
      </w:r>
      <w:r w:rsidR="00181E47" w:rsidRPr="00181E47">
        <w:rPr>
          <w:rFonts w:ascii="Calibri" w:hAnsi="Calibri" w:cs="Times New Roman"/>
          <w:noProof/>
          <w:lang w:val="en-US"/>
        </w:rPr>
        <w:t xml:space="preserve">Callahan, B. J., McMurdie, P. J., &amp; Holmes, S. P. (2017). Exact sequence variants should replace operational taxonomic units in marker-gene data analysis. </w:t>
      </w:r>
      <w:r w:rsidR="00181E47" w:rsidRPr="00181E47">
        <w:rPr>
          <w:rFonts w:ascii="Calibri" w:hAnsi="Calibri" w:cs="Times New Roman"/>
          <w:i/>
          <w:iCs/>
          <w:noProof/>
          <w:lang w:val="en-US"/>
        </w:rPr>
        <w:t>ISME Journal</w:t>
      </w:r>
      <w:r w:rsidR="00181E47" w:rsidRPr="00181E47">
        <w:rPr>
          <w:rFonts w:ascii="Calibri" w:hAnsi="Calibri" w:cs="Times New Roman"/>
          <w:noProof/>
          <w:lang w:val="en-US"/>
        </w:rPr>
        <w:t xml:space="preserve">, </w:t>
      </w:r>
      <w:r w:rsidR="00181E47" w:rsidRPr="00181E47">
        <w:rPr>
          <w:rFonts w:ascii="Calibri" w:hAnsi="Calibri" w:cs="Times New Roman"/>
          <w:i/>
          <w:iCs/>
          <w:noProof/>
          <w:lang w:val="en-US"/>
        </w:rPr>
        <w:t>11</w:t>
      </w:r>
      <w:r w:rsidR="00181E47" w:rsidRPr="00181E47">
        <w:rPr>
          <w:rFonts w:ascii="Calibri" w:hAnsi="Calibri" w:cs="Times New Roman"/>
          <w:noProof/>
          <w:lang w:val="en-US"/>
        </w:rPr>
        <w:t>(12), 2639–2643. https://doi.org/10.1038/ismej.2017.119</w:t>
      </w:r>
    </w:p>
    <w:p w14:paraId="1DA35FF8" w14:textId="77777777" w:rsidR="00181E47" w:rsidRPr="00181E47" w:rsidRDefault="00181E47" w:rsidP="00181E47">
      <w:pPr>
        <w:widowControl w:val="0"/>
        <w:autoSpaceDE w:val="0"/>
        <w:autoSpaceDN w:val="0"/>
        <w:adjustRightInd w:val="0"/>
        <w:ind w:left="480" w:hanging="480"/>
        <w:rPr>
          <w:rFonts w:ascii="Calibri" w:hAnsi="Calibri" w:cs="Times New Roman"/>
          <w:noProof/>
          <w:lang w:val="en-US"/>
        </w:rPr>
      </w:pPr>
      <w:r w:rsidRPr="00181E47">
        <w:rPr>
          <w:rFonts w:ascii="Calibri" w:hAnsi="Calibri" w:cs="Times New Roman"/>
          <w:noProof/>
          <w:lang w:val="en-US"/>
        </w:rPr>
        <w:t xml:space="preserve">Darcy, J. L., Gendron, E. M. S., Sommers, P., Porazinska, D. L., &amp; Schmidt, S. K. (2018). Island biogeography of cryoconite hole bacteria in Antarctica’s Taylor Valley and around the world. </w:t>
      </w:r>
      <w:r w:rsidRPr="00181E47">
        <w:rPr>
          <w:rFonts w:ascii="Calibri" w:hAnsi="Calibri" w:cs="Times New Roman"/>
          <w:i/>
          <w:iCs/>
          <w:noProof/>
          <w:lang w:val="en-US"/>
        </w:rPr>
        <w:t>Frontiers in Ecology and Evolution</w:t>
      </w:r>
      <w:r w:rsidRPr="00181E47">
        <w:rPr>
          <w:rFonts w:ascii="Calibri" w:hAnsi="Calibri" w:cs="Times New Roman"/>
          <w:noProof/>
          <w:lang w:val="en-US"/>
        </w:rPr>
        <w:t xml:space="preserve">, </w:t>
      </w:r>
      <w:r w:rsidRPr="00181E47">
        <w:rPr>
          <w:rFonts w:ascii="Calibri" w:hAnsi="Calibri" w:cs="Times New Roman"/>
          <w:i/>
          <w:iCs/>
          <w:noProof/>
          <w:lang w:val="en-US"/>
        </w:rPr>
        <w:t>6</w:t>
      </w:r>
      <w:r w:rsidRPr="00181E47">
        <w:rPr>
          <w:rFonts w:ascii="Calibri" w:hAnsi="Calibri" w:cs="Times New Roman"/>
          <w:noProof/>
          <w:lang w:val="en-US"/>
        </w:rPr>
        <w:t>(NOV), 1–9. https://doi.org/10.3389/fevo.2018.00180</w:t>
      </w:r>
    </w:p>
    <w:p w14:paraId="1FA57687" w14:textId="77777777" w:rsidR="00181E47" w:rsidRPr="00181E47" w:rsidRDefault="00181E47" w:rsidP="00181E47">
      <w:pPr>
        <w:widowControl w:val="0"/>
        <w:autoSpaceDE w:val="0"/>
        <w:autoSpaceDN w:val="0"/>
        <w:adjustRightInd w:val="0"/>
        <w:ind w:left="480" w:hanging="480"/>
        <w:rPr>
          <w:rFonts w:ascii="Calibri" w:hAnsi="Calibri" w:cs="Times New Roman"/>
          <w:noProof/>
          <w:lang w:val="en-US"/>
        </w:rPr>
      </w:pPr>
      <w:r w:rsidRPr="00181E47">
        <w:rPr>
          <w:rFonts w:ascii="Calibri" w:hAnsi="Calibri" w:cs="Times New Roman"/>
          <w:noProof/>
          <w:lang w:val="en-US"/>
        </w:rPr>
        <w:t xml:space="preserve">Hatzenpichler, R., Connon, S. A., Goudeau, D., Malmstrom, R. R., Woyke, T., &amp; Orphan, V. J. (2016). Visualizing in situ translational activity for identifying and sorting slow-growing archaeal - bacterial consortia. </w:t>
      </w:r>
      <w:r w:rsidRPr="00181E47">
        <w:rPr>
          <w:rFonts w:ascii="Calibri" w:hAnsi="Calibri" w:cs="Times New Roman"/>
          <w:i/>
          <w:iCs/>
          <w:noProof/>
          <w:lang w:val="en-US"/>
        </w:rPr>
        <w:t>Proceedings of the National Academy of Sciences of the United States of America</w:t>
      </w:r>
      <w:r w:rsidRPr="00181E47">
        <w:rPr>
          <w:rFonts w:ascii="Calibri" w:hAnsi="Calibri" w:cs="Times New Roman"/>
          <w:noProof/>
          <w:lang w:val="en-US"/>
        </w:rPr>
        <w:t xml:space="preserve">, </w:t>
      </w:r>
      <w:r w:rsidRPr="00181E47">
        <w:rPr>
          <w:rFonts w:ascii="Calibri" w:hAnsi="Calibri" w:cs="Times New Roman"/>
          <w:i/>
          <w:iCs/>
          <w:noProof/>
          <w:lang w:val="en-US"/>
        </w:rPr>
        <w:t>113</w:t>
      </w:r>
      <w:r w:rsidRPr="00181E47">
        <w:rPr>
          <w:rFonts w:ascii="Calibri" w:hAnsi="Calibri" w:cs="Times New Roman"/>
          <w:noProof/>
          <w:lang w:val="en-US"/>
        </w:rPr>
        <w:t>(28), E4069–E4078. https://doi.org/10.1073/pnas.1603757113</w:t>
      </w:r>
    </w:p>
    <w:p w14:paraId="29C0CCD2" w14:textId="77777777" w:rsidR="00181E47" w:rsidRPr="00181E47" w:rsidRDefault="00181E47" w:rsidP="00181E47">
      <w:pPr>
        <w:widowControl w:val="0"/>
        <w:autoSpaceDE w:val="0"/>
        <w:autoSpaceDN w:val="0"/>
        <w:adjustRightInd w:val="0"/>
        <w:ind w:left="480" w:hanging="480"/>
        <w:rPr>
          <w:rFonts w:ascii="Calibri" w:hAnsi="Calibri" w:cs="Times New Roman"/>
          <w:noProof/>
          <w:lang w:val="en-US"/>
        </w:rPr>
      </w:pPr>
      <w:r w:rsidRPr="00181E47">
        <w:rPr>
          <w:rFonts w:ascii="Calibri" w:hAnsi="Calibri" w:cs="Times New Roman"/>
          <w:noProof/>
          <w:lang w:val="en-US"/>
        </w:rPr>
        <w:t xml:space="preserve">He, H., Fu, L., Liu, Q., Fu, L., Bi, N., Yang, Z., &amp; Zhen, Y. (2019). Community Structure, Abundance and Potential Functions of Bacteria and Archaea in the Sansha Yongle Blue Hole, Xisha, South China Sea. </w:t>
      </w:r>
      <w:r w:rsidRPr="00181E47">
        <w:rPr>
          <w:rFonts w:ascii="Calibri" w:hAnsi="Calibri" w:cs="Times New Roman"/>
          <w:i/>
          <w:iCs/>
          <w:noProof/>
          <w:lang w:val="en-US"/>
        </w:rPr>
        <w:t>Frontiers in Microbiology</w:t>
      </w:r>
      <w:r w:rsidRPr="00181E47">
        <w:rPr>
          <w:rFonts w:ascii="Calibri" w:hAnsi="Calibri" w:cs="Times New Roman"/>
          <w:noProof/>
          <w:lang w:val="en-US"/>
        </w:rPr>
        <w:t xml:space="preserve">, </w:t>
      </w:r>
      <w:r w:rsidRPr="00181E47">
        <w:rPr>
          <w:rFonts w:ascii="Calibri" w:hAnsi="Calibri" w:cs="Times New Roman"/>
          <w:i/>
          <w:iCs/>
          <w:noProof/>
          <w:lang w:val="en-US"/>
        </w:rPr>
        <w:t>10</w:t>
      </w:r>
      <w:r w:rsidRPr="00181E47">
        <w:rPr>
          <w:rFonts w:ascii="Calibri" w:hAnsi="Calibri" w:cs="Times New Roman"/>
          <w:noProof/>
          <w:lang w:val="en-US"/>
        </w:rPr>
        <w:t>(October), 1–16. https://doi.org/10.3389/fmicb.2019.02404</w:t>
      </w:r>
    </w:p>
    <w:p w14:paraId="647E5B78" w14:textId="77777777" w:rsidR="00181E47" w:rsidRPr="00181E47" w:rsidRDefault="00181E47" w:rsidP="00181E47">
      <w:pPr>
        <w:widowControl w:val="0"/>
        <w:autoSpaceDE w:val="0"/>
        <w:autoSpaceDN w:val="0"/>
        <w:adjustRightInd w:val="0"/>
        <w:ind w:left="480" w:hanging="480"/>
        <w:rPr>
          <w:rFonts w:ascii="Calibri" w:hAnsi="Calibri" w:cs="Times New Roman"/>
          <w:noProof/>
          <w:lang w:val="en-US"/>
        </w:rPr>
      </w:pPr>
      <w:r w:rsidRPr="00181E47">
        <w:rPr>
          <w:rFonts w:ascii="Calibri" w:hAnsi="Calibri" w:cs="Times New Roman"/>
          <w:noProof/>
          <w:lang w:val="en-US"/>
        </w:rPr>
        <w:t xml:space="preserve">Li, M., Mi, T., He, H., Chen, Y., Zhen, Y., &amp; Yu, Z. (2021). Active bacterial and archaeal communities in coastal sediments: Biogeography pattern, assembly process and co-occurrence relationship. </w:t>
      </w:r>
      <w:r w:rsidRPr="00181E47">
        <w:rPr>
          <w:rFonts w:ascii="Calibri" w:hAnsi="Calibri" w:cs="Times New Roman"/>
          <w:i/>
          <w:iCs/>
          <w:noProof/>
          <w:lang w:val="en-US"/>
        </w:rPr>
        <w:t>Science of the Total Environment</w:t>
      </w:r>
      <w:r w:rsidRPr="00181E47">
        <w:rPr>
          <w:rFonts w:ascii="Calibri" w:hAnsi="Calibri" w:cs="Times New Roman"/>
          <w:noProof/>
          <w:lang w:val="en-US"/>
        </w:rPr>
        <w:t xml:space="preserve">, </w:t>
      </w:r>
      <w:r w:rsidRPr="00181E47">
        <w:rPr>
          <w:rFonts w:ascii="Calibri" w:hAnsi="Calibri" w:cs="Times New Roman"/>
          <w:i/>
          <w:iCs/>
          <w:noProof/>
          <w:lang w:val="en-US"/>
        </w:rPr>
        <w:t>750</w:t>
      </w:r>
      <w:r w:rsidRPr="00181E47">
        <w:rPr>
          <w:rFonts w:ascii="Calibri" w:hAnsi="Calibri" w:cs="Times New Roman"/>
          <w:noProof/>
          <w:lang w:val="en-US"/>
        </w:rPr>
        <w:t>, 142252. https://doi.org/10.1016/j.scitotenv.2020.142252</w:t>
      </w:r>
    </w:p>
    <w:p w14:paraId="5E87F9DC" w14:textId="77777777" w:rsidR="00181E47" w:rsidRPr="00181E47" w:rsidRDefault="00181E47" w:rsidP="00181E47">
      <w:pPr>
        <w:widowControl w:val="0"/>
        <w:autoSpaceDE w:val="0"/>
        <w:autoSpaceDN w:val="0"/>
        <w:adjustRightInd w:val="0"/>
        <w:ind w:left="480" w:hanging="480"/>
        <w:rPr>
          <w:rFonts w:ascii="Calibri" w:hAnsi="Calibri" w:cs="Times New Roman"/>
          <w:noProof/>
          <w:lang w:val="en-US"/>
        </w:rPr>
      </w:pPr>
      <w:r w:rsidRPr="00181E47">
        <w:rPr>
          <w:rFonts w:ascii="Calibri" w:hAnsi="Calibri" w:cs="Times New Roman"/>
          <w:noProof/>
          <w:lang w:val="en-US"/>
        </w:rPr>
        <w:t xml:space="preserve">Liu, L., Yang, J., Yu, Z., &amp; Wilkinson, D. M. (2015). The biogeography of abundant and rare bacterioplankton in the lakes and reservoirs of China. </w:t>
      </w:r>
      <w:r w:rsidRPr="00181E47">
        <w:rPr>
          <w:rFonts w:ascii="Calibri" w:hAnsi="Calibri" w:cs="Times New Roman"/>
          <w:i/>
          <w:iCs/>
          <w:noProof/>
          <w:lang w:val="en-US"/>
        </w:rPr>
        <w:t>ISME Journal</w:t>
      </w:r>
      <w:r w:rsidRPr="00181E47">
        <w:rPr>
          <w:rFonts w:ascii="Calibri" w:hAnsi="Calibri" w:cs="Times New Roman"/>
          <w:noProof/>
          <w:lang w:val="en-US"/>
        </w:rPr>
        <w:t xml:space="preserve">, </w:t>
      </w:r>
      <w:r w:rsidRPr="00181E47">
        <w:rPr>
          <w:rFonts w:ascii="Calibri" w:hAnsi="Calibri" w:cs="Times New Roman"/>
          <w:i/>
          <w:iCs/>
          <w:noProof/>
          <w:lang w:val="en-US"/>
        </w:rPr>
        <w:t>9</w:t>
      </w:r>
      <w:r w:rsidRPr="00181E47">
        <w:rPr>
          <w:rFonts w:ascii="Calibri" w:hAnsi="Calibri" w:cs="Times New Roman"/>
          <w:noProof/>
          <w:lang w:val="en-US"/>
        </w:rPr>
        <w:t>(9), 2068–2077. https://doi.org/10.1038/ismej.2015.29</w:t>
      </w:r>
    </w:p>
    <w:p w14:paraId="21896303" w14:textId="77777777" w:rsidR="00181E47" w:rsidRPr="00181E47" w:rsidRDefault="00181E47" w:rsidP="00181E47">
      <w:pPr>
        <w:widowControl w:val="0"/>
        <w:autoSpaceDE w:val="0"/>
        <w:autoSpaceDN w:val="0"/>
        <w:adjustRightInd w:val="0"/>
        <w:ind w:left="480" w:hanging="480"/>
        <w:rPr>
          <w:rFonts w:ascii="Calibri" w:hAnsi="Calibri" w:cs="Times New Roman"/>
          <w:noProof/>
          <w:lang w:val="en-US"/>
        </w:rPr>
      </w:pPr>
      <w:r w:rsidRPr="00181E47">
        <w:rPr>
          <w:rFonts w:ascii="Calibri" w:hAnsi="Calibri" w:cs="Times New Roman"/>
          <w:noProof/>
          <w:lang w:val="en-US"/>
        </w:rPr>
        <w:t xml:space="preserve">Louca, S., Jacques, S. M. S., Pires, A. P. F., Leal, J. S., Srivastava, D. S., Parfrey, L. W., … Doebeli, M. (2017). High taxonomic variability despite stable functional structure across microbial communities. </w:t>
      </w:r>
      <w:r w:rsidRPr="00181E47">
        <w:rPr>
          <w:rFonts w:ascii="Calibri" w:hAnsi="Calibri" w:cs="Times New Roman"/>
          <w:i/>
          <w:iCs/>
          <w:noProof/>
          <w:lang w:val="en-US"/>
        </w:rPr>
        <w:t>Nature Ecology &amp; Evolution</w:t>
      </w:r>
      <w:r w:rsidRPr="00181E47">
        <w:rPr>
          <w:rFonts w:ascii="Calibri" w:hAnsi="Calibri" w:cs="Times New Roman"/>
          <w:noProof/>
          <w:lang w:val="en-US"/>
        </w:rPr>
        <w:t xml:space="preserve">, </w:t>
      </w:r>
      <w:r w:rsidRPr="00181E47">
        <w:rPr>
          <w:rFonts w:ascii="Calibri" w:hAnsi="Calibri" w:cs="Times New Roman"/>
          <w:i/>
          <w:iCs/>
          <w:noProof/>
          <w:lang w:val="en-US"/>
        </w:rPr>
        <w:t>1</w:t>
      </w:r>
      <w:r w:rsidRPr="00181E47">
        <w:rPr>
          <w:rFonts w:ascii="Calibri" w:hAnsi="Calibri" w:cs="Times New Roman"/>
          <w:noProof/>
          <w:lang w:val="en-US"/>
        </w:rPr>
        <w:t>(1), 1–12. https://doi.org/10.1038/s41559-016-0015</w:t>
      </w:r>
    </w:p>
    <w:p w14:paraId="2EA827C2" w14:textId="77777777" w:rsidR="00181E47" w:rsidRPr="00181E47" w:rsidRDefault="00181E47" w:rsidP="00181E47">
      <w:pPr>
        <w:widowControl w:val="0"/>
        <w:autoSpaceDE w:val="0"/>
        <w:autoSpaceDN w:val="0"/>
        <w:adjustRightInd w:val="0"/>
        <w:ind w:left="480" w:hanging="480"/>
        <w:rPr>
          <w:rFonts w:ascii="Calibri" w:hAnsi="Calibri" w:cs="Times New Roman"/>
          <w:noProof/>
          <w:lang w:val="en-US"/>
        </w:rPr>
      </w:pPr>
      <w:r w:rsidRPr="00181E47">
        <w:rPr>
          <w:rFonts w:ascii="Calibri" w:hAnsi="Calibri" w:cs="Times New Roman"/>
          <w:noProof/>
          <w:lang w:val="en-US"/>
        </w:rPr>
        <w:t xml:space="preserve">Stegen, J. C., Lin, X., Fredrickson, J. K., Chen, X., Kennedy, D. W., Murray, C. J., … Konopka, A. (2013). Quantifying community assembly processes and identifying features that impose them. </w:t>
      </w:r>
      <w:r w:rsidRPr="00181E47">
        <w:rPr>
          <w:rFonts w:ascii="Calibri" w:hAnsi="Calibri" w:cs="Times New Roman"/>
          <w:i/>
          <w:iCs/>
          <w:noProof/>
          <w:lang w:val="en-US"/>
        </w:rPr>
        <w:t>ISME Journal</w:t>
      </w:r>
      <w:r w:rsidRPr="00181E47">
        <w:rPr>
          <w:rFonts w:ascii="Calibri" w:hAnsi="Calibri" w:cs="Times New Roman"/>
          <w:noProof/>
          <w:lang w:val="en-US"/>
        </w:rPr>
        <w:t xml:space="preserve">, </w:t>
      </w:r>
      <w:r w:rsidRPr="00181E47">
        <w:rPr>
          <w:rFonts w:ascii="Calibri" w:hAnsi="Calibri" w:cs="Times New Roman"/>
          <w:i/>
          <w:iCs/>
          <w:noProof/>
          <w:lang w:val="en-US"/>
        </w:rPr>
        <w:t>7</w:t>
      </w:r>
      <w:r w:rsidRPr="00181E47">
        <w:rPr>
          <w:rFonts w:ascii="Calibri" w:hAnsi="Calibri" w:cs="Times New Roman"/>
          <w:noProof/>
          <w:lang w:val="en-US"/>
        </w:rPr>
        <w:t>(11), 2069–2079. https://doi.org/10.1038/ismej.2013.93</w:t>
      </w:r>
    </w:p>
    <w:p w14:paraId="040A03C3" w14:textId="77777777" w:rsidR="00181E47" w:rsidRPr="00181E47" w:rsidRDefault="00181E47" w:rsidP="00181E47">
      <w:pPr>
        <w:widowControl w:val="0"/>
        <w:autoSpaceDE w:val="0"/>
        <w:autoSpaceDN w:val="0"/>
        <w:adjustRightInd w:val="0"/>
        <w:ind w:left="480" w:hanging="480"/>
        <w:rPr>
          <w:rFonts w:ascii="Calibri" w:hAnsi="Calibri" w:cs="Times New Roman"/>
          <w:noProof/>
          <w:lang w:val="en-US"/>
        </w:rPr>
      </w:pPr>
      <w:r w:rsidRPr="00181E47">
        <w:rPr>
          <w:rFonts w:ascii="Calibri" w:hAnsi="Calibri" w:cs="Times New Roman"/>
          <w:noProof/>
          <w:lang w:val="en-US"/>
        </w:rPr>
        <w:t xml:space="preserve">Steven, B., Hesse, C., Soghigian, J., Gallegos-Graves, L. V., &amp; Dunbar, J. (2017). Simulated rRNA/DNA ratios show potential to misclassify active populations as dormant. </w:t>
      </w:r>
      <w:r w:rsidRPr="00181E47">
        <w:rPr>
          <w:rFonts w:ascii="Calibri" w:hAnsi="Calibri" w:cs="Times New Roman"/>
          <w:i/>
          <w:iCs/>
          <w:noProof/>
          <w:lang w:val="en-US"/>
        </w:rPr>
        <w:t>Applied and Environmental Microbiology</w:t>
      </w:r>
      <w:r w:rsidRPr="00181E47">
        <w:rPr>
          <w:rFonts w:ascii="Calibri" w:hAnsi="Calibri" w:cs="Times New Roman"/>
          <w:noProof/>
          <w:lang w:val="en-US"/>
        </w:rPr>
        <w:t xml:space="preserve">, </w:t>
      </w:r>
      <w:r w:rsidRPr="00181E47">
        <w:rPr>
          <w:rFonts w:ascii="Calibri" w:hAnsi="Calibri" w:cs="Times New Roman"/>
          <w:i/>
          <w:iCs/>
          <w:noProof/>
          <w:lang w:val="en-US"/>
        </w:rPr>
        <w:t>83</w:t>
      </w:r>
      <w:r w:rsidRPr="00181E47">
        <w:rPr>
          <w:rFonts w:ascii="Calibri" w:hAnsi="Calibri" w:cs="Times New Roman"/>
          <w:noProof/>
          <w:lang w:val="en-US"/>
        </w:rPr>
        <w:t>(11), 1–11. https://doi.org/10.1128/AEM.00696-17</w:t>
      </w:r>
    </w:p>
    <w:p w14:paraId="0F3F11DB" w14:textId="77777777" w:rsidR="00181E47" w:rsidRPr="00181E47" w:rsidRDefault="00181E47" w:rsidP="00181E47">
      <w:pPr>
        <w:widowControl w:val="0"/>
        <w:autoSpaceDE w:val="0"/>
        <w:autoSpaceDN w:val="0"/>
        <w:adjustRightInd w:val="0"/>
        <w:ind w:left="480" w:hanging="480"/>
        <w:rPr>
          <w:rFonts w:ascii="Calibri" w:hAnsi="Calibri" w:cs="Times New Roman"/>
          <w:noProof/>
          <w:lang w:val="en-US"/>
        </w:rPr>
      </w:pPr>
      <w:r w:rsidRPr="00181E47">
        <w:rPr>
          <w:rFonts w:ascii="Calibri" w:hAnsi="Calibri" w:cs="Times New Roman"/>
          <w:noProof/>
          <w:lang w:val="en-US"/>
        </w:rPr>
        <w:t xml:space="preserve">Telling, J., Anesio, A. M., Hawkings, J., Tranter, M., Wadham, J. L., Hodson, A. J., … Yallop, M. </w:t>
      </w:r>
      <w:r w:rsidRPr="00181E47">
        <w:rPr>
          <w:rFonts w:ascii="Calibri" w:hAnsi="Calibri" w:cs="Times New Roman"/>
          <w:noProof/>
          <w:lang w:val="en-US"/>
        </w:rPr>
        <w:lastRenderedPageBreak/>
        <w:t xml:space="preserve">L. (2010). Measuring rates of gross photosynthesis and net community production in cryoconite holes: A comparison of field methods. </w:t>
      </w:r>
      <w:r w:rsidRPr="00181E47">
        <w:rPr>
          <w:rFonts w:ascii="Calibri" w:hAnsi="Calibri" w:cs="Times New Roman"/>
          <w:i/>
          <w:iCs/>
          <w:noProof/>
          <w:lang w:val="en-US"/>
        </w:rPr>
        <w:t>Annals of Glaciology</w:t>
      </w:r>
      <w:r w:rsidRPr="00181E47">
        <w:rPr>
          <w:rFonts w:ascii="Calibri" w:hAnsi="Calibri" w:cs="Times New Roman"/>
          <w:noProof/>
          <w:lang w:val="en-US"/>
        </w:rPr>
        <w:t xml:space="preserve">, </w:t>
      </w:r>
      <w:r w:rsidRPr="00181E47">
        <w:rPr>
          <w:rFonts w:ascii="Calibri" w:hAnsi="Calibri" w:cs="Times New Roman"/>
          <w:i/>
          <w:iCs/>
          <w:noProof/>
          <w:lang w:val="en-US"/>
        </w:rPr>
        <w:t>51</w:t>
      </w:r>
      <w:r w:rsidRPr="00181E47">
        <w:rPr>
          <w:rFonts w:ascii="Calibri" w:hAnsi="Calibri" w:cs="Times New Roman"/>
          <w:noProof/>
          <w:lang w:val="en-US"/>
        </w:rPr>
        <w:t>(56), 153–162. https://doi.org/10.3189/172756411795932056</w:t>
      </w:r>
    </w:p>
    <w:p w14:paraId="019CB303" w14:textId="77777777" w:rsidR="00181E47" w:rsidRPr="00181E47" w:rsidRDefault="00181E47" w:rsidP="00181E47">
      <w:pPr>
        <w:widowControl w:val="0"/>
        <w:autoSpaceDE w:val="0"/>
        <w:autoSpaceDN w:val="0"/>
        <w:adjustRightInd w:val="0"/>
        <w:ind w:left="480" w:hanging="480"/>
        <w:rPr>
          <w:rFonts w:ascii="Calibri" w:hAnsi="Calibri" w:cs="Times New Roman"/>
          <w:noProof/>
          <w:lang w:val="en-US"/>
        </w:rPr>
      </w:pPr>
      <w:r w:rsidRPr="00181E47">
        <w:rPr>
          <w:rFonts w:ascii="Calibri" w:hAnsi="Calibri" w:cs="Times New Roman"/>
          <w:noProof/>
          <w:lang w:val="en-US"/>
        </w:rPr>
        <w:t xml:space="preserve">Thomas, F. A., Sinha, R. K., &amp; Krishnan, K. P. (2020). Bacterial community structure of a glacio-marine system in the Arctic (Ny-Ålesund, Svalbard). </w:t>
      </w:r>
      <w:r w:rsidRPr="00181E47">
        <w:rPr>
          <w:rFonts w:ascii="Calibri" w:hAnsi="Calibri" w:cs="Times New Roman"/>
          <w:i/>
          <w:iCs/>
          <w:noProof/>
          <w:lang w:val="en-US"/>
        </w:rPr>
        <w:t>Science of the Total Environment</w:t>
      </w:r>
      <w:r w:rsidRPr="00181E47">
        <w:rPr>
          <w:rFonts w:ascii="Calibri" w:hAnsi="Calibri" w:cs="Times New Roman"/>
          <w:noProof/>
          <w:lang w:val="en-US"/>
        </w:rPr>
        <w:t xml:space="preserve">, </w:t>
      </w:r>
      <w:r w:rsidRPr="00181E47">
        <w:rPr>
          <w:rFonts w:ascii="Calibri" w:hAnsi="Calibri" w:cs="Times New Roman"/>
          <w:i/>
          <w:iCs/>
          <w:noProof/>
          <w:lang w:val="en-US"/>
        </w:rPr>
        <w:t>718</w:t>
      </w:r>
      <w:r w:rsidRPr="00181E47">
        <w:rPr>
          <w:rFonts w:ascii="Calibri" w:hAnsi="Calibri" w:cs="Times New Roman"/>
          <w:noProof/>
          <w:lang w:val="en-US"/>
        </w:rPr>
        <w:t>, 135264. https://doi.org/10.1016/j.scitotenv.2019.135264</w:t>
      </w:r>
    </w:p>
    <w:p w14:paraId="738C3342" w14:textId="77777777" w:rsidR="00181E47" w:rsidRPr="00181E47" w:rsidRDefault="00181E47" w:rsidP="00181E47">
      <w:pPr>
        <w:widowControl w:val="0"/>
        <w:autoSpaceDE w:val="0"/>
        <w:autoSpaceDN w:val="0"/>
        <w:adjustRightInd w:val="0"/>
        <w:ind w:left="480" w:hanging="480"/>
        <w:rPr>
          <w:rFonts w:ascii="Calibri" w:hAnsi="Calibri"/>
          <w:noProof/>
        </w:rPr>
      </w:pPr>
      <w:r w:rsidRPr="00181E47">
        <w:rPr>
          <w:rFonts w:ascii="Calibri" w:hAnsi="Calibri" w:cs="Times New Roman"/>
          <w:noProof/>
          <w:lang w:val="en-US"/>
        </w:rPr>
        <w:t xml:space="preserve">Zhang, Y., Zhao, Z., Dai, M., Jiao, N., &amp; Herndl, G. J. (2014). Drivers shaping the diversity and biogeography of total and active bacterial communities in the South China Sea. </w:t>
      </w:r>
      <w:r w:rsidRPr="00181E47">
        <w:rPr>
          <w:rFonts w:ascii="Calibri" w:hAnsi="Calibri" w:cs="Times New Roman"/>
          <w:i/>
          <w:iCs/>
          <w:noProof/>
          <w:lang w:val="en-US"/>
        </w:rPr>
        <w:t>Molecular Ecology</w:t>
      </w:r>
      <w:r w:rsidRPr="00181E47">
        <w:rPr>
          <w:rFonts w:ascii="Calibri" w:hAnsi="Calibri" w:cs="Times New Roman"/>
          <w:noProof/>
          <w:lang w:val="en-US"/>
        </w:rPr>
        <w:t xml:space="preserve">, </w:t>
      </w:r>
      <w:r w:rsidRPr="00181E47">
        <w:rPr>
          <w:rFonts w:ascii="Calibri" w:hAnsi="Calibri" w:cs="Times New Roman"/>
          <w:i/>
          <w:iCs/>
          <w:noProof/>
          <w:lang w:val="en-US"/>
        </w:rPr>
        <w:t>23</w:t>
      </w:r>
      <w:r w:rsidRPr="00181E47">
        <w:rPr>
          <w:rFonts w:ascii="Calibri" w:hAnsi="Calibri" w:cs="Times New Roman"/>
          <w:noProof/>
          <w:lang w:val="en-US"/>
        </w:rPr>
        <w:t>(9), 2260–2274. https://doi.org/10.1111/mec.12739</w:t>
      </w:r>
    </w:p>
    <w:p w14:paraId="7555357A" w14:textId="6277363E" w:rsidR="00973D01" w:rsidRDefault="00973D01" w:rsidP="00181E47">
      <w:pPr>
        <w:widowControl w:val="0"/>
        <w:autoSpaceDE w:val="0"/>
        <w:autoSpaceDN w:val="0"/>
        <w:adjustRightInd w:val="0"/>
        <w:ind w:left="480" w:hanging="480"/>
      </w:pPr>
      <w:r>
        <w:fldChar w:fldCharType="end"/>
      </w:r>
    </w:p>
    <w:sectPr w:rsidR="00973D01"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264DDB"/>
    <w:multiLevelType w:val="hybridMultilevel"/>
    <w:tmpl w:val="1AAED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104C9"/>
    <w:rsid w:val="00060C8D"/>
    <w:rsid w:val="0008240A"/>
    <w:rsid w:val="000B0F84"/>
    <w:rsid w:val="000E46FE"/>
    <w:rsid w:val="00103192"/>
    <w:rsid w:val="00140D15"/>
    <w:rsid w:val="00181E47"/>
    <w:rsid w:val="00191855"/>
    <w:rsid w:val="001A3A9B"/>
    <w:rsid w:val="002114A7"/>
    <w:rsid w:val="00247449"/>
    <w:rsid w:val="00287AB7"/>
    <w:rsid w:val="0031294B"/>
    <w:rsid w:val="00314DC3"/>
    <w:rsid w:val="00326A27"/>
    <w:rsid w:val="00352379"/>
    <w:rsid w:val="0036552E"/>
    <w:rsid w:val="00374593"/>
    <w:rsid w:val="00392A59"/>
    <w:rsid w:val="003A006C"/>
    <w:rsid w:val="003B61D7"/>
    <w:rsid w:val="003D6CD2"/>
    <w:rsid w:val="003F105F"/>
    <w:rsid w:val="003F2AD4"/>
    <w:rsid w:val="004762D3"/>
    <w:rsid w:val="004863A9"/>
    <w:rsid w:val="004864FB"/>
    <w:rsid w:val="004B5005"/>
    <w:rsid w:val="004C2E95"/>
    <w:rsid w:val="004E1D73"/>
    <w:rsid w:val="004F1438"/>
    <w:rsid w:val="00500F98"/>
    <w:rsid w:val="00511661"/>
    <w:rsid w:val="005155B5"/>
    <w:rsid w:val="00531F7F"/>
    <w:rsid w:val="006524CC"/>
    <w:rsid w:val="00674066"/>
    <w:rsid w:val="006A12E9"/>
    <w:rsid w:val="00715B7B"/>
    <w:rsid w:val="007574D4"/>
    <w:rsid w:val="007660B4"/>
    <w:rsid w:val="007730E7"/>
    <w:rsid w:val="00773497"/>
    <w:rsid w:val="00776274"/>
    <w:rsid w:val="007805F8"/>
    <w:rsid w:val="007877CC"/>
    <w:rsid w:val="00796127"/>
    <w:rsid w:val="007A7870"/>
    <w:rsid w:val="007B60A6"/>
    <w:rsid w:val="008049BE"/>
    <w:rsid w:val="008211C0"/>
    <w:rsid w:val="008803AD"/>
    <w:rsid w:val="008A44EA"/>
    <w:rsid w:val="008F6434"/>
    <w:rsid w:val="00902E0E"/>
    <w:rsid w:val="00903E33"/>
    <w:rsid w:val="009076E4"/>
    <w:rsid w:val="0092669D"/>
    <w:rsid w:val="00950E6A"/>
    <w:rsid w:val="00973D01"/>
    <w:rsid w:val="00975B94"/>
    <w:rsid w:val="0098799B"/>
    <w:rsid w:val="009A303A"/>
    <w:rsid w:val="009B6514"/>
    <w:rsid w:val="00A061AC"/>
    <w:rsid w:val="00A902EE"/>
    <w:rsid w:val="00A97CFF"/>
    <w:rsid w:val="00A97D85"/>
    <w:rsid w:val="00AC4032"/>
    <w:rsid w:val="00AF7B37"/>
    <w:rsid w:val="00B16DF0"/>
    <w:rsid w:val="00B909DC"/>
    <w:rsid w:val="00B92424"/>
    <w:rsid w:val="00BA62E9"/>
    <w:rsid w:val="00BD36A5"/>
    <w:rsid w:val="00BE408E"/>
    <w:rsid w:val="00BF6FDB"/>
    <w:rsid w:val="00C10BF8"/>
    <w:rsid w:val="00C46E3F"/>
    <w:rsid w:val="00CB335A"/>
    <w:rsid w:val="00CC2A97"/>
    <w:rsid w:val="00CF52D6"/>
    <w:rsid w:val="00D16011"/>
    <w:rsid w:val="00D26004"/>
    <w:rsid w:val="00D76E6E"/>
    <w:rsid w:val="00DB482F"/>
    <w:rsid w:val="00DB6EB4"/>
    <w:rsid w:val="00DC528E"/>
    <w:rsid w:val="00E1565B"/>
    <w:rsid w:val="00E15A2F"/>
    <w:rsid w:val="00E521DC"/>
    <w:rsid w:val="00E55AF2"/>
    <w:rsid w:val="00E566E6"/>
    <w:rsid w:val="00EC06C6"/>
    <w:rsid w:val="00EC1979"/>
    <w:rsid w:val="00ED1C35"/>
    <w:rsid w:val="00ED3A4B"/>
    <w:rsid w:val="00F27FDF"/>
    <w:rsid w:val="00F42139"/>
    <w:rsid w:val="00F45EA0"/>
    <w:rsid w:val="00F60544"/>
    <w:rsid w:val="00F75421"/>
    <w:rsid w:val="00FB68F3"/>
    <w:rsid w:val="00FD31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2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27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2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7627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42C93-B337-174B-BD7A-66EA6F393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10</Pages>
  <Words>10221</Words>
  <Characters>78607</Characters>
  <Application>Microsoft Office Word</Application>
  <DocSecurity>0</DocSecurity>
  <Lines>1191</Lines>
  <Paragraphs>441</Paragraphs>
  <ScaleCrop>false</ScaleCrop>
  <Company/>
  <LinksUpToDate>false</LinksUpToDate>
  <CharactersWithSpaces>88387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22</cp:revision>
  <dcterms:created xsi:type="dcterms:W3CDTF">2021-01-15T07:17:00Z</dcterms:created>
  <dcterms:modified xsi:type="dcterms:W3CDTF">2021-01-15T17:13:00Z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