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6056D610" w:rsidR="00973D01" w:rsidRPr="00E1565B" w:rsidRDefault="008803AD" w:rsidP="00E1565B">
      <w:pPr>
        <w:jc w:val="center"/>
        <w:rPr>
          <w:sz w:val="36"/>
        </w:rPr>
      </w:pPr>
      <w:r w:rsidRPr="00E1565B">
        <w:rPr>
          <w:sz w:val="36"/>
        </w:rPr>
        <w:t xml:space="preserve">Year One </w:t>
      </w:r>
      <w:r w:rsidR="001A3A9B" w:rsidRPr="00E1565B">
        <w:rPr>
          <w:sz w:val="36"/>
        </w:rPr>
        <w:t xml:space="preserve">Progression </w:t>
      </w:r>
      <w:r w:rsidR="00973D01" w:rsidRPr="00E1565B">
        <w:rPr>
          <w:sz w:val="36"/>
        </w:rPr>
        <w:t>Report</w:t>
      </w:r>
      <w:r w:rsidRPr="00E1565B">
        <w:rPr>
          <w:sz w:val="36"/>
        </w:rPr>
        <w:t xml:space="preserve"> 2021</w:t>
      </w:r>
    </w:p>
    <w:p w14:paraId="443850C0" w14:textId="3F7EB49C" w:rsidR="008803AD" w:rsidRPr="00E1565B" w:rsidRDefault="008803AD" w:rsidP="00E1565B">
      <w:pPr>
        <w:jc w:val="center"/>
        <w:rPr>
          <w:sz w:val="36"/>
        </w:rPr>
      </w:pPr>
    </w:p>
    <w:p w14:paraId="7AE39CDC" w14:textId="37D6E14E" w:rsidR="008803AD" w:rsidRPr="00E1565B" w:rsidRDefault="008803AD" w:rsidP="00E1565B">
      <w:pPr>
        <w:jc w:val="center"/>
        <w:rPr>
          <w:sz w:val="36"/>
        </w:rPr>
      </w:pPr>
      <w:r w:rsidRPr="00E1565B">
        <w:rPr>
          <w:sz w:val="36"/>
        </w:rPr>
        <w:t>Amy Solman</w:t>
      </w:r>
    </w:p>
    <w:p w14:paraId="38F8A92E" w14:textId="4A7FB2F8" w:rsidR="00140D15" w:rsidRDefault="00140D15" w:rsidP="00140D15"/>
    <w:p w14:paraId="0639EF21" w14:textId="794EE9B7" w:rsidR="005D32D0" w:rsidRDefault="001A3A9B" w:rsidP="00776274">
      <w:pPr>
        <w:pStyle w:val="Heading1"/>
      </w:pPr>
      <w:r>
        <w:t>Method</w:t>
      </w:r>
    </w:p>
    <w:p w14:paraId="63690EAF" w14:textId="50653D7E" w:rsidR="00F60544" w:rsidRDefault="00F60544" w:rsidP="00F60544"/>
    <w:p w14:paraId="56F4F685" w14:textId="015EADE1" w:rsidR="00F60544" w:rsidRPr="00F60544" w:rsidRDefault="00F60544" w:rsidP="00F60544">
      <w:pPr>
        <w:pStyle w:val="Heading2"/>
      </w:pPr>
      <w:r>
        <w:t xml:space="preserve">1 Gantt Chat </w:t>
      </w:r>
    </w:p>
    <w:p w14:paraId="0D317D3B" w14:textId="26AEE5CB" w:rsidR="00B909DC" w:rsidRDefault="00B909DC" w:rsidP="00B909DC"/>
    <w:p w14:paraId="7BD36ECF" w14:textId="4A618573" w:rsidR="00F60544" w:rsidRDefault="00314DC3" w:rsidP="00F60544">
      <w:r w:rsidRPr="00314DC3">
        <w:rPr>
          <w:noProof/>
        </w:rPr>
        <w:drawing>
          <wp:inline distT="0" distB="0" distL="0" distR="0" wp14:anchorId="1A496C3D" wp14:editId="0269C05E">
            <wp:extent cx="5727700" cy="67265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6726555"/>
                    </a:xfrm>
                    <a:prstGeom prst="rect">
                      <a:avLst/>
                    </a:prstGeom>
                  </pic:spPr>
                </pic:pic>
              </a:graphicData>
            </a:graphic>
          </wp:inline>
        </w:drawing>
      </w:r>
    </w:p>
    <w:p w14:paraId="2B5711AC" w14:textId="464DCE26" w:rsidR="00AF7B37" w:rsidRDefault="00AF7B37" w:rsidP="006467DC"/>
    <w:p w14:paraId="31EA5967" w14:textId="0E941D7F" w:rsidR="00AF7B37" w:rsidRDefault="00AF7B37" w:rsidP="00AF7B37">
      <w:r>
        <w:t>Conferences:</w:t>
      </w:r>
    </w:p>
    <w:p w14:paraId="633C3999" w14:textId="187A7FB8" w:rsidR="00AF7B37" w:rsidRDefault="00AF7B37" w:rsidP="00AF7B37"/>
    <w:p w14:paraId="2E828738" w14:textId="443A99B1" w:rsidR="00AF7B37" w:rsidRDefault="008A44EA" w:rsidP="008A44EA">
      <w:pPr>
        <w:pStyle w:val="ListParagraph"/>
        <w:numPr>
          <w:ilvl w:val="0"/>
          <w:numId w:val="1"/>
        </w:numPr>
      </w:pPr>
      <w:r>
        <w:t>Arctic Science Summit Week (</w:t>
      </w:r>
      <w:r w:rsidR="00AF7B37">
        <w:t>ASSW</w:t>
      </w:r>
      <w:r>
        <w:t xml:space="preserve">) </w:t>
      </w:r>
      <w:r w:rsidR="00AF7B37">
        <w:t>2021 Science Symposium</w:t>
      </w:r>
      <w:r>
        <w:t xml:space="preserve"> 20</w:t>
      </w:r>
      <w:r w:rsidRPr="008A44EA">
        <w:rPr>
          <w:vertAlign w:val="superscript"/>
        </w:rPr>
        <w:t>th</w:t>
      </w:r>
      <w:r>
        <w:t>-26</w:t>
      </w:r>
      <w:r w:rsidRPr="008A44EA">
        <w:rPr>
          <w:vertAlign w:val="superscript"/>
        </w:rPr>
        <w:t>th</w:t>
      </w:r>
      <w:r>
        <w:t xml:space="preserve"> March 2021 (Online) – Early Bird registration January 2021 – 28</w:t>
      </w:r>
      <w:r w:rsidRPr="008A44EA">
        <w:rPr>
          <w:vertAlign w:val="superscript"/>
        </w:rPr>
        <w:t>th</w:t>
      </w:r>
      <w:r>
        <w:t xml:space="preserve"> February 2021 (registration not open as of 14</w:t>
      </w:r>
      <w:r w:rsidRPr="008A44EA">
        <w:rPr>
          <w:vertAlign w:val="superscript"/>
        </w:rPr>
        <w:t>th</w:t>
      </w:r>
      <w:r>
        <w:t xml:space="preserve"> January 2021)</w:t>
      </w:r>
    </w:p>
    <w:p w14:paraId="7CA55516" w14:textId="2041AA33" w:rsidR="00AF7B37" w:rsidRDefault="008A44EA" w:rsidP="008A44EA">
      <w:pPr>
        <w:pStyle w:val="ListParagraph"/>
        <w:numPr>
          <w:ilvl w:val="0"/>
          <w:numId w:val="1"/>
        </w:numPr>
      </w:pPr>
      <w:r w:rsidRPr="008A44EA">
        <w:t>Astrobiology Science Conference</w:t>
      </w:r>
      <w:r>
        <w:t xml:space="preserve"> (</w:t>
      </w:r>
      <w:proofErr w:type="spellStart"/>
      <w:r w:rsidR="00AF7B37">
        <w:t>AbSciCon</w:t>
      </w:r>
      <w:proofErr w:type="spellEnd"/>
      <w:r w:rsidR="00AF7B37">
        <w:t xml:space="preserve"> 2022</w:t>
      </w:r>
      <w:r>
        <w:t>) 15</w:t>
      </w:r>
      <w:r w:rsidRPr="008A44EA">
        <w:rPr>
          <w:vertAlign w:val="superscript"/>
        </w:rPr>
        <w:t>th</w:t>
      </w:r>
      <w:r>
        <w:t xml:space="preserve"> May-20</w:t>
      </w:r>
      <w:r w:rsidRPr="008A44EA">
        <w:rPr>
          <w:vertAlign w:val="superscript"/>
        </w:rPr>
        <w:t>th</w:t>
      </w:r>
      <w:r>
        <w:t xml:space="preserve"> May 2022, Atlanta GA, USA – Abstract submissions November 2021 - January 2022</w:t>
      </w:r>
      <w:r w:rsidR="00314DC3">
        <w:t xml:space="preserve">. No registration deadline given by likely April 2022. No registration costs given but likely $245 (£179) as per </w:t>
      </w:r>
      <w:proofErr w:type="spellStart"/>
      <w:r w:rsidR="00314DC3">
        <w:t>AbSciCon</w:t>
      </w:r>
      <w:proofErr w:type="spellEnd"/>
      <w:r w:rsidR="00314DC3">
        <w:t xml:space="preserve"> 2019. </w:t>
      </w:r>
    </w:p>
    <w:p w14:paraId="3679EDC3" w14:textId="0E0CD474" w:rsidR="008A44EA" w:rsidRDefault="008A44EA" w:rsidP="008A44EA">
      <w:pPr>
        <w:pStyle w:val="ListParagraph"/>
        <w:numPr>
          <w:ilvl w:val="0"/>
          <w:numId w:val="1"/>
        </w:numPr>
      </w:pPr>
      <w:r>
        <w:t xml:space="preserve">Goldschmidt Conference July 2022, Chicago, IL, USA – Estimated abstract deadline February 2022. Estimated early bird registration deadline May 2022. Non-member student fee approximately </w:t>
      </w:r>
      <w:r>
        <w:rPr>
          <w:rFonts w:ascii="Calibri" w:hAnsi="Calibri"/>
        </w:rPr>
        <w:t>£340.</w:t>
      </w:r>
      <w:r w:rsidR="00314DC3">
        <w:rPr>
          <w:rFonts w:ascii="Calibri" w:hAnsi="Calibri"/>
        </w:rPr>
        <w:t xml:space="preserve"> </w:t>
      </w:r>
      <w:r w:rsidR="00314DC3">
        <w:rPr>
          <w:b/>
        </w:rPr>
        <w:t xml:space="preserve">Present </w:t>
      </w:r>
      <w:r w:rsidR="00314DC3" w:rsidRPr="00314DC3">
        <w:rPr>
          <w:b/>
        </w:rPr>
        <w:t>metadata/archive</w:t>
      </w:r>
      <w:r w:rsidR="00314DC3">
        <w:rPr>
          <w:b/>
        </w:rPr>
        <w:t xml:space="preserve">/spring </w:t>
      </w:r>
      <w:proofErr w:type="spellStart"/>
      <w:r w:rsidR="00314DC3">
        <w:rPr>
          <w:b/>
        </w:rPr>
        <w:t>Foxfonna</w:t>
      </w:r>
      <w:proofErr w:type="spellEnd"/>
      <w:r w:rsidR="00314DC3">
        <w:rPr>
          <w:b/>
        </w:rPr>
        <w:t xml:space="preserve"> results</w:t>
      </w:r>
    </w:p>
    <w:p w14:paraId="5EBF1B8B" w14:textId="3C4B649B" w:rsidR="00AF7B37" w:rsidRPr="00314DC3" w:rsidRDefault="008A44EA" w:rsidP="008A44EA">
      <w:pPr>
        <w:pStyle w:val="ListParagraph"/>
        <w:numPr>
          <w:ilvl w:val="0"/>
          <w:numId w:val="1"/>
        </w:numPr>
        <w:rPr>
          <w:rFonts w:ascii="Times New Roman" w:eastAsia="Times New Roman" w:hAnsi="Times New Roman" w:cs="Times New Roman"/>
        </w:rPr>
      </w:pPr>
      <w:r w:rsidRPr="008A44EA">
        <w:rPr>
          <w:rFonts w:eastAsia="Times New Roman" w:cs="Times New Roman"/>
        </w:rPr>
        <w:t>18th International Symposium on Microbial Ecology</w:t>
      </w:r>
      <w:r>
        <w:rPr>
          <w:rFonts w:ascii="Times New Roman" w:eastAsia="Times New Roman" w:hAnsi="Times New Roman" w:cs="Times New Roman"/>
        </w:rPr>
        <w:t xml:space="preserve"> (</w:t>
      </w:r>
      <w:r w:rsidR="00AF7B37">
        <w:t>ISME18</w:t>
      </w:r>
      <w:r>
        <w:t>)</w:t>
      </w:r>
      <w:r w:rsidR="00AF7B37">
        <w:t xml:space="preserve"> 2022</w:t>
      </w:r>
      <w:r w:rsidR="00E566E6">
        <w:t xml:space="preserve"> </w:t>
      </w:r>
      <w:r>
        <w:t>21</w:t>
      </w:r>
      <w:r w:rsidRPr="008A44EA">
        <w:rPr>
          <w:vertAlign w:val="superscript"/>
        </w:rPr>
        <w:t>st</w:t>
      </w:r>
      <w:r>
        <w:t xml:space="preserve"> August 2022, Cape Town, South Africa </w:t>
      </w:r>
      <w:r w:rsidR="00E566E6">
        <w:t xml:space="preserve">– </w:t>
      </w:r>
      <w:r>
        <w:t>Abstract submission dates not announced</w:t>
      </w:r>
      <w:r w:rsidR="00314DC3">
        <w:t xml:space="preserve"> but likely March as per ISME17</w:t>
      </w:r>
      <w:r>
        <w:t>. Early bird student non-member fee R 8 500 (£412)</w:t>
      </w:r>
      <w:r w:rsidR="00314DC3">
        <w:t xml:space="preserve">, deadline likely June 2022. </w:t>
      </w:r>
      <w:r w:rsidR="00314DC3">
        <w:rPr>
          <w:b/>
        </w:rPr>
        <w:t xml:space="preserve">Present </w:t>
      </w:r>
      <w:r w:rsidR="00314DC3" w:rsidRPr="00314DC3">
        <w:rPr>
          <w:b/>
        </w:rPr>
        <w:t>metadata/archive</w:t>
      </w:r>
      <w:r w:rsidR="00314DC3">
        <w:rPr>
          <w:b/>
        </w:rPr>
        <w:t xml:space="preserve">/spring </w:t>
      </w:r>
      <w:proofErr w:type="spellStart"/>
      <w:r w:rsidR="00314DC3">
        <w:rPr>
          <w:b/>
        </w:rPr>
        <w:t>Foxfonna</w:t>
      </w:r>
      <w:proofErr w:type="spellEnd"/>
      <w:r w:rsidR="00314DC3">
        <w:rPr>
          <w:b/>
        </w:rPr>
        <w:t xml:space="preserve"> results</w:t>
      </w:r>
    </w:p>
    <w:p w14:paraId="64D187B0" w14:textId="6AB31370" w:rsidR="00314DC3" w:rsidRPr="00314DC3" w:rsidRDefault="00314DC3" w:rsidP="00314DC3">
      <w:pPr>
        <w:pStyle w:val="ListParagraph"/>
        <w:numPr>
          <w:ilvl w:val="0"/>
          <w:numId w:val="1"/>
        </w:numPr>
      </w:pPr>
      <w:r w:rsidRPr="008A44EA">
        <w:t xml:space="preserve">International Conference on Polar Microbiology and Ecology </w:t>
      </w:r>
      <w:r>
        <w:t>(ICPME) 24</w:t>
      </w:r>
      <w:r w:rsidRPr="008A44EA">
        <w:rPr>
          <w:vertAlign w:val="superscript"/>
        </w:rPr>
        <w:t>th</w:t>
      </w:r>
      <w:r>
        <w:t>-25</w:t>
      </w:r>
      <w:r w:rsidRPr="008A44EA">
        <w:rPr>
          <w:vertAlign w:val="superscript"/>
        </w:rPr>
        <w:t>th</w:t>
      </w:r>
      <w:r>
        <w:t xml:space="preserve"> June 2023, </w:t>
      </w:r>
      <w:proofErr w:type="gramStart"/>
      <w:r>
        <w:t>Oslo,  Norway</w:t>
      </w:r>
      <w:proofErr w:type="gramEnd"/>
      <w:r>
        <w:t xml:space="preserve"> – Abstract submission deadline 13</w:t>
      </w:r>
      <w:r w:rsidRPr="008A44EA">
        <w:rPr>
          <w:vertAlign w:val="superscript"/>
        </w:rPr>
        <w:t>th</w:t>
      </w:r>
      <w:r>
        <w:t xml:space="preserve"> February 2022. Registration deadline 24</w:t>
      </w:r>
      <w:r w:rsidRPr="008A44EA">
        <w:rPr>
          <w:vertAlign w:val="superscript"/>
        </w:rPr>
        <w:t>th</w:t>
      </w:r>
      <w:r>
        <w:t xml:space="preserve"> May 2023. Student oral/poster presenter registration </w:t>
      </w:r>
      <w:r>
        <w:rPr>
          <w:rFonts w:ascii="Calibri" w:hAnsi="Calibri"/>
        </w:rPr>
        <w:t>€</w:t>
      </w:r>
      <w:r>
        <w:t xml:space="preserve">350 (£311). </w:t>
      </w:r>
      <w:r>
        <w:rPr>
          <w:b/>
        </w:rPr>
        <w:t xml:space="preserve">Present </w:t>
      </w:r>
      <w:r w:rsidRPr="00314DC3">
        <w:rPr>
          <w:b/>
        </w:rPr>
        <w:t>metadata/archive</w:t>
      </w:r>
      <w:r>
        <w:rPr>
          <w:b/>
        </w:rPr>
        <w:t xml:space="preserve">/spring </w:t>
      </w:r>
      <w:proofErr w:type="spellStart"/>
      <w:r>
        <w:rPr>
          <w:b/>
        </w:rPr>
        <w:t>Foxfonna</w:t>
      </w:r>
      <w:proofErr w:type="spellEnd"/>
      <w:r>
        <w:rPr>
          <w:b/>
        </w:rPr>
        <w:t xml:space="preserve"> results</w:t>
      </w:r>
    </w:p>
    <w:p w14:paraId="6B5070B7" w14:textId="74F7A7D9" w:rsidR="00AF7B37" w:rsidRDefault="00AF7B37" w:rsidP="008A44EA">
      <w:pPr>
        <w:pStyle w:val="ListParagraph"/>
        <w:numPr>
          <w:ilvl w:val="0"/>
          <w:numId w:val="1"/>
        </w:numPr>
      </w:pPr>
      <w:r>
        <w:t>Goldschmi</w:t>
      </w:r>
      <w:r w:rsidR="008A44EA">
        <w:t>d</w:t>
      </w:r>
      <w:r>
        <w:t xml:space="preserve">t Conference </w:t>
      </w:r>
      <w:r w:rsidR="008A44EA">
        <w:t>9</w:t>
      </w:r>
      <w:r w:rsidR="008A44EA" w:rsidRPr="008A44EA">
        <w:rPr>
          <w:vertAlign w:val="superscript"/>
        </w:rPr>
        <w:t>th</w:t>
      </w:r>
      <w:r w:rsidR="008A44EA">
        <w:t xml:space="preserve"> – 14</w:t>
      </w:r>
      <w:r w:rsidR="008A44EA" w:rsidRPr="008A44EA">
        <w:rPr>
          <w:vertAlign w:val="superscript"/>
        </w:rPr>
        <w:t>th</w:t>
      </w:r>
      <w:r w:rsidR="008A44EA">
        <w:t xml:space="preserve"> July 2023, Prague, Czech Republic </w:t>
      </w:r>
      <w:r w:rsidR="00E566E6">
        <w:t xml:space="preserve">– </w:t>
      </w:r>
      <w:r w:rsidR="008A44EA">
        <w:t>Estimated abstract deadline February 2023. Estimated early bird registration deadline May 2023.</w:t>
      </w:r>
      <w:r w:rsidR="00314DC3">
        <w:t xml:space="preserve"> </w:t>
      </w:r>
      <w:r w:rsidR="00314DC3" w:rsidRPr="00314DC3">
        <w:rPr>
          <w:b/>
        </w:rPr>
        <w:t xml:space="preserve">Present summer </w:t>
      </w:r>
      <w:proofErr w:type="spellStart"/>
      <w:r w:rsidR="00314DC3" w:rsidRPr="00314DC3">
        <w:rPr>
          <w:b/>
        </w:rPr>
        <w:t>Foxfonna</w:t>
      </w:r>
      <w:proofErr w:type="spellEnd"/>
      <w:r w:rsidR="00314DC3" w:rsidRPr="00314DC3">
        <w:rPr>
          <w:b/>
        </w:rPr>
        <w:t xml:space="preserve"> results.</w:t>
      </w:r>
    </w:p>
    <w:p w14:paraId="27603F7E" w14:textId="77777777" w:rsidR="00AF7B37" w:rsidRPr="00AF7B37" w:rsidRDefault="00AF7B37" w:rsidP="00AF7B37"/>
    <w:p w14:paraId="4F1E46BC" w14:textId="46183FDE" w:rsidR="00B909DC" w:rsidRDefault="00F60544" w:rsidP="00B909DC">
      <w:pPr>
        <w:pStyle w:val="Heading2"/>
      </w:pPr>
      <w:r>
        <w:t>2</w:t>
      </w:r>
      <w:r w:rsidR="00B909DC">
        <w:t xml:space="preserve"> Cryoconite metadata analysis</w:t>
      </w:r>
    </w:p>
    <w:p w14:paraId="0CAE613C" w14:textId="18D50547" w:rsidR="004F1438" w:rsidRDefault="004F1438" w:rsidP="004F1438"/>
    <w:p w14:paraId="3F383D66" w14:textId="23F109F0" w:rsidR="004F1438" w:rsidRDefault="00F60544" w:rsidP="007805F8">
      <w:pPr>
        <w:pStyle w:val="Heading3"/>
      </w:pPr>
      <w:r>
        <w:t>2</w:t>
      </w:r>
      <w:r w:rsidR="004F1438">
        <w:t>.1 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1D47A122" w:rsidR="004F1438" w:rsidRDefault="00F60544" w:rsidP="007805F8">
      <w:pPr>
        <w:pStyle w:val="Heading3"/>
      </w:pPr>
      <w:r>
        <w:t>2</w:t>
      </w:r>
      <w:r w:rsidR="004F1438">
        <w:t>.2 Bioinformatic analysis</w:t>
      </w:r>
    </w:p>
    <w:p w14:paraId="7A1000EA" w14:textId="77777777" w:rsidR="004F1438" w:rsidRDefault="004F1438" w:rsidP="004F1438"/>
    <w:p w14:paraId="53000E49" w14:textId="13473A09" w:rsidR="004F1438" w:rsidRDefault="00F60544" w:rsidP="004F1438">
      <w:pPr>
        <w:pStyle w:val="Heading3"/>
      </w:pPr>
      <w:r>
        <w:t>2</w:t>
      </w:r>
      <w:r w:rsidR="004F1438">
        <w:t>.</w:t>
      </w:r>
      <w:r w:rsidR="007805F8">
        <w:t>2.1</w:t>
      </w:r>
      <w:r w:rsidR="004F1438">
        <w:t xml:space="preserve"> Classification of ASVs and ecological functions</w:t>
      </w:r>
    </w:p>
    <w:p w14:paraId="764FCDC9" w14:textId="6E968A48" w:rsidR="004F1438" w:rsidRDefault="004F1438" w:rsidP="004F1438"/>
    <w:p w14:paraId="5465D90F" w14:textId="7F00FA41" w:rsidR="00ED1C35" w:rsidRDefault="004F1438" w:rsidP="004F1438">
      <w:r>
        <w:t xml:space="preserve">Where raw reads are available </w:t>
      </w:r>
      <w:r w:rsidR="00CB335A">
        <w:t xml:space="preserve">from previous studies, </w:t>
      </w:r>
      <w:r>
        <w:t>QIIME2 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use in future studies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2D9F92AB" w14:textId="77777777" w:rsidR="00CB335A" w:rsidRDefault="00ED1C35" w:rsidP="004F1438">
      <w:r>
        <w:t xml:space="preserve">  </w:t>
      </w:r>
      <w:r w:rsidR="00CB335A">
        <w:t xml:space="preserve">QIIME2 will be used with </w:t>
      </w:r>
      <w:r w:rsidR="004F1438">
        <w:t>Divisive Amplicon Denoising Algorithm 2 (DADA2)</w:t>
      </w:r>
      <w:r w:rsidR="00CB335A">
        <w:t xml:space="preserve"> and ASVs will be classified against the </w:t>
      </w:r>
      <w:r w:rsidR="004F1438">
        <w:t>Silva rRNA database.</w:t>
      </w:r>
      <w:r w:rsidR="00CB335A">
        <w:t xml:space="preserve"> </w:t>
      </w:r>
      <w:r w:rsidR="004F1438">
        <w:t xml:space="preserve">Alpha diversity indices </w:t>
      </w:r>
      <w:r w:rsidR="00CB335A">
        <w:t>(</w:t>
      </w:r>
      <w:r w:rsidR="004F1438">
        <w:t xml:space="preserve">Faith’s phylogenetic diversity (PD), Shannon’s diversity index, Chao1 and </w:t>
      </w:r>
      <w:proofErr w:type="spellStart"/>
      <w:r w:rsidR="004F1438">
        <w:t>Pielou’s</w:t>
      </w:r>
      <w:proofErr w:type="spellEnd"/>
      <w:r w:rsidR="004F1438">
        <w:t xml:space="preserve"> evenness index</w:t>
      </w:r>
      <w:r w:rsidR="00CB335A">
        <w:t>)</w:t>
      </w:r>
      <w:r w:rsidR="004F1438">
        <w:t xml:space="preserve"> will be calculated for each sample so I can use multiple indices for community comparison.</w:t>
      </w:r>
    </w:p>
    <w:p w14:paraId="72059F07" w14:textId="6CB4B70F" w:rsidR="00CB335A" w:rsidRDefault="00CB335A" w:rsidP="004F1438">
      <w:r>
        <w:lastRenderedPageBreak/>
        <w:t xml:space="preserve">  If </w:t>
      </w:r>
      <w:proofErr w:type="gramStart"/>
      <w:r>
        <w:t>not</w:t>
      </w:r>
      <w:proofErr w:type="gramEnd"/>
      <w:r>
        <w:t xml:space="preserve"> all data is available as raw reads the proceeding analysis will take two stages: 1) analysis and comparison of all datasets using original OTU form, 2) ASV re-classification for raw-read datasets, analysis and comparison of ASV datasets only.</w:t>
      </w:r>
    </w:p>
    <w:p w14:paraId="398189BF" w14:textId="4D4BE46C" w:rsidR="004F1438" w:rsidRDefault="004F1438" w:rsidP="004F1438">
      <w:r>
        <w:t xml:space="preserve">  The functional annotation of prokaryotic taxa database (FAPROTAX) </w:t>
      </w:r>
      <w:r w:rsidR="00CB335A">
        <w:t xml:space="preserve">is a database that maps prokaryotic clades to metabolic functions </w:t>
      </w:r>
      <w:r w:rsidR="00CB335A">
        <w:fldChar w:fldCharType="begin" w:fldLock="1"/>
      </w:r>
      <w:r w:rsidR="0008240A">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communities","type":"article-journal","volume":"1"},"uris":["http://www.mendeley.com/documents/?uuid=70c2505e-e6ea-4c63-8f57-80cfa166e4bc"]}],"mendeley":{"formattedCitation":"(Louca et al., 2017)","plainTextFormattedCitation":"(Louca et al., 2017)","previouslyFormattedCitation":"(Louca et al., 2017)"},"properties":{"noteIndex":0},"schema":"https://github.com/citation-style-language/schema/raw/master/csl-citation.json"}</w:instrText>
      </w:r>
      <w:r w:rsidR="00CB335A">
        <w:fldChar w:fldCharType="separate"/>
      </w:r>
      <w:r w:rsidR="00CB335A" w:rsidRPr="00CB335A">
        <w:rPr>
          <w:noProof/>
        </w:rPr>
        <w:t>(Louca et al., 2017)</w:t>
      </w:r>
      <w:r w:rsidR="00CB335A">
        <w:fldChar w:fldCharType="end"/>
      </w:r>
      <w:r w:rsidR="00CB335A">
        <w:t>. It will be used to predict the ecological functions of the cryoconite prokaryotic communities and offers a cheaper alternative environmental shotgun sequencing.</w:t>
      </w:r>
    </w:p>
    <w:p w14:paraId="398E4665" w14:textId="77777777" w:rsidR="004F1438" w:rsidRDefault="004F1438" w:rsidP="004F1438"/>
    <w:p w14:paraId="222F5AA6" w14:textId="4F64E407" w:rsidR="004F1438" w:rsidRDefault="00F60544" w:rsidP="004F1438">
      <w:pPr>
        <w:pStyle w:val="Heading3"/>
      </w:pPr>
      <w:r>
        <w:t>2</w:t>
      </w:r>
      <w:r w:rsidR="007805F8">
        <w:t xml:space="preserve">.2.2 </w:t>
      </w:r>
      <w:r w:rsidR="004F1438">
        <w:t xml:space="preserve">Quantification of abundant and rare taxa </w:t>
      </w:r>
    </w:p>
    <w:p w14:paraId="0DB55080" w14:textId="77777777" w:rsidR="004F1438" w:rsidRDefault="004F1438" w:rsidP="004F1438"/>
    <w:p w14:paraId="7FDDE8D5" w14:textId="0320A893" w:rsidR="004F1438" w:rsidRDefault="004762D3" w:rsidP="004F1438">
      <w:r>
        <w:t>In addition to re-classification of OTUs into ASVs, I will also use the novel approach of analysing the geographic patterns and community assembly mechanisms using total, abundance and rare communities</w:t>
      </w:r>
      <w:r w:rsidR="000E46FE">
        <w:t xml:space="preserve">. </w:t>
      </w:r>
      <w:r w:rsidR="004F1438">
        <w:t>Differentiating between abundant and rare taxa is necessary as they can exhibit different biogeographic patterns</w:t>
      </w:r>
      <w:r w:rsidR="0008240A">
        <w:t xml:space="preserve"> and difference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6F0D854E" w:rsidR="004F1438" w:rsidRDefault="00F60544" w:rsidP="004F1438">
      <w:pPr>
        <w:pStyle w:val="Heading3"/>
      </w:pPr>
      <w:r>
        <w:t>2</w:t>
      </w:r>
      <w:r w:rsidR="007805F8">
        <w:t xml:space="preserve">.2.3 </w:t>
      </w:r>
      <w:r w:rsidR="004F1438">
        <w:t>Differences between communities and environmental factors</w:t>
      </w:r>
    </w:p>
    <w:p w14:paraId="35767998" w14:textId="77777777" w:rsidR="004F1438" w:rsidRDefault="004F1438" w:rsidP="004F1438"/>
    <w:p w14:paraId="7577DAB3" w14:textId="169C4D04" w:rsidR="004F1438" w:rsidRDefault="004F1438" w:rsidP="004F1438">
      <w:r>
        <w:t xml:space="preserve">I will use </w:t>
      </w:r>
      <w:r w:rsidR="0008240A">
        <w:t xml:space="preserve">the </w:t>
      </w:r>
      <w:r>
        <w:t xml:space="preserve">Mann-Whitney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correlation analysis will be performed on microbial community abundances and spatial/environmental characteristics. Coefficient of variation will be used to illustrate of abundance heterogeneity across datasets. </w:t>
      </w:r>
    </w:p>
    <w:p w14:paraId="7814D16B" w14:textId="77777777" w:rsidR="004F1438" w:rsidRDefault="004F1438" w:rsidP="004F1438"/>
    <w:p w14:paraId="51B2EBA8" w14:textId="0187053C" w:rsidR="004F1438" w:rsidRPr="00DB6EB4" w:rsidRDefault="00F60544" w:rsidP="004F1438">
      <w:pPr>
        <w:pStyle w:val="Heading3"/>
      </w:pPr>
      <w:r>
        <w:t>2</w:t>
      </w:r>
      <w:r w:rsidR="007805F8">
        <w:t xml:space="preserve">.2.4 </w:t>
      </w:r>
      <w:r w:rsidR="004F1438">
        <w:t xml:space="preserve">Geographic Analysis </w:t>
      </w:r>
    </w:p>
    <w:p w14:paraId="2DD16289" w14:textId="77777777" w:rsidR="004F1438" w:rsidRDefault="004F1438" w:rsidP="004F1438"/>
    <w:p w14:paraId="54BDF64A" w14:textId="683BBF25" w:rsidR="004F1438" w:rsidRDefault="00F60544" w:rsidP="00E15A2F">
      <w:pPr>
        <w:pStyle w:val="Heading4"/>
      </w:pPr>
      <w:r>
        <w:t>2</w:t>
      </w:r>
      <w:r w:rsidR="007805F8">
        <w:t>.2.</w:t>
      </w:r>
      <w:r w:rsidR="00E15A2F">
        <w:t>4.1</w:t>
      </w:r>
      <w:r w:rsidR="007805F8">
        <w:t xml:space="preserve"> </w:t>
      </w:r>
      <w:r w:rsidR="003A006C">
        <w:t>Island Species-Area Relationship (</w:t>
      </w:r>
      <w:r w:rsidR="004F1438">
        <w:t>ISAR</w:t>
      </w:r>
      <w:r w:rsidR="003A006C">
        <w:t>)</w:t>
      </w:r>
    </w:p>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130958EC" w:rsidR="00975B94" w:rsidRPr="00975B94" w:rsidRDefault="00F60544" w:rsidP="00374593">
      <w:pPr>
        <w:pStyle w:val="Heading4"/>
      </w:pPr>
      <w:r>
        <w:t>2</w:t>
      </w:r>
      <w:r w:rsidR="00E521DC">
        <w:t>.2.</w:t>
      </w:r>
      <w:r w:rsidR="00E15A2F">
        <w:t>4.2</w:t>
      </w:r>
      <w:r w:rsidR="00E521DC">
        <w:t xml:space="preserve"> </w:t>
      </w:r>
      <w:r w:rsidR="00374593">
        <w:t>Distance-Decay Relationship (</w:t>
      </w:r>
      <w:r w:rsidR="004F1438">
        <w:t>DDR</w:t>
      </w:r>
      <w:r w:rsidR="00374593">
        <w:t>)</w:t>
      </w:r>
    </w:p>
    <w:p w14:paraId="2B051A18" w14:textId="03E5D45B" w:rsidR="004F1438" w:rsidRPr="000104C9" w:rsidRDefault="00E55AF2" w:rsidP="004F1438">
      <w:r>
        <w:t>Using</w:t>
      </w:r>
      <w:r w:rsidR="004F1438">
        <w:t xml:space="preserve"> QIIME</w:t>
      </w:r>
      <w:r>
        <w:t>2</w:t>
      </w:r>
      <w:r w:rsidR="004F1438">
        <w:t xml:space="preserve"> I will use unweighted </w:t>
      </w:r>
      <w:proofErr w:type="spellStart"/>
      <w:r w:rsidR="004F1438">
        <w:t>UniFrac</w:t>
      </w:r>
      <w:proofErr w:type="spellEnd"/>
      <w:r w:rsidR="004F1438">
        <w:t xml:space="preserve"> distances to calculate pair-wise compositional dissimilarity between cryoconite samples</w:t>
      </w:r>
      <w:r>
        <w:t xml:space="preserve"> across all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p>
    <w:p w14:paraId="7DC6E262" w14:textId="77777777" w:rsidR="004F1438" w:rsidRDefault="004F1438" w:rsidP="004F1438"/>
    <w:p w14:paraId="41729566" w14:textId="7AC79196" w:rsidR="004F1438" w:rsidRDefault="00F60544" w:rsidP="000E46FE">
      <w:pPr>
        <w:pStyle w:val="Heading3"/>
      </w:pPr>
      <w:r>
        <w:lastRenderedPageBreak/>
        <w:t>2</w:t>
      </w:r>
      <w:r w:rsidR="00E521DC">
        <w:t>.2.</w:t>
      </w:r>
      <w:r w:rsidR="00BA62E9">
        <w:t>5</w:t>
      </w:r>
      <w:r w:rsidR="00E521DC">
        <w:t xml:space="preserve"> </w:t>
      </w:r>
      <w:r w:rsidR="00BA62E9">
        <w:t>Multivariate analysis to test for e</w:t>
      </w:r>
      <w:r w:rsidR="004F1438">
        <w:t>ffect of spatial and environmental factors</w:t>
      </w:r>
    </w:p>
    <w:p w14:paraId="6B8AB73E" w14:textId="77777777" w:rsidR="00975B94" w:rsidRDefault="004F1438" w:rsidP="004F1438">
      <w:r>
        <w:t xml:space="preserve">Canonical correlation analysis (CCA) will be used 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79A339A8" w14:textId="77777777" w:rsidR="007730E7" w:rsidRDefault="007730E7" w:rsidP="004F1438"/>
    <w:p w14:paraId="723F554D" w14:textId="094365C0" w:rsidR="00975B94" w:rsidRDefault="004F1438" w:rsidP="004F1438">
      <w:r>
        <w:t>Distance-based Moran’s eigenvector maps (</w:t>
      </w:r>
      <w:proofErr w:type="spellStart"/>
      <w:r>
        <w:t>dbMEM</w:t>
      </w:r>
      <w:proofErr w:type="spellEnd"/>
      <w:r>
        <w:t xml:space="preserve">) will be </w:t>
      </w:r>
      <w:r w:rsidR="00975B94">
        <w:t xml:space="preserve">used to generate spatial factors based on latitude and longitude coordinates. The </w:t>
      </w:r>
      <w:proofErr w:type="spellStart"/>
      <w:r w:rsidR="00975B94">
        <w:t>dbMEM</w:t>
      </w:r>
      <w:proofErr w:type="spellEnd"/>
      <w:r w:rsidR="00975B94">
        <w:t xml:space="preserve"> generated spatial factors will be used with environmental factors common to the datasets to perform CCA.    </w:t>
      </w:r>
    </w:p>
    <w:p w14:paraId="539EAE1C" w14:textId="77777777" w:rsidR="004F1438" w:rsidRDefault="004F1438" w:rsidP="004F1438"/>
    <w:p w14:paraId="4492B8BE" w14:textId="163AEB4C" w:rsidR="004F1438" w:rsidRDefault="004F1438" w:rsidP="00975B94">
      <w:r>
        <w:t>Variation partitioning analysis (VPA) will be using to assess the relative role of spatial and environmental factors in explaining community variation. This will indicate what percentage of community variation can be explained by spatial or environmental factors, as well as combined spatial and environmental factors, for total, abundance and rare communities.</w:t>
      </w:r>
      <w:r w:rsidR="00A902EE">
        <w:t xml:space="preserve"> This will be done in combination with a permutation for pure effects of spatial and environmental factors.</w:t>
      </w:r>
    </w:p>
    <w:p w14:paraId="4BC6180E" w14:textId="77777777" w:rsidR="004F1438" w:rsidRDefault="004F1438" w:rsidP="004F1438"/>
    <w:p w14:paraId="0995B26C" w14:textId="14A5E3CD" w:rsidR="004F1438" w:rsidRDefault="004F1438" w:rsidP="004F1438">
      <w:r>
        <w:t xml:space="preserve">Mantel tests will be used to verify the contributions of spatial and environmental factors on total, abundance and rare communities. Partial Mantel tests will be used to verify the contributions of spatial factors while controlling for environmental factors and vice versa for total, abundance and rare total and active communities. Mantel and partial mantel test results can be compared with VPA results to see if they are consistent with their interpretation of the relative contribution of spatial and environmental factors in shaping total and active microbial community assembly.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25665AB0" w:rsidR="004F1438" w:rsidRDefault="00F60544" w:rsidP="004F1438">
      <w:pPr>
        <w:pStyle w:val="Heading3"/>
      </w:pPr>
      <w:r>
        <w:t>2</w:t>
      </w:r>
      <w:r w:rsidR="00E521DC">
        <w:t>.2.</w:t>
      </w:r>
      <w:r w:rsidR="00BA62E9">
        <w:t>6</w:t>
      </w:r>
      <w:r w:rsidR="00E521DC">
        <w:t xml:space="preserve"> </w:t>
      </w:r>
      <w:r w:rsidR="004F1438">
        <w:t>Community assembly processes</w:t>
      </w:r>
    </w:p>
    <w:p w14:paraId="4879610F" w14:textId="77777777" w:rsidR="004F1438" w:rsidRDefault="004F1438" w:rsidP="004F1438"/>
    <w:p w14:paraId="6111FF42" w14:textId="796935A8"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30741255" w14:textId="77777777" w:rsidR="004F1438" w:rsidRDefault="004F1438" w:rsidP="004F1438"/>
    <w:p w14:paraId="6FF01AB9" w14:textId="77777777" w:rsidR="004F1438" w:rsidRDefault="004F1438" w:rsidP="004F1438">
      <w:r>
        <w:t xml:space="preserve">Within the framework of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or homogenous selection, whereby selective pressure leads to low compositional turnover. </w:t>
      </w:r>
      <w:r>
        <w:lastRenderedPageBreak/>
        <w:t xml:space="preserve">Stochastic processes include dispersal limitation, where low immigration rates lead to high compositional turnover, homogenizing dispersal, where high immigration rates lead to low compositional turnover, and drift, where random birth/death events lead to compositional turnover. </w:t>
      </w:r>
    </w:p>
    <w:p w14:paraId="693E0EDC" w14:textId="77777777" w:rsidR="004F1438" w:rsidRDefault="004F1438" w:rsidP="004F1438"/>
    <w:p w14:paraId="0CCCFE3E" w14:textId="7777777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3265173D" w14:textId="77777777" w:rsidR="004F1438" w:rsidRDefault="004F1438" w:rsidP="004F1438">
      <w:pPr>
        <w:rPr>
          <w:rFonts w:eastAsiaTheme="minorEastAsia"/>
        </w:rPr>
      </w:pPr>
    </w:p>
    <w:p w14:paraId="6B395C98" w14:textId="5C9B3AE4" w:rsidR="004F1438" w:rsidRDefault="00F60544" w:rsidP="004F1438">
      <w:pPr>
        <w:pStyle w:val="Heading3"/>
        <w:rPr>
          <w:rFonts w:eastAsiaTheme="minorEastAsia"/>
        </w:rPr>
      </w:pPr>
      <w:r>
        <w:t>2</w:t>
      </w:r>
      <w:r w:rsidR="00E521DC">
        <w:t>.2.</w:t>
      </w:r>
      <w:r w:rsidR="00BA62E9">
        <w:t>7</w:t>
      </w:r>
      <w:r w:rsidR="00E521DC">
        <w:t xml:space="preserve"> </w:t>
      </w:r>
      <w:r w:rsidR="004F1438">
        <w:rPr>
          <w:rFonts w:eastAsiaTheme="minorEastAsia"/>
        </w:rPr>
        <w:t>Co-occurrence network analysis</w:t>
      </w:r>
    </w:p>
    <w:p w14:paraId="12A22078" w14:textId="77777777" w:rsidR="004F1438" w:rsidRDefault="004F1438" w:rsidP="004F1438">
      <w:pPr>
        <w:rPr>
          <w:rFonts w:eastAsiaTheme="minorEastAsia"/>
        </w:rPr>
      </w:pPr>
    </w:p>
    <w:p w14:paraId="2296D6B3" w14:textId="72AB7EC2" w:rsidR="004F1438" w:rsidRDefault="004F1438" w:rsidP="004F1438">
      <w:pPr>
        <w:rPr>
          <w:rFonts w:eastAsiaTheme="minorEastAsia"/>
        </w:rPr>
      </w:pPr>
      <w:r>
        <w:rPr>
          <w:rFonts w:eastAsiaTheme="minorEastAsia"/>
        </w:rPr>
        <w:t xml:space="preserve">Community co-occurrence network models will be constructed to compare total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5AA291C7" w14:textId="5A9CF366" w:rsidR="004F1438" w:rsidRDefault="004F1438" w:rsidP="004F1438">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To assess the 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29BF6F50" w14:textId="77777777" w:rsidR="004F1438" w:rsidRDefault="004F1438" w:rsidP="004F1438">
      <w:pPr>
        <w:rPr>
          <w:rFonts w:eastAsiaTheme="minorEastAsia"/>
        </w:rPr>
      </w:pPr>
    </w:p>
    <w:p w14:paraId="301E18BF" w14:textId="77777777" w:rsidR="004F1438" w:rsidRPr="0098799B" w:rsidRDefault="004F1438" w:rsidP="004F1438">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may be a result of mutual cooperation between taxa after long periods of co-evolution, whilst negative connections in RNA-based networks may be evidence of resource competition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4042C6DF" w14:textId="77777777" w:rsidR="004F1438" w:rsidRPr="004F1438" w:rsidRDefault="004F1438" w:rsidP="004F1438"/>
    <w:p w14:paraId="75363642" w14:textId="3BCC7897" w:rsidR="00B909DC" w:rsidRDefault="00B909DC" w:rsidP="00B909DC"/>
    <w:p w14:paraId="2E3B0103" w14:textId="5B24F452" w:rsidR="00B909DC" w:rsidRDefault="00F60544" w:rsidP="00B909DC">
      <w:pPr>
        <w:pStyle w:val="Heading2"/>
      </w:pPr>
      <w:r>
        <w:t>3</w:t>
      </w:r>
      <w:r w:rsidR="00B909DC">
        <w:t xml:space="preserve"> Archived cryoconite analysis</w:t>
      </w:r>
    </w:p>
    <w:p w14:paraId="2E66C87D" w14:textId="38262114" w:rsidR="0098799B" w:rsidRDefault="0098799B" w:rsidP="0098799B"/>
    <w:p w14:paraId="22675D3D" w14:textId="132FF6B2" w:rsidR="0098799B" w:rsidRDefault="00F60544" w:rsidP="0098799B">
      <w:pPr>
        <w:pStyle w:val="Heading3"/>
      </w:pPr>
      <w:r>
        <w:t>3</w:t>
      </w:r>
      <w:r w:rsidR="00E521DC">
        <w:t>.1</w:t>
      </w:r>
      <w:r w:rsidR="0098799B">
        <w:t xml:space="preserve"> DNA and RNA extraction</w:t>
      </w:r>
    </w:p>
    <w:p w14:paraId="4ECA2AFF" w14:textId="77777777" w:rsidR="0098799B" w:rsidRDefault="0098799B" w:rsidP="0098799B"/>
    <w:p w14:paraId="3CE069DB" w14:textId="4C49F4BA" w:rsidR="0098799B" w:rsidRDefault="0098799B" w:rsidP="0098799B">
      <w:r>
        <w:lastRenderedPageBreak/>
        <w:t xml:space="preserve">A DNA extraction kit will be used to extract total DNA from </w:t>
      </w:r>
      <w:r w:rsidR="00126D70">
        <w:t>cryoconite samples</w:t>
      </w:r>
      <w:r>
        <w:t xml:space="preserve">. </w:t>
      </w:r>
      <w:r w:rsidR="004F1438">
        <w:t>An</w:t>
      </w:r>
      <w:r>
        <w:t xml:space="preserve"> RNA extraction kit will be used to extract RNA from </w:t>
      </w:r>
      <w:r w:rsidR="00126D70">
        <w:t>cryoconite samples</w:t>
      </w:r>
      <w:r>
        <w:t>. RNA will be purified using DNase Max Kit or similar to remove coextracted DNA. Purified RNA will be used to synthesize complementary DNA (cDNA). DNA and cDNA will then be stored at -80</w:t>
      </w:r>
      <w:r>
        <w:rPr>
          <w:rFonts w:ascii="Calibri" w:hAnsi="Calibri"/>
        </w:rPr>
        <w:t>°</w:t>
      </w:r>
      <w:r>
        <w:t xml:space="preserve">C until further analysis. </w:t>
      </w:r>
    </w:p>
    <w:p w14:paraId="0849BBA5" w14:textId="77777777" w:rsidR="0098799B" w:rsidRDefault="0098799B" w:rsidP="0098799B"/>
    <w:p w14:paraId="0FB06E8E" w14:textId="577293E2" w:rsidR="0098799B" w:rsidRDefault="00F60544" w:rsidP="0098799B">
      <w:pPr>
        <w:pStyle w:val="Heading3"/>
      </w:pPr>
      <w:r>
        <w:t>3</w:t>
      </w:r>
      <w:r w:rsidR="00E521DC">
        <w:t xml:space="preserve">.2 </w:t>
      </w:r>
      <w:r w:rsidR="0098799B">
        <w:t>BONCAT</w:t>
      </w:r>
    </w:p>
    <w:p w14:paraId="7E8DE73E" w14:textId="77777777" w:rsidR="0098799B" w:rsidRDefault="0098799B" w:rsidP="0098799B"/>
    <w:p w14:paraId="3B2772D6" w14:textId="4B975123" w:rsidR="0098799B"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xml:space="preserve">. </w:t>
      </w:r>
    </w:p>
    <w:p w14:paraId="736D4638" w14:textId="2A96D46B" w:rsidR="0098799B" w:rsidRDefault="0098799B" w:rsidP="0098799B">
      <w:r>
        <w:t xml:space="preserve">  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During incubation the synthetic amino acid will enter the cell. Translationally active cells will incorporate the synthetic amino acid into newly synthesized proteins, in place of Met. Proteins containing the synthetic amino acid are fluorescently labelled via a Cu(I)-</w:t>
      </w:r>
      <w:proofErr w:type="spellStart"/>
      <w:r>
        <w:t>catalyzed</w:t>
      </w:r>
      <w:proofErr w:type="spellEnd"/>
      <w:r>
        <w:t xml:space="preserve"> </w:t>
      </w:r>
      <w:proofErr w:type="spellStart"/>
      <w:r>
        <w:t>azide</w:t>
      </w:r>
      <w:proofErr w:type="spellEnd"/>
      <w:r>
        <w:t>−alkyne click reaction</w:t>
      </w:r>
      <w:r w:rsidR="00126D70">
        <w:t xml:space="preserve"> and quantified</w:t>
      </w:r>
      <w:r>
        <w:t xml:space="preserve">. </w:t>
      </w:r>
    </w:p>
    <w:p w14:paraId="1A23E60B" w14:textId="77777777" w:rsidR="0098799B" w:rsidRDefault="0098799B" w:rsidP="0098799B"/>
    <w:p w14:paraId="6E3CF601" w14:textId="3F56FCC8" w:rsidR="0098799B" w:rsidRDefault="00F60544" w:rsidP="003F2AD4">
      <w:pPr>
        <w:pStyle w:val="Heading3"/>
      </w:pPr>
      <w:r>
        <w:t>3</w:t>
      </w:r>
      <w:r w:rsidR="00E521DC">
        <w:t>.3</w:t>
      </w:r>
      <w:r w:rsidR="0098799B">
        <w:t xml:space="preserve"> qPCR</w:t>
      </w:r>
    </w:p>
    <w:p w14:paraId="33B6858A" w14:textId="77777777" w:rsidR="0098799B" w:rsidRDefault="0098799B" w:rsidP="0098799B"/>
    <w:p w14:paraId="3BC00DE8" w14:textId="77777777" w:rsidR="00126D70" w:rsidRDefault="003F2AD4" w:rsidP="00126D70">
      <w:r>
        <w:t xml:space="preserve">qPCR of DNA and RNA will be used to verify </w:t>
      </w:r>
      <w:r w:rsidR="00D16011">
        <w:t xml:space="preserve">results of </w:t>
      </w:r>
      <w:r>
        <w:t xml:space="preserve">the active and in-active cell BONCAT quantification. </w:t>
      </w:r>
      <w:r w:rsidR="00126D70">
        <w:t>BONCAT is the labelling of cells actively synthesising proteins while qPCR of 16S rRNA gene transcripts works on the assumption that rRNA is a structural component of ribosomes and ribosomes will increase with metabolic activity. BONCAT may then a more accurate method for labelling translationally active cells, as opposed to quantifying gene transcript numbers which may not necessarily be indicative of true cellular activity. Dormant cells may harbour ribosomes for use when activity recommences in favourable environmental conditions and be counted within the active community using qPCR/</w:t>
      </w:r>
      <w:proofErr w:type="spellStart"/>
      <w:r w:rsidR="00126D70">
        <w:t>metatranscriptomics</w:t>
      </w:r>
      <w:proofErr w:type="spellEnd"/>
      <w:r w:rsidR="00126D70">
        <w:t xml:space="preserve">. Application of both BONCAT and qPCR offers a more accurate picture of cellular activity than a single method alone. </w:t>
      </w:r>
    </w:p>
    <w:p w14:paraId="7C2DDEAA" w14:textId="18C5A343" w:rsidR="0098799B" w:rsidRDefault="00126D70" w:rsidP="0098799B">
      <w:r>
        <w:t xml:space="preserve">  </w:t>
      </w:r>
      <w:r w:rsidR="0098799B">
        <w:t xml:space="preserve">qPCR will be used to calculate bacterial and archaeal </w:t>
      </w:r>
      <w:r>
        <w:t xml:space="preserve">total </w:t>
      </w:r>
      <w:r>
        <w:t>16S rRNA gene abundance</w:t>
      </w:r>
      <w:r w:rsidR="0098799B">
        <w:t xml:space="preserve"> (DNA) and active</w:t>
      </w:r>
      <w:r>
        <w:t xml:space="preserve"> </w:t>
      </w:r>
      <w:r>
        <w:t>16S rRNA gene transcript abundance</w:t>
      </w:r>
      <w:r w:rsidR="0098799B">
        <w:t xml:space="preserve"> (cDNA) for each sample, allowing me to compare the ratio to for bacterial and archaeal communities and which is more heterogenous across samples. </w:t>
      </w:r>
    </w:p>
    <w:p w14:paraId="06C4104E" w14:textId="77777777" w:rsidR="0098799B" w:rsidRDefault="0098799B" w:rsidP="0098799B"/>
    <w:p w14:paraId="2AB22D38" w14:textId="4A1877FE" w:rsidR="0098799B" w:rsidRDefault="00F60544" w:rsidP="003F2AD4">
      <w:pPr>
        <w:pStyle w:val="Heading3"/>
      </w:pPr>
      <w:r>
        <w:t>3</w:t>
      </w:r>
      <w:r w:rsidR="00E521DC">
        <w:t>.4</w:t>
      </w:r>
      <w:r w:rsidR="0098799B">
        <w:t xml:space="preserve"> Amplification and sequencing </w:t>
      </w:r>
    </w:p>
    <w:p w14:paraId="107D8F9E" w14:textId="77777777" w:rsidR="0098799B" w:rsidRPr="003D6CD2" w:rsidRDefault="0098799B" w:rsidP="0098799B"/>
    <w:p w14:paraId="7D4109F6" w14:textId="324D5345" w:rsidR="0098799B" w:rsidRDefault="006467DC" w:rsidP="0098799B">
      <w:r>
        <w:t>High throughput sequencing of DNA and cDNA samples will be carried out to taxonomically identify both total and active bacterial and archaeal communities.</w:t>
      </w:r>
      <w:r w:rsidR="0098799B">
        <w:t xml:space="preserve"> </w:t>
      </w:r>
    </w:p>
    <w:p w14:paraId="6846D766" w14:textId="77777777" w:rsidR="0098799B" w:rsidRDefault="0098799B" w:rsidP="0098799B"/>
    <w:p w14:paraId="00C262C3" w14:textId="11CCB62B" w:rsidR="0098799B" w:rsidRDefault="00F60544" w:rsidP="003F2AD4">
      <w:pPr>
        <w:pStyle w:val="Heading3"/>
      </w:pPr>
      <w:r>
        <w:t>3</w:t>
      </w:r>
      <w:r w:rsidR="00E521DC">
        <w:t>.5</w:t>
      </w:r>
      <w:r w:rsidR="0098799B">
        <w:t xml:space="preserve"> Bioinformatic analysis</w:t>
      </w:r>
    </w:p>
    <w:p w14:paraId="3B076627" w14:textId="25E6CB06" w:rsidR="003F2AD4" w:rsidRDefault="003F2AD4" w:rsidP="003F2AD4"/>
    <w:p w14:paraId="1B46BF12" w14:textId="7D04A5DE" w:rsidR="00E8401A" w:rsidRDefault="003F2AD4" w:rsidP="006467DC">
      <w:r>
        <w:t xml:space="preserve">Will repeat method as outlined for metadata </w:t>
      </w:r>
      <w:r w:rsidR="008B0C76">
        <w:t>analysis for total and active communities</w:t>
      </w:r>
      <w:r>
        <w:t>: classification of ASVs and ecological function, quantification of abundant and rare taxa, differences between communities and environmental factors</w:t>
      </w:r>
      <w:r w:rsidR="00DD0206">
        <w:t xml:space="preserve"> (where data is available)</w:t>
      </w:r>
      <w:r>
        <w:t xml:space="preserve">, </w:t>
      </w:r>
      <w:r>
        <w:lastRenderedPageBreak/>
        <w:t>geographic analysis</w:t>
      </w:r>
      <w:r w:rsidR="00DD0206">
        <w:t xml:space="preserve"> (where data is available)</w:t>
      </w:r>
      <w:r>
        <w:t>, community assembly analysis</w:t>
      </w:r>
      <w:r w:rsidR="008B0C76">
        <w:t>, c</w:t>
      </w:r>
      <w:r>
        <w:t>o-occurrence network analysis.</w:t>
      </w:r>
    </w:p>
    <w:p w14:paraId="4C32E1B6" w14:textId="365C39BF" w:rsidR="00E8401A" w:rsidRDefault="00E8401A" w:rsidP="00E8401A">
      <w:r>
        <w:t xml:space="preserve">  </w:t>
      </w:r>
      <w:r w:rsidR="00DD0206">
        <w:t xml:space="preserve">Additionally, ASVs will be classified as dormant or active </w:t>
      </w:r>
      <w:r>
        <w:t xml:space="preserve">based on </w:t>
      </w:r>
      <w:proofErr w:type="spellStart"/>
      <w:r>
        <w:t>rRNA:rDNA</w:t>
      </w:r>
      <w:proofErr w:type="spellEnd"/>
      <w:r>
        <w:t xml:space="preserve">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w:t>
      </w:r>
      <w:proofErr w:type="spellStart"/>
      <w:r>
        <w:t>cutoffs</w:t>
      </w:r>
      <w:proofErr w:type="spellEnd"/>
      <w:r>
        <w:t xml:space="preserve">. Classification of ASVs as active or dormant is sensitive to </w:t>
      </w:r>
      <w:proofErr w:type="spellStart"/>
      <w:r>
        <w:t>cutoffs</w:t>
      </w:r>
      <w:proofErr w:type="spellEnd"/>
      <w:r>
        <w:t xml:space="preserve">/thresholds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Prokaryotic dormancy percentage will be estimated as the number of dormant ASVs divided by the total number of ASVs in each sample x 100.</w:t>
      </w:r>
    </w:p>
    <w:p w14:paraId="0B203738" w14:textId="30AE388E" w:rsidR="00646F5C" w:rsidRDefault="00646F5C" w:rsidP="00E8401A">
      <w:r>
        <w:t xml:space="preserve">  Application of rRNA/rDNA ratios for inferring the activity status of prokaryotic communities has the potential to misclassify active populations as dormant </w:t>
      </w:r>
      <w:r>
        <w:fldChar w:fldCharType="begin" w:fldLock="1"/>
      </w:r>
      <w: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2017)"},"properties":{"noteIndex":0},"schema":"https://github.com/citation-style-language/schema/raw/master/csl-citation.json"}</w:instrText>
      </w:r>
      <w:r>
        <w:fldChar w:fldCharType="separate"/>
      </w:r>
      <w:r w:rsidRPr="00646F5C">
        <w:rPr>
          <w:noProof/>
        </w:rPr>
        <w:t>(Steven, Hesse, Soghigian, Gallegos-Graves, &amp; Dunbar, 2017)</w:t>
      </w:r>
      <w:r>
        <w:fldChar w:fldCharType="end"/>
      </w:r>
      <w:r>
        <w:t xml:space="preserve">. </w:t>
      </w:r>
      <w:bookmarkStart w:id="0" w:name="_GoBack"/>
      <w:bookmarkEnd w:id="0"/>
    </w:p>
    <w:p w14:paraId="237786A6" w14:textId="3B7554F6" w:rsidR="00973D01" w:rsidRDefault="00973D01"/>
    <w:p w14:paraId="1F494639" w14:textId="2D73D513" w:rsidR="00973D01" w:rsidRDefault="00F60544" w:rsidP="00776274">
      <w:pPr>
        <w:pStyle w:val="Heading2"/>
      </w:pPr>
      <w:r>
        <w:t>4</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7F6BC7D0" w14:textId="64DD7557" w:rsidR="00247449" w:rsidRDefault="00247449" w:rsidP="00B909DC"/>
    <w:p w14:paraId="0668117E" w14:textId="42CDA255" w:rsidR="00B92424" w:rsidRDefault="00E8401A" w:rsidP="00B909DC">
      <w:r>
        <w:t>Snow, snow/ice interface and ice s</w:t>
      </w:r>
      <w:r w:rsidR="00247449">
        <w:t xml:space="preserve">amples will be collected from </w:t>
      </w:r>
      <w:proofErr w:type="spellStart"/>
      <w:r w:rsidR="00247449">
        <w:t>Foxfonna</w:t>
      </w:r>
      <w:proofErr w:type="spellEnd"/>
      <w:r w:rsidR="00247449">
        <w:t xml:space="preserve"> Glacier</w:t>
      </w:r>
      <w:r>
        <w:t xml:space="preserve">, </w:t>
      </w:r>
      <w:proofErr w:type="spellStart"/>
      <w:r>
        <w:t>Nordenski</w:t>
      </w:r>
      <w:r>
        <w:rPr>
          <w:rFonts w:ascii="Calibri" w:hAnsi="Calibri"/>
        </w:rPr>
        <w:t>ö</w:t>
      </w:r>
      <w:r>
        <w:t>ld</w:t>
      </w:r>
      <w:proofErr w:type="spellEnd"/>
      <w:r>
        <w:t xml:space="preserve"> Land, Svalbard (Norway), May 2021. </w:t>
      </w:r>
      <w:proofErr w:type="spellStart"/>
      <w:r>
        <w:t>Foxfonna</w:t>
      </w:r>
      <w:proofErr w:type="spellEnd"/>
      <w:r>
        <w:t xml:space="preserve"> is a small, cold-based Arctic glacier.</w:t>
      </w:r>
    </w:p>
    <w:p w14:paraId="32CFED53" w14:textId="77777777" w:rsidR="00B92424" w:rsidRDefault="00B92424" w:rsidP="00B909DC"/>
    <w:p w14:paraId="1EEB7156" w14:textId="52C5A4E7" w:rsidR="00247449" w:rsidRDefault="00B92424" w:rsidP="00B92424">
      <w:pPr>
        <w:pStyle w:val="Heading3"/>
      </w:pPr>
      <w:r>
        <w:t>4.1 Spatial and environmental characteristics</w:t>
      </w:r>
    </w:p>
    <w:p w14:paraId="0526FE29" w14:textId="77777777" w:rsidR="00502AD1" w:rsidRDefault="00502AD1" w:rsidP="00B909DC"/>
    <w:p w14:paraId="24CC5A61" w14:textId="7E43ABE9" w:rsidR="00F75421" w:rsidRDefault="00F75421" w:rsidP="00B909DC">
      <w:r>
        <w:t xml:space="preserve">In-situ measurements will include: GPS coordinates, temperature, dissolved oxygen and </w:t>
      </w:r>
      <w:r w:rsidR="00BF6FDB">
        <w:t>conductivity</w:t>
      </w:r>
      <w:r>
        <w:t>. Snow/ice samples will also be taken from each sample site for chemical analysis. Analysis will include dissolved nutrients and major ions (Table 1)</w:t>
      </w:r>
      <w:r w:rsidR="00BF6FDB">
        <w:t>.</w:t>
      </w:r>
    </w:p>
    <w:p w14:paraId="4318F41A" w14:textId="2F5959EB" w:rsidR="00F75421" w:rsidRDefault="00F75421"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617F35DA"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681F582D" w:rsidR="00F75421" w:rsidRDefault="00F75421" w:rsidP="00F75421">
      <w:pPr>
        <w:jc w:val="center"/>
      </w:pPr>
      <w:r w:rsidRPr="00F75421">
        <w:rPr>
          <w:b/>
        </w:rPr>
        <w:t>Table 1</w:t>
      </w:r>
      <w:r>
        <w:t>. Dissolved nutrients and major ion concentrations for laboratory analysis</w:t>
      </w:r>
    </w:p>
    <w:p w14:paraId="439BD6BB" w14:textId="4C89A6B0" w:rsidR="00247449" w:rsidRDefault="00247449" w:rsidP="00B909DC"/>
    <w:p w14:paraId="57CC9736" w14:textId="5CAEE7B3" w:rsidR="00247449" w:rsidRDefault="00247449" w:rsidP="00B909DC">
      <w:r>
        <w:t xml:space="preserve">I will repeat </w:t>
      </w:r>
      <w:r w:rsidR="008B0C76">
        <w:t xml:space="preserve">DNA/RNA </w:t>
      </w:r>
      <w:r>
        <w:t>extraction, BONCAT, qPC</w:t>
      </w:r>
      <w:r w:rsidR="00502AD1">
        <w:t xml:space="preserve">R, </w:t>
      </w:r>
      <w:r>
        <w:t xml:space="preserve">sequencing </w:t>
      </w:r>
      <w:r w:rsidR="00502AD1">
        <w:t xml:space="preserve">and bioinformatics </w:t>
      </w:r>
      <w:r w:rsidR="00FD3154">
        <w:t>procedure</w:t>
      </w:r>
      <w:r>
        <w:t xml:space="preserve"> outlined </w:t>
      </w:r>
      <w:r w:rsidR="00502AD1">
        <w:t>above.</w:t>
      </w:r>
    </w:p>
    <w:p w14:paraId="79ACAC0C" w14:textId="77777777" w:rsidR="003F2AD4" w:rsidRDefault="003F2AD4" w:rsidP="00B909DC"/>
    <w:p w14:paraId="16A055AE" w14:textId="63CCAE13" w:rsidR="00B909DC" w:rsidRDefault="00F60544" w:rsidP="00B909DC">
      <w:pPr>
        <w:pStyle w:val="Heading2"/>
      </w:pPr>
      <w:r>
        <w:t>5</w:t>
      </w:r>
      <w:r w:rsidR="00B909DC">
        <w:t xml:space="preserve"> </w:t>
      </w:r>
      <w:proofErr w:type="spellStart"/>
      <w:r w:rsidR="00B909DC">
        <w:t>Foxfonna</w:t>
      </w:r>
      <w:proofErr w:type="spellEnd"/>
      <w:r w:rsidR="00B909DC">
        <w:t xml:space="preserve"> </w:t>
      </w:r>
      <w:r w:rsidR="0098799B">
        <w:t xml:space="preserve">summer </w:t>
      </w:r>
      <w:r w:rsidR="00B909DC">
        <w:t>cryoconite analysis</w:t>
      </w:r>
    </w:p>
    <w:p w14:paraId="42525CCD" w14:textId="6CBF01AE" w:rsidR="00B909DC" w:rsidRDefault="00B909DC" w:rsidP="00B909DC"/>
    <w:p w14:paraId="76B06EE9" w14:textId="0E56D3FE" w:rsidR="00B909DC" w:rsidRPr="00B909DC" w:rsidRDefault="00F60544" w:rsidP="0098799B">
      <w:pPr>
        <w:pStyle w:val="Heading3"/>
      </w:pPr>
      <w:r>
        <w:t>5</w:t>
      </w:r>
      <w:r w:rsidR="00B909DC">
        <w:t>.1 Sample collection</w:t>
      </w:r>
    </w:p>
    <w:p w14:paraId="6CEF2761" w14:textId="2DC69E30" w:rsidR="00973D01" w:rsidRDefault="00973D01"/>
    <w:p w14:paraId="37AF6B48" w14:textId="6B24F2A2" w:rsidR="00973D01" w:rsidRDefault="00973D01">
      <w:r>
        <w:t xml:space="preserve">Cryoconite hole sediment will be collected from </w:t>
      </w:r>
      <w:proofErr w:type="spellStart"/>
      <w:r>
        <w:t>Foxfonna</w:t>
      </w:r>
      <w:proofErr w:type="spellEnd"/>
      <w:r>
        <w:t xml:space="preserve">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126D7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2018)","manualFormatting":"Darcy, Gendron, Sommers, Porazinska, &amp; Schmidt, 2018. ","plainTextFormattedCitation":"(Darcy,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 xml:space="preserve">The sampling regime comprises 5 triangles with sides of 15m, spaced 100m </w:t>
      </w:r>
      <w:r>
        <w:lastRenderedPageBreak/>
        <w:t xml:space="preserve">apart. 2 cryoconite holes at approximately 2m apart are sampled at each vertex of the 5 triangles (Figure 1). </w:t>
      </w:r>
    </w:p>
    <w:p w14:paraId="1FE3926A" w14:textId="09001125" w:rsidR="00973D01" w:rsidRDefault="00973D01">
      <w:r>
        <w:t xml:space="preserve">  Cryoconite granules will be collected from the bottom of each cryoconite hole using </w:t>
      </w:r>
      <w:r w:rsidR="008B0C76">
        <w:t xml:space="preserve">a </w:t>
      </w:r>
      <w:r>
        <w:t>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3F2D6B20" w:rsidR="00973D01" w:rsidRDefault="00973D01"/>
    <w:p w14:paraId="4C7380F1" w14:textId="59303DCC" w:rsidR="00973D01" w:rsidRDefault="00973D01" w:rsidP="00973D01">
      <w:pPr>
        <w:jc w:val="center"/>
      </w:pPr>
      <w:r>
        <w:t xml:space="preserve">Figure 1: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5919D2BF" w:rsidR="00973D01" w:rsidRDefault="00973D01" w:rsidP="00973D01">
      <w:pPr>
        <w:jc w:val="center"/>
      </w:pPr>
      <w:r>
        <w:rPr>
          <w:noProof/>
        </w:rPr>
        <w:drawing>
          <wp:inline distT="0" distB="0" distL="0" distR="0" wp14:anchorId="4EB6C300" wp14:editId="10E869BE">
            <wp:extent cx="2616200" cy="100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a:blip r:embed="rId7">
                      <a:extLst>
                        <a:ext uri="{28A0092B-C50C-407E-A947-70E740481C1C}">
                          <a14:useLocalDpi xmlns:a14="http://schemas.microsoft.com/office/drawing/2010/main" val="0"/>
                        </a:ext>
                      </a:extLst>
                    </a:blip>
                    <a:stretch>
                      <a:fillRect/>
                    </a:stretch>
                  </pic:blipFill>
                  <pic:spPr>
                    <a:xfrm>
                      <a:off x="0" y="0"/>
                      <a:ext cx="2616200" cy="1003300"/>
                    </a:xfrm>
                    <a:prstGeom prst="rect">
                      <a:avLst/>
                    </a:prstGeom>
                  </pic:spPr>
                </pic:pic>
              </a:graphicData>
            </a:graphic>
          </wp:inline>
        </w:drawing>
      </w:r>
    </w:p>
    <w:p w14:paraId="6F836B60" w14:textId="27109E21" w:rsidR="001A3A9B" w:rsidRDefault="001A3A9B" w:rsidP="00973D01">
      <w:pPr>
        <w:jc w:val="center"/>
      </w:pPr>
    </w:p>
    <w:p w14:paraId="438F2B89" w14:textId="2E239392" w:rsidR="001A3A9B" w:rsidRDefault="001A3A9B"/>
    <w:p w14:paraId="581D739D" w14:textId="02FFCC98" w:rsidR="00287AB7" w:rsidRDefault="00287AB7" w:rsidP="0098799B">
      <w:pPr>
        <w:pStyle w:val="Heading3"/>
      </w:pPr>
      <w:r>
        <w:t>5.2 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799805A5" w:rsidR="00973D01" w:rsidRDefault="00F60544" w:rsidP="0098799B">
      <w:pPr>
        <w:pStyle w:val="Heading3"/>
      </w:pPr>
      <w:r>
        <w:t>5</w:t>
      </w:r>
      <w:r w:rsidR="0098799B">
        <w:t>.2</w:t>
      </w:r>
      <w:r w:rsidR="00973D01">
        <w:t xml:space="preserve"> Spatial and Environmental Characteristics</w:t>
      </w:r>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4BAA57D7" w:rsidR="0092669D" w:rsidRDefault="00F60544" w:rsidP="0098799B">
      <w:pPr>
        <w:pStyle w:val="Heading3"/>
      </w:pPr>
      <w:r>
        <w:t>5</w:t>
      </w:r>
      <w:r w:rsidR="0092669D">
        <w:t>.3 Further analysis</w:t>
      </w:r>
    </w:p>
    <w:p w14:paraId="5370F419" w14:textId="77777777" w:rsidR="0092669D" w:rsidRDefault="0092669D" w:rsidP="0092669D"/>
    <w:p w14:paraId="6B135CE3" w14:textId="2FA7C8FA" w:rsidR="00973D01" w:rsidRDefault="0092669D" w:rsidP="0092669D">
      <w:r>
        <w:t>Cryoconite samples will follow the</w:t>
      </w:r>
      <w:r w:rsidR="008B0C76">
        <w:t xml:space="preserve"> DNA/</w:t>
      </w:r>
      <w:r>
        <w:t>RNA extraction, BONCAT, qPCR, sequencing, and bioinformatics methods outlined previously.</w:t>
      </w:r>
    </w:p>
    <w:p w14:paraId="04334CBD" w14:textId="3F13AA14" w:rsidR="00FB68F3" w:rsidRDefault="00FB68F3">
      <w:pPr>
        <w:rPr>
          <w:rFonts w:eastAsiaTheme="minorEastAsia"/>
        </w:rPr>
      </w:pPr>
    </w:p>
    <w:p w14:paraId="6E614763" w14:textId="3D4F25C3" w:rsidR="00FB68F3" w:rsidRDefault="00F60544" w:rsidP="00950E6A">
      <w:pPr>
        <w:pStyle w:val="Heading2"/>
      </w:pPr>
      <w:r>
        <w:t>6</w:t>
      </w:r>
      <w:r w:rsidR="00FB68F3">
        <w:t xml:space="preserve"> Caveats of </w:t>
      </w:r>
      <w:r w:rsidR="00CF52D6">
        <w:t>m</w:t>
      </w:r>
      <w:r w:rsidR="00FB68F3">
        <w:t>ethod</w:t>
      </w:r>
    </w:p>
    <w:p w14:paraId="24FCA584" w14:textId="77777777" w:rsidR="00FB68F3" w:rsidRDefault="00FB68F3" w:rsidP="00FB68F3"/>
    <w:p w14:paraId="0B6678DF" w14:textId="25D3391F" w:rsidR="00FB68F3" w:rsidRDefault="00FB68F3" w:rsidP="00FB68F3">
      <w:r>
        <w:t xml:space="preserve">Simulated rRNA/DNA ratios show potential to misclassify active populations as dormant </w:t>
      </w:r>
      <w:r>
        <w:fldChar w:fldCharType="begin" w:fldLock="1"/>
      </w:r>
      <w:r w:rsidR="00646F5C">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Hesse, Soghigian, Gallegos-Graves, &amp; Dunbar, 2017)"},"properties":{"noteIndex":0},"schema":"https://github.com/citation-style-language/schema/raw/master/csl-citation.json"}</w:instrText>
      </w:r>
      <w:r>
        <w:fldChar w:fldCharType="separate"/>
      </w:r>
      <w:r w:rsidR="00646F5C" w:rsidRPr="00646F5C">
        <w:rPr>
          <w:noProof/>
        </w:rPr>
        <w:t>(Steven et al., 2017)</w:t>
      </w:r>
      <w:r>
        <w:fldChar w:fldCharType="end"/>
      </w:r>
      <w:r w:rsidR="00E8401A">
        <w:t>.</w:t>
      </w:r>
    </w:p>
    <w:p w14:paraId="4A99633C" w14:textId="2FAD69B8" w:rsidR="00E8401A" w:rsidRDefault="00E8401A" w:rsidP="00FB68F3">
      <w:r>
        <w:t xml:space="preserve">Choice of 16S rRNA regions for community metabarcoding can impact results </w:t>
      </w:r>
      <w:r>
        <w:fldChar w:fldCharType="begin" w:fldLock="1"/>
      </w:r>
      <w:r w:rsidR="00646F5C">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8401A">
        <w:rPr>
          <w:noProof/>
        </w:rPr>
        <w:t>(Bukin et al., 2019)</w:t>
      </w:r>
      <w:r>
        <w:fldChar w:fldCharType="end"/>
      </w:r>
      <w:r>
        <w:t>.</w:t>
      </w:r>
    </w:p>
    <w:p w14:paraId="2F8D8F29" w14:textId="77777777" w:rsidR="004864FB" w:rsidRDefault="004864FB"/>
    <w:p w14:paraId="6C78322E" w14:textId="631ACCB1" w:rsidR="00973D01" w:rsidRDefault="00F60544" w:rsidP="00950E6A">
      <w:pPr>
        <w:pStyle w:val="Heading2"/>
      </w:pPr>
      <w:r>
        <w:t>7</w:t>
      </w:r>
      <w:r w:rsidR="00FB68F3">
        <w:t xml:space="preserve"> </w:t>
      </w:r>
      <w:r w:rsidR="00973D01">
        <w:t xml:space="preserve">Bibliography </w:t>
      </w:r>
    </w:p>
    <w:p w14:paraId="595FF9A9" w14:textId="51F9C05B" w:rsidR="00973D01" w:rsidRDefault="00973D01"/>
    <w:p w14:paraId="038C7E73" w14:textId="570720AD" w:rsidR="00646F5C" w:rsidRPr="00646F5C" w:rsidRDefault="00973D01" w:rsidP="00646F5C">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646F5C" w:rsidRPr="00646F5C">
        <w:rPr>
          <w:rFonts w:ascii="Calibri" w:hAnsi="Calibri" w:cs="Times New Roman"/>
          <w:noProof/>
          <w:lang w:val="en-US"/>
        </w:rPr>
        <w:t xml:space="preserve">Aanderud, Z. T., Vert, J. C., Lennon, J. T., Magnusson, T. W., Breakwell, D. P., &amp; Harker, A. R. (2016). Bacterial dormancy is more prevalent in freshwater than hypersaline lakes. </w:t>
      </w:r>
      <w:r w:rsidR="00646F5C" w:rsidRPr="00646F5C">
        <w:rPr>
          <w:rFonts w:ascii="Calibri" w:hAnsi="Calibri" w:cs="Times New Roman"/>
          <w:i/>
          <w:iCs/>
          <w:noProof/>
          <w:lang w:val="en-US"/>
        </w:rPr>
        <w:t>Frontiers in Microbiology</w:t>
      </w:r>
      <w:r w:rsidR="00646F5C" w:rsidRPr="00646F5C">
        <w:rPr>
          <w:rFonts w:ascii="Calibri" w:hAnsi="Calibri" w:cs="Times New Roman"/>
          <w:noProof/>
          <w:lang w:val="en-US"/>
        </w:rPr>
        <w:t xml:space="preserve">, </w:t>
      </w:r>
      <w:r w:rsidR="00646F5C" w:rsidRPr="00646F5C">
        <w:rPr>
          <w:rFonts w:ascii="Calibri" w:hAnsi="Calibri" w:cs="Times New Roman"/>
          <w:i/>
          <w:iCs/>
          <w:noProof/>
          <w:lang w:val="en-US"/>
        </w:rPr>
        <w:t>7</w:t>
      </w:r>
      <w:r w:rsidR="00646F5C" w:rsidRPr="00646F5C">
        <w:rPr>
          <w:rFonts w:ascii="Calibri" w:hAnsi="Calibri" w:cs="Times New Roman"/>
          <w:noProof/>
          <w:lang w:val="en-US"/>
        </w:rPr>
        <w:t>(JUN), 1–13. https://doi.org/10.3389/fmicb.2016.00853</w:t>
      </w:r>
    </w:p>
    <w:p w14:paraId="3FDBACDD"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Bukin, Y. S., Galachyants, Y. P., Morozov, I. V., Bukin, S. V., Zakharenko, A. S., &amp; Zemskaya, T. I. (2019). The effect of 16s rRNA region choice on bacterial community metabarcoding </w:t>
      </w:r>
      <w:r w:rsidRPr="00646F5C">
        <w:rPr>
          <w:rFonts w:ascii="Calibri" w:hAnsi="Calibri" w:cs="Times New Roman"/>
          <w:noProof/>
          <w:lang w:val="en-US"/>
        </w:rPr>
        <w:lastRenderedPageBreak/>
        <w:t xml:space="preserve">results. </w:t>
      </w:r>
      <w:r w:rsidRPr="00646F5C">
        <w:rPr>
          <w:rFonts w:ascii="Calibri" w:hAnsi="Calibri" w:cs="Times New Roman"/>
          <w:i/>
          <w:iCs/>
          <w:noProof/>
          <w:lang w:val="en-US"/>
        </w:rPr>
        <w:t>Scientific Data</w:t>
      </w:r>
      <w:r w:rsidRPr="00646F5C">
        <w:rPr>
          <w:rFonts w:ascii="Calibri" w:hAnsi="Calibri" w:cs="Times New Roman"/>
          <w:noProof/>
          <w:lang w:val="en-US"/>
        </w:rPr>
        <w:t xml:space="preserve">, </w:t>
      </w:r>
      <w:r w:rsidRPr="00646F5C">
        <w:rPr>
          <w:rFonts w:ascii="Calibri" w:hAnsi="Calibri" w:cs="Times New Roman"/>
          <w:i/>
          <w:iCs/>
          <w:noProof/>
          <w:lang w:val="en-US"/>
        </w:rPr>
        <w:t>6</w:t>
      </w:r>
      <w:r w:rsidRPr="00646F5C">
        <w:rPr>
          <w:rFonts w:ascii="Calibri" w:hAnsi="Calibri" w:cs="Times New Roman"/>
          <w:noProof/>
          <w:lang w:val="en-US"/>
        </w:rPr>
        <w:t>, 1–14. https://doi.org/10.1038/sdata.2019.7</w:t>
      </w:r>
    </w:p>
    <w:p w14:paraId="69835EC4"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Callahan, B. J., McMurdie, P. J., &amp; Holmes, S. P. (2017). Exact sequence variants should replace operational taxonomic units in marker-gene data analysis. </w:t>
      </w:r>
      <w:r w:rsidRPr="00646F5C">
        <w:rPr>
          <w:rFonts w:ascii="Calibri" w:hAnsi="Calibri" w:cs="Times New Roman"/>
          <w:i/>
          <w:iCs/>
          <w:noProof/>
          <w:lang w:val="en-US"/>
        </w:rPr>
        <w:t>ISME Journal</w:t>
      </w:r>
      <w:r w:rsidRPr="00646F5C">
        <w:rPr>
          <w:rFonts w:ascii="Calibri" w:hAnsi="Calibri" w:cs="Times New Roman"/>
          <w:noProof/>
          <w:lang w:val="en-US"/>
        </w:rPr>
        <w:t xml:space="preserve">, </w:t>
      </w:r>
      <w:r w:rsidRPr="00646F5C">
        <w:rPr>
          <w:rFonts w:ascii="Calibri" w:hAnsi="Calibri" w:cs="Times New Roman"/>
          <w:i/>
          <w:iCs/>
          <w:noProof/>
          <w:lang w:val="en-US"/>
        </w:rPr>
        <w:t>11</w:t>
      </w:r>
      <w:r w:rsidRPr="00646F5C">
        <w:rPr>
          <w:rFonts w:ascii="Calibri" w:hAnsi="Calibri" w:cs="Times New Roman"/>
          <w:noProof/>
          <w:lang w:val="en-US"/>
        </w:rPr>
        <w:t>(12), 2639–2643. https://doi.org/10.1038/ismej.2017.119</w:t>
      </w:r>
    </w:p>
    <w:p w14:paraId="6FD78627"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646F5C">
        <w:rPr>
          <w:rFonts w:ascii="Calibri" w:hAnsi="Calibri" w:cs="Times New Roman"/>
          <w:i/>
          <w:iCs/>
          <w:noProof/>
          <w:lang w:val="en-US"/>
        </w:rPr>
        <w:t>Frontiers in Ecology and Evolution</w:t>
      </w:r>
      <w:r w:rsidRPr="00646F5C">
        <w:rPr>
          <w:rFonts w:ascii="Calibri" w:hAnsi="Calibri" w:cs="Times New Roman"/>
          <w:noProof/>
          <w:lang w:val="en-US"/>
        </w:rPr>
        <w:t xml:space="preserve">, </w:t>
      </w:r>
      <w:r w:rsidRPr="00646F5C">
        <w:rPr>
          <w:rFonts w:ascii="Calibri" w:hAnsi="Calibri" w:cs="Times New Roman"/>
          <w:i/>
          <w:iCs/>
          <w:noProof/>
          <w:lang w:val="en-US"/>
        </w:rPr>
        <w:t>6</w:t>
      </w:r>
      <w:r w:rsidRPr="00646F5C">
        <w:rPr>
          <w:rFonts w:ascii="Calibri" w:hAnsi="Calibri" w:cs="Times New Roman"/>
          <w:noProof/>
          <w:lang w:val="en-US"/>
        </w:rPr>
        <w:t>(NOV), 1–9. https://doi.org/10.3389/fevo.2018.00180</w:t>
      </w:r>
    </w:p>
    <w:p w14:paraId="3A427729"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Franklin, R. B., Luria, C., Ozaki, L. S., &amp; Bukaveckas, P. A. (2013). Community composition and activity state of estuarine bacterioplankton assessed using differential staining and metagenomic analysis of 16S rDNA and rRNA. </w:t>
      </w:r>
      <w:r w:rsidRPr="00646F5C">
        <w:rPr>
          <w:rFonts w:ascii="Calibri" w:hAnsi="Calibri" w:cs="Times New Roman"/>
          <w:i/>
          <w:iCs/>
          <w:noProof/>
          <w:lang w:val="en-US"/>
        </w:rPr>
        <w:t>Aquatic Microbial Ecology</w:t>
      </w:r>
      <w:r w:rsidRPr="00646F5C">
        <w:rPr>
          <w:rFonts w:ascii="Calibri" w:hAnsi="Calibri" w:cs="Times New Roman"/>
          <w:noProof/>
          <w:lang w:val="en-US"/>
        </w:rPr>
        <w:t xml:space="preserve">, </w:t>
      </w:r>
      <w:r w:rsidRPr="00646F5C">
        <w:rPr>
          <w:rFonts w:ascii="Calibri" w:hAnsi="Calibri" w:cs="Times New Roman"/>
          <w:i/>
          <w:iCs/>
          <w:noProof/>
          <w:lang w:val="en-US"/>
        </w:rPr>
        <w:t>69</w:t>
      </w:r>
      <w:r w:rsidRPr="00646F5C">
        <w:rPr>
          <w:rFonts w:ascii="Calibri" w:hAnsi="Calibri" w:cs="Times New Roman"/>
          <w:noProof/>
          <w:lang w:val="en-US"/>
        </w:rPr>
        <w:t>(3), 247–261. https://doi.org/10.3354/ame01635</w:t>
      </w:r>
    </w:p>
    <w:p w14:paraId="22E23670"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Hatzenpichler, R., Connon, S. A., Goudeau, D., Malmstrom, R. R., Woyke, T., &amp; Orphan, V. J. (2016). Visualizing in situ translational activity for identifying and sorting slow-growing archaeal - bacterial consortia. </w:t>
      </w:r>
      <w:r w:rsidRPr="00646F5C">
        <w:rPr>
          <w:rFonts w:ascii="Calibri" w:hAnsi="Calibri" w:cs="Times New Roman"/>
          <w:i/>
          <w:iCs/>
          <w:noProof/>
          <w:lang w:val="en-US"/>
        </w:rPr>
        <w:t>Proceedings of the National Academy of Sciences of the United States of America</w:t>
      </w:r>
      <w:r w:rsidRPr="00646F5C">
        <w:rPr>
          <w:rFonts w:ascii="Calibri" w:hAnsi="Calibri" w:cs="Times New Roman"/>
          <w:noProof/>
          <w:lang w:val="en-US"/>
        </w:rPr>
        <w:t xml:space="preserve">, </w:t>
      </w:r>
      <w:r w:rsidRPr="00646F5C">
        <w:rPr>
          <w:rFonts w:ascii="Calibri" w:hAnsi="Calibri" w:cs="Times New Roman"/>
          <w:i/>
          <w:iCs/>
          <w:noProof/>
          <w:lang w:val="en-US"/>
        </w:rPr>
        <w:t>113</w:t>
      </w:r>
      <w:r w:rsidRPr="00646F5C">
        <w:rPr>
          <w:rFonts w:ascii="Calibri" w:hAnsi="Calibri" w:cs="Times New Roman"/>
          <w:noProof/>
          <w:lang w:val="en-US"/>
        </w:rPr>
        <w:t>(28), E4069–E4078. https://doi.org/10.1073/pnas.1603757113</w:t>
      </w:r>
    </w:p>
    <w:p w14:paraId="5B4F38A8"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646F5C">
        <w:rPr>
          <w:rFonts w:ascii="Calibri" w:hAnsi="Calibri" w:cs="Times New Roman"/>
          <w:i/>
          <w:iCs/>
          <w:noProof/>
          <w:lang w:val="en-US"/>
        </w:rPr>
        <w:t>Frontiers in Microbiology</w:t>
      </w:r>
      <w:r w:rsidRPr="00646F5C">
        <w:rPr>
          <w:rFonts w:ascii="Calibri" w:hAnsi="Calibri" w:cs="Times New Roman"/>
          <w:noProof/>
          <w:lang w:val="en-US"/>
        </w:rPr>
        <w:t xml:space="preserve">, </w:t>
      </w:r>
      <w:r w:rsidRPr="00646F5C">
        <w:rPr>
          <w:rFonts w:ascii="Calibri" w:hAnsi="Calibri" w:cs="Times New Roman"/>
          <w:i/>
          <w:iCs/>
          <w:noProof/>
          <w:lang w:val="en-US"/>
        </w:rPr>
        <w:t>10</w:t>
      </w:r>
      <w:r w:rsidRPr="00646F5C">
        <w:rPr>
          <w:rFonts w:ascii="Calibri" w:hAnsi="Calibri" w:cs="Times New Roman"/>
          <w:noProof/>
          <w:lang w:val="en-US"/>
        </w:rPr>
        <w:t>(October), 1–16. https://doi.org/10.3389/fmicb.2019.02404</w:t>
      </w:r>
    </w:p>
    <w:p w14:paraId="093D7A4C"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646F5C">
        <w:rPr>
          <w:rFonts w:ascii="Calibri" w:hAnsi="Calibri" w:cs="Times New Roman"/>
          <w:i/>
          <w:iCs/>
          <w:noProof/>
          <w:lang w:val="en-US"/>
        </w:rPr>
        <w:t>Science of the Total Environment</w:t>
      </w:r>
      <w:r w:rsidRPr="00646F5C">
        <w:rPr>
          <w:rFonts w:ascii="Calibri" w:hAnsi="Calibri" w:cs="Times New Roman"/>
          <w:noProof/>
          <w:lang w:val="en-US"/>
        </w:rPr>
        <w:t xml:space="preserve">, </w:t>
      </w:r>
      <w:r w:rsidRPr="00646F5C">
        <w:rPr>
          <w:rFonts w:ascii="Calibri" w:hAnsi="Calibri" w:cs="Times New Roman"/>
          <w:i/>
          <w:iCs/>
          <w:noProof/>
          <w:lang w:val="en-US"/>
        </w:rPr>
        <w:t>750</w:t>
      </w:r>
      <w:r w:rsidRPr="00646F5C">
        <w:rPr>
          <w:rFonts w:ascii="Calibri" w:hAnsi="Calibri" w:cs="Times New Roman"/>
          <w:noProof/>
          <w:lang w:val="en-US"/>
        </w:rPr>
        <w:t>, 142252. https://doi.org/10.1016/j.scitotenv.2020.142252</w:t>
      </w:r>
    </w:p>
    <w:p w14:paraId="1689735A"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Liu, L., Yang, J., Yu, Z., &amp; Wilkinson, D. M. (2015). The biogeography of abundant and rare bacterioplankton in the lakes and reservoirs of China. </w:t>
      </w:r>
      <w:r w:rsidRPr="00646F5C">
        <w:rPr>
          <w:rFonts w:ascii="Calibri" w:hAnsi="Calibri" w:cs="Times New Roman"/>
          <w:i/>
          <w:iCs/>
          <w:noProof/>
          <w:lang w:val="en-US"/>
        </w:rPr>
        <w:t>ISME Journal</w:t>
      </w:r>
      <w:r w:rsidRPr="00646F5C">
        <w:rPr>
          <w:rFonts w:ascii="Calibri" w:hAnsi="Calibri" w:cs="Times New Roman"/>
          <w:noProof/>
          <w:lang w:val="en-US"/>
        </w:rPr>
        <w:t xml:space="preserve">, </w:t>
      </w:r>
      <w:r w:rsidRPr="00646F5C">
        <w:rPr>
          <w:rFonts w:ascii="Calibri" w:hAnsi="Calibri" w:cs="Times New Roman"/>
          <w:i/>
          <w:iCs/>
          <w:noProof/>
          <w:lang w:val="en-US"/>
        </w:rPr>
        <w:t>9</w:t>
      </w:r>
      <w:r w:rsidRPr="00646F5C">
        <w:rPr>
          <w:rFonts w:ascii="Calibri" w:hAnsi="Calibri" w:cs="Times New Roman"/>
          <w:noProof/>
          <w:lang w:val="en-US"/>
        </w:rPr>
        <w:t>(9), 2068–2077. https://doi.org/10.1038/ismej.2015.29</w:t>
      </w:r>
    </w:p>
    <w:p w14:paraId="321B10F3"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Louca, S., Jacques, S. M. S., Pires, A. P. F., Leal, J. S., Srivastava, D. S., Parfrey, L. W., … Doebeli, M. (2017). High taxonomic variability despite stable functional structure across microbial communities. </w:t>
      </w:r>
      <w:r w:rsidRPr="00646F5C">
        <w:rPr>
          <w:rFonts w:ascii="Calibri" w:hAnsi="Calibri" w:cs="Times New Roman"/>
          <w:i/>
          <w:iCs/>
          <w:noProof/>
          <w:lang w:val="en-US"/>
        </w:rPr>
        <w:t>Nature Ecology &amp; Evolution</w:t>
      </w:r>
      <w:r w:rsidRPr="00646F5C">
        <w:rPr>
          <w:rFonts w:ascii="Calibri" w:hAnsi="Calibri" w:cs="Times New Roman"/>
          <w:noProof/>
          <w:lang w:val="en-US"/>
        </w:rPr>
        <w:t xml:space="preserve">, </w:t>
      </w:r>
      <w:r w:rsidRPr="00646F5C">
        <w:rPr>
          <w:rFonts w:ascii="Calibri" w:hAnsi="Calibri" w:cs="Times New Roman"/>
          <w:i/>
          <w:iCs/>
          <w:noProof/>
          <w:lang w:val="en-US"/>
        </w:rPr>
        <w:t>1</w:t>
      </w:r>
      <w:r w:rsidRPr="00646F5C">
        <w:rPr>
          <w:rFonts w:ascii="Calibri" w:hAnsi="Calibri" w:cs="Times New Roman"/>
          <w:noProof/>
          <w:lang w:val="en-US"/>
        </w:rPr>
        <w:t>(1), 1–12. https://doi.org/10.1038/s41559-016-0015</w:t>
      </w:r>
    </w:p>
    <w:p w14:paraId="5365F82B"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646F5C">
        <w:rPr>
          <w:rFonts w:ascii="Calibri" w:hAnsi="Calibri" w:cs="Times New Roman"/>
          <w:i/>
          <w:iCs/>
          <w:noProof/>
          <w:lang w:val="en-US"/>
        </w:rPr>
        <w:t>ISME Journal</w:t>
      </w:r>
      <w:r w:rsidRPr="00646F5C">
        <w:rPr>
          <w:rFonts w:ascii="Calibri" w:hAnsi="Calibri" w:cs="Times New Roman"/>
          <w:noProof/>
          <w:lang w:val="en-US"/>
        </w:rPr>
        <w:t xml:space="preserve">, </w:t>
      </w:r>
      <w:r w:rsidRPr="00646F5C">
        <w:rPr>
          <w:rFonts w:ascii="Calibri" w:hAnsi="Calibri" w:cs="Times New Roman"/>
          <w:i/>
          <w:iCs/>
          <w:noProof/>
          <w:lang w:val="en-US"/>
        </w:rPr>
        <w:t>7</w:t>
      </w:r>
      <w:r w:rsidRPr="00646F5C">
        <w:rPr>
          <w:rFonts w:ascii="Calibri" w:hAnsi="Calibri" w:cs="Times New Roman"/>
          <w:noProof/>
          <w:lang w:val="en-US"/>
        </w:rPr>
        <w:t>(11), 2069–2079. https://doi.org/10.1038/ismej.2013.93</w:t>
      </w:r>
    </w:p>
    <w:p w14:paraId="09EE64D0"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Steven, B., Hesse, C., Soghigian, J., Gallegos-Graves, L. V., &amp; Dunbar, J. (2017). Simulated rRNA/DNA ratios show potential to misclassify active populations as dormant. </w:t>
      </w:r>
      <w:r w:rsidRPr="00646F5C">
        <w:rPr>
          <w:rFonts w:ascii="Calibri" w:hAnsi="Calibri" w:cs="Times New Roman"/>
          <w:i/>
          <w:iCs/>
          <w:noProof/>
          <w:lang w:val="en-US"/>
        </w:rPr>
        <w:t>Applied and Environmental Microbiology</w:t>
      </w:r>
      <w:r w:rsidRPr="00646F5C">
        <w:rPr>
          <w:rFonts w:ascii="Calibri" w:hAnsi="Calibri" w:cs="Times New Roman"/>
          <w:noProof/>
          <w:lang w:val="en-US"/>
        </w:rPr>
        <w:t xml:space="preserve">, </w:t>
      </w:r>
      <w:r w:rsidRPr="00646F5C">
        <w:rPr>
          <w:rFonts w:ascii="Calibri" w:hAnsi="Calibri" w:cs="Times New Roman"/>
          <w:i/>
          <w:iCs/>
          <w:noProof/>
          <w:lang w:val="en-US"/>
        </w:rPr>
        <w:t>83</w:t>
      </w:r>
      <w:r w:rsidRPr="00646F5C">
        <w:rPr>
          <w:rFonts w:ascii="Calibri" w:hAnsi="Calibri" w:cs="Times New Roman"/>
          <w:noProof/>
          <w:lang w:val="en-US"/>
        </w:rPr>
        <w:t>(11), 1–11. https://doi.org/10.1128/AEM.00696-17</w:t>
      </w:r>
    </w:p>
    <w:p w14:paraId="199E3537" w14:textId="77777777" w:rsidR="00646F5C" w:rsidRPr="00646F5C" w:rsidRDefault="00646F5C" w:rsidP="00646F5C">
      <w:pPr>
        <w:widowControl w:val="0"/>
        <w:autoSpaceDE w:val="0"/>
        <w:autoSpaceDN w:val="0"/>
        <w:adjustRightInd w:val="0"/>
        <w:ind w:left="480" w:hanging="480"/>
        <w:rPr>
          <w:rFonts w:ascii="Calibri" w:hAnsi="Calibri" w:cs="Times New Roman"/>
          <w:noProof/>
          <w:lang w:val="en-US"/>
        </w:rPr>
      </w:pPr>
      <w:r w:rsidRPr="00646F5C">
        <w:rPr>
          <w:rFonts w:ascii="Calibri" w:hAnsi="Calibri" w:cs="Times New Roman"/>
          <w:noProof/>
          <w:lang w:val="en-US"/>
        </w:rPr>
        <w:t xml:space="preserve">Telling, J., Anesio, A. M., Hawkings, J., Tranter, M., Wadham, J. L., Hodson, A. J., … Yallop, M. L. (2010). Measuring rates of gross photosynthesis and net community production in cryoconite holes: A comparison of field methods. </w:t>
      </w:r>
      <w:r w:rsidRPr="00646F5C">
        <w:rPr>
          <w:rFonts w:ascii="Calibri" w:hAnsi="Calibri" w:cs="Times New Roman"/>
          <w:i/>
          <w:iCs/>
          <w:noProof/>
          <w:lang w:val="en-US"/>
        </w:rPr>
        <w:t>Annals of Glaciology</w:t>
      </w:r>
      <w:r w:rsidRPr="00646F5C">
        <w:rPr>
          <w:rFonts w:ascii="Calibri" w:hAnsi="Calibri" w:cs="Times New Roman"/>
          <w:noProof/>
          <w:lang w:val="en-US"/>
        </w:rPr>
        <w:t xml:space="preserve">, </w:t>
      </w:r>
      <w:r w:rsidRPr="00646F5C">
        <w:rPr>
          <w:rFonts w:ascii="Calibri" w:hAnsi="Calibri" w:cs="Times New Roman"/>
          <w:i/>
          <w:iCs/>
          <w:noProof/>
          <w:lang w:val="en-US"/>
        </w:rPr>
        <w:t>51</w:t>
      </w:r>
      <w:r w:rsidRPr="00646F5C">
        <w:rPr>
          <w:rFonts w:ascii="Calibri" w:hAnsi="Calibri" w:cs="Times New Roman"/>
          <w:noProof/>
          <w:lang w:val="en-US"/>
        </w:rPr>
        <w:t>(56), 153–162. https://doi.org/10.3189/172756411795932056</w:t>
      </w:r>
    </w:p>
    <w:p w14:paraId="656C348D" w14:textId="77777777" w:rsidR="00646F5C" w:rsidRPr="00646F5C" w:rsidRDefault="00646F5C" w:rsidP="00646F5C">
      <w:pPr>
        <w:widowControl w:val="0"/>
        <w:autoSpaceDE w:val="0"/>
        <w:autoSpaceDN w:val="0"/>
        <w:adjustRightInd w:val="0"/>
        <w:ind w:left="480" w:hanging="480"/>
        <w:rPr>
          <w:rFonts w:ascii="Calibri" w:hAnsi="Calibri"/>
          <w:noProof/>
        </w:rPr>
      </w:pPr>
      <w:r w:rsidRPr="00646F5C">
        <w:rPr>
          <w:rFonts w:ascii="Calibri" w:hAnsi="Calibri" w:cs="Times New Roman"/>
          <w:noProof/>
          <w:lang w:val="en-US"/>
        </w:rPr>
        <w:t xml:space="preserve">Zhang, Y., Zhao, Z., Dai, M., Jiao, N., &amp; Herndl, G. J. (2014). Drivers shaping the diversity and biogeography of total and active bacterial communities in the South China Sea. </w:t>
      </w:r>
      <w:r w:rsidRPr="00646F5C">
        <w:rPr>
          <w:rFonts w:ascii="Calibri" w:hAnsi="Calibri" w:cs="Times New Roman"/>
          <w:i/>
          <w:iCs/>
          <w:noProof/>
          <w:lang w:val="en-US"/>
        </w:rPr>
        <w:t>Molecular Ecology</w:t>
      </w:r>
      <w:r w:rsidRPr="00646F5C">
        <w:rPr>
          <w:rFonts w:ascii="Calibri" w:hAnsi="Calibri" w:cs="Times New Roman"/>
          <w:noProof/>
          <w:lang w:val="en-US"/>
        </w:rPr>
        <w:t xml:space="preserve">, </w:t>
      </w:r>
      <w:r w:rsidRPr="00646F5C">
        <w:rPr>
          <w:rFonts w:ascii="Calibri" w:hAnsi="Calibri" w:cs="Times New Roman"/>
          <w:i/>
          <w:iCs/>
          <w:noProof/>
          <w:lang w:val="en-US"/>
        </w:rPr>
        <w:t>23</w:t>
      </w:r>
      <w:r w:rsidRPr="00646F5C">
        <w:rPr>
          <w:rFonts w:ascii="Calibri" w:hAnsi="Calibri" w:cs="Times New Roman"/>
          <w:noProof/>
          <w:lang w:val="en-US"/>
        </w:rPr>
        <w:t>(9), 2260–2274. https://doi.org/10.1111/mec.12739</w:t>
      </w:r>
    </w:p>
    <w:p w14:paraId="7555357A" w14:textId="2ABD8852" w:rsidR="00973D01" w:rsidRDefault="00973D01" w:rsidP="00646F5C">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8240A"/>
    <w:rsid w:val="000B0F84"/>
    <w:rsid w:val="000E46FE"/>
    <w:rsid w:val="00103192"/>
    <w:rsid w:val="00126D70"/>
    <w:rsid w:val="00140D15"/>
    <w:rsid w:val="00181E47"/>
    <w:rsid w:val="00191855"/>
    <w:rsid w:val="001A3A9B"/>
    <w:rsid w:val="002114A7"/>
    <w:rsid w:val="00247449"/>
    <w:rsid w:val="00287AB7"/>
    <w:rsid w:val="0031294B"/>
    <w:rsid w:val="00314DC3"/>
    <w:rsid w:val="00326A27"/>
    <w:rsid w:val="00352379"/>
    <w:rsid w:val="0036552E"/>
    <w:rsid w:val="00374593"/>
    <w:rsid w:val="00392A59"/>
    <w:rsid w:val="003A006C"/>
    <w:rsid w:val="003B61D7"/>
    <w:rsid w:val="003D6CD2"/>
    <w:rsid w:val="003F105F"/>
    <w:rsid w:val="003F2AD4"/>
    <w:rsid w:val="004762D3"/>
    <w:rsid w:val="004863A9"/>
    <w:rsid w:val="004864FB"/>
    <w:rsid w:val="004B5005"/>
    <w:rsid w:val="004C2E95"/>
    <w:rsid w:val="004E1D73"/>
    <w:rsid w:val="004F1438"/>
    <w:rsid w:val="00500F98"/>
    <w:rsid w:val="00502AD1"/>
    <w:rsid w:val="00511661"/>
    <w:rsid w:val="005155B5"/>
    <w:rsid w:val="00531F7F"/>
    <w:rsid w:val="006467DC"/>
    <w:rsid w:val="00646F5C"/>
    <w:rsid w:val="006524CC"/>
    <w:rsid w:val="00674066"/>
    <w:rsid w:val="006A12E9"/>
    <w:rsid w:val="00715B7B"/>
    <w:rsid w:val="007574D4"/>
    <w:rsid w:val="007660B4"/>
    <w:rsid w:val="007730E7"/>
    <w:rsid w:val="00773497"/>
    <w:rsid w:val="00776274"/>
    <w:rsid w:val="007805F8"/>
    <w:rsid w:val="007877CC"/>
    <w:rsid w:val="00796127"/>
    <w:rsid w:val="007A7870"/>
    <w:rsid w:val="007B60A6"/>
    <w:rsid w:val="008049BE"/>
    <w:rsid w:val="008211C0"/>
    <w:rsid w:val="008803AD"/>
    <w:rsid w:val="008A44EA"/>
    <w:rsid w:val="008B0C76"/>
    <w:rsid w:val="008F6434"/>
    <w:rsid w:val="00902E0E"/>
    <w:rsid w:val="00903E33"/>
    <w:rsid w:val="009076E4"/>
    <w:rsid w:val="0092669D"/>
    <w:rsid w:val="00950E6A"/>
    <w:rsid w:val="00973D01"/>
    <w:rsid w:val="00975B94"/>
    <w:rsid w:val="0098799B"/>
    <w:rsid w:val="009A303A"/>
    <w:rsid w:val="009B6514"/>
    <w:rsid w:val="00A061AC"/>
    <w:rsid w:val="00A902EE"/>
    <w:rsid w:val="00A97CFF"/>
    <w:rsid w:val="00A97D85"/>
    <w:rsid w:val="00AC4032"/>
    <w:rsid w:val="00AF7B37"/>
    <w:rsid w:val="00B16DF0"/>
    <w:rsid w:val="00B909DC"/>
    <w:rsid w:val="00B92424"/>
    <w:rsid w:val="00BA62E9"/>
    <w:rsid w:val="00BD36A5"/>
    <w:rsid w:val="00BE408E"/>
    <w:rsid w:val="00BF6FDB"/>
    <w:rsid w:val="00C10BF8"/>
    <w:rsid w:val="00C46E3F"/>
    <w:rsid w:val="00CB335A"/>
    <w:rsid w:val="00CC2A97"/>
    <w:rsid w:val="00CF52D6"/>
    <w:rsid w:val="00D16011"/>
    <w:rsid w:val="00D26004"/>
    <w:rsid w:val="00D76E6E"/>
    <w:rsid w:val="00DB482F"/>
    <w:rsid w:val="00DB6EB4"/>
    <w:rsid w:val="00DC528E"/>
    <w:rsid w:val="00DD0206"/>
    <w:rsid w:val="00E1565B"/>
    <w:rsid w:val="00E15A2F"/>
    <w:rsid w:val="00E521DC"/>
    <w:rsid w:val="00E55AF2"/>
    <w:rsid w:val="00E566E6"/>
    <w:rsid w:val="00E8401A"/>
    <w:rsid w:val="00EC06C6"/>
    <w:rsid w:val="00EC1979"/>
    <w:rsid w:val="00ED1C35"/>
    <w:rsid w:val="00ED3A4B"/>
    <w:rsid w:val="00F018EA"/>
    <w:rsid w:val="00F27FDF"/>
    <w:rsid w:val="00F42139"/>
    <w:rsid w:val="00F45EA0"/>
    <w:rsid w:val="00F60544"/>
    <w:rsid w:val="00F75421"/>
    <w:rsid w:val="00FB68F3"/>
    <w:rsid w:val="00FD31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2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62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08878-65DC-2245-8D65-2364030DE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9</Pages>
  <Words>10318</Words>
  <Characters>79348</Characters>
  <Application>Microsoft Office Word</Application>
  <DocSecurity>0</DocSecurity>
  <Lines>1202</Lines>
  <Paragraphs>446</Paragraphs>
  <ScaleCrop>false</ScaleCrop>
  <Company/>
  <LinksUpToDate>false</LinksUpToDate>
  <CharactersWithSpaces>89220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9</cp:revision>
  <dcterms:created xsi:type="dcterms:W3CDTF">2021-01-18T07:54:00Z</dcterms:created>
  <dcterms:modified xsi:type="dcterms:W3CDTF">2021-01-18T09:08:00Z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