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F640DE" w14:textId="77777777" w:rsidR="007E6548" w:rsidRPr="00B14598" w:rsidRDefault="007E6548" w:rsidP="007E6548">
      <w:pPr>
        <w:rPr>
          <w:b/>
        </w:rPr>
      </w:pPr>
      <w:r w:rsidRPr="00B14598">
        <w:rPr>
          <w:b/>
        </w:rPr>
        <w:t>Introduction</w:t>
      </w:r>
      <w:r>
        <w:rPr>
          <w:b/>
        </w:rPr>
        <w:t xml:space="preserve"> </w:t>
      </w:r>
      <w:r>
        <w:rPr>
          <w:b/>
        </w:rPr>
        <w:fldChar w:fldCharType="begin" w:fldLock="1"/>
      </w:r>
      <w:r>
        <w:rPr>
          <w:b/>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relationship","type":"article-journal","volume":"750"},"uris":["http://www.mendeley.com/documents/?uuid=c3c93744-0349-4388-bfe7-7b70eaf3d39f"]}],"mendeley":{"formattedCitation":"(Li et al., 2021)","plainTextFormattedCitation":"(Li et al., 2021)","previouslyFormattedCitation":"(Li et al., 2021)"},"properties":{"noteIndex":0},"schema":"https://github.com/citation-style-language/schema/raw/master/csl-citation.json"}</w:instrText>
      </w:r>
      <w:r>
        <w:rPr>
          <w:b/>
        </w:rPr>
        <w:fldChar w:fldCharType="separate"/>
      </w:r>
      <w:r w:rsidRPr="00B14598">
        <w:rPr>
          <w:noProof/>
        </w:rPr>
        <w:t>(Li et al., 2021)</w:t>
      </w:r>
      <w:r>
        <w:rPr>
          <w:b/>
        </w:rPr>
        <w:fldChar w:fldCharType="end"/>
      </w:r>
    </w:p>
    <w:p w14:paraId="2C2340F8" w14:textId="77777777" w:rsidR="007E6548" w:rsidRDefault="007E6548" w:rsidP="007E6548">
      <w:r>
        <w:t xml:space="preserve">In order for us to develop a comprehensive understanding of prokaryotic ecological processes it is fundamental we understand their biogeography. High-throughput sequencing has greatly increased the resolution of our biogeographic knowledge by amplifying extracted DNA. These DNA extracts can include active cells, dormant cells, dead cells, or extracellular DNA from lysed or degraded cells </w:t>
      </w:r>
      <w:r>
        <w:fldChar w:fldCharType="begin" w:fldLock="1"/>
      </w:r>
      <w:r>
        <w:instrText>ADDIN CSL_CITATION {"citationItems":[{"id":"ITEM-1","itemData":{"DOI":"10.1111/j.1462-2920.2010.02392.x","ISSN":"14622912","PMID":"21176054","abstract":"Ribosomal tag libraries based on DNA and RNA in coral reef sediment from Hawaii show the microbial community to be dominated by the bacterial phyla Proteobacteria, Firmicutes and Actinobacteria, the archaeal order Nitrosopumilales and the uncultivated divisions Marine Group III (Euryarchaeota) and Marine Benthic Group C (Crenarchaeota). Operational taxonomic units (OTUs) number in the high thousands, and richness varies with site, presence or absence of porewater sulfide (sediment depth), and nucleotide pool. Rank abundance curves of DNA-based libraries, but not RNA-based libraries, possess a tail of low abundance taxa, supporting the existence of an inactive 'rare' biosphere. While bacterial libraries from two oxic samples differ markedly, those from two anoxic (sulfidic) samples are similar. The four dominant bacterial OTUs are members of genera that include pathogens, but are found in marine environments, and include facultative anaerobes, i.e. dissimilatory nitrate reducers and denitrifiers. This may explain their abundance in both oxic and anoxic samples. A numerous archaeon is closely related to the lithoautotrophic ammonia oxidizer Nitrosopumilus maritimus. Known bacterial ammonia oxidizers are essentially absent, but bacterial nitrite oxidizers are abundant. Although other studies of this reef found evidence for anaerobic ammonia oxidizers, primer bias rendered that clade invisible to this study. © 2010 Society for Applied Microbiology and Blackwell Publishing Ltd.","author":[{"dropping-particle":"","family":"Gaidos","given":"Eric","non-dropping-particle":"","parse-names":false,"suffix":""},{"dropping-particle":"","family":"Rusch","given":"Antje","non-dropping-particle":"","parse-names":false,"suffix":""},{"dropping-particle":"","family":"Ilardo","given":"Melissa","non-dropping-particle":"","parse-names":false,"suffix":""}],"container-title":"Environmental Microbiology","id":"ITEM-1","issue":"5","issued":{"date-parts":[["2011"]]},"page":"1138-1152","title":"Ribosomal tag pyrosequencing of DNA and RNA from benthic coral reef microbiota: Community spatial structure, rare members and nitrogen-cycling guilds","type":"article-journal","volume":"13"},"uris":["http://www.mendeley.com/documents/?uuid=7b4d019c-e864-48fc-9355-c32e90128dcc"]}],"mendeley":{"formattedCitation":"(Gaidos, Rusch, &amp; Ilardo, 2011)","plainTextFormattedCitation":"(Gaidos, Rusch, &amp; Ilardo, 2011)","previouslyFormattedCitation":"(Gaidos, Rusch, &amp; Ilardo, 2011)"},"properties":{"noteIndex":0},"schema":"https://github.com/citation-style-language/schema/raw/master/csl-citation.json"}</w:instrText>
      </w:r>
      <w:r>
        <w:fldChar w:fldCharType="separate"/>
      </w:r>
      <w:r w:rsidRPr="00C30D35">
        <w:rPr>
          <w:noProof/>
        </w:rPr>
        <w:t>(Gaidos, Rusch, &amp; Ilardo, 2011)</w:t>
      </w:r>
      <w:r>
        <w:fldChar w:fldCharType="end"/>
      </w:r>
      <w:r>
        <w:t>. RNA-derived analysis provides an alternative, allowing us to study only the potentially active microbial community. However, RNA-based microbial biogeography, community assembly and co-occurrence data are limited.</w:t>
      </w:r>
    </w:p>
    <w:p w14:paraId="5F802609" w14:textId="26A9554B" w:rsidR="007E6548" w:rsidRDefault="007E6548" w:rsidP="007E6548">
      <w:r>
        <w:t xml:space="preserve">  The distance-decay relationship (DDR), whereby community dissimilarity increases with geographic distance, is the most well established biogeographic pattern </w:t>
      </w:r>
      <w:r>
        <w:fldChar w:fldCharType="begin" w:fldLock="1"/>
      </w:r>
      <w:r>
        <w:instrText>ADDIN CSL_CITATION {"citationItems":[{"id":"ITEM-1","itemData":{"DOI":"10.1046/j.1365-2699.1999.00305.x","ISSN":"03050270","abstract":"Aim. Our aim was to understand how similarity changes with distance in biological communities, to use the distance decay perspective as quantitative technique to describe biogeographic pattern, and to explore whether growth form, dispersal type, rarity, or support affected the rate of distance decay in similarity. Location. North American spruce-fir forests, Appalachian montane spruce-fir forests. Methods. We estimated rates of distance decay through regression of log-transformed compositional similarity against distance for pairwise comparisons of thirty-four white spruce plots and twenty-six black spruce plots distributed from eastern Canada to Alaska, six regional floras along the crest of the Appalachians, and six regional floras along the east-west extent of the boreal forest. Results. Similarity decreased significantly with distance, with the most linear models relating the log of similarity to untransformed distance. The rate of similarity decay was 1.5-1.9 times higher for vascular plants than for bryophytes. The rate of distance decay was highest for berry-fruited and nut-bearing species (1.7 times higher than plumose-seeded species and 1.9 times higher than microseeded/spore species) and 2.1 times higher for herbs than woody plants. There was no distance decay for rare species, while species of intermediate frequency had 2.0 times higher distance decay rates than common species. The rate of distance decay was 2.7 times higher for floras from the fragmented Appalachians than for floras from the contiguous boreal forest. Main conclusions. The distance decay of similarity can be caused by either a decrease in environmental similarity with distance (e.g. climatic gradients) or by limits to dispersal and niche width differences among taxa. Regardless of cause, the distance decay of similarity provides a simple descriptor of how biological diversity is distributed and therefore has consequences for conservation strategy.","author":[{"dropping-particle":"","family":"Nekola","given":"Jeffrey C.","non-dropping-particle":"","parse-names":false,"suffix":""},{"dropping-particle":"","family":"White","given":"Peter S.","non-dropping-particle":"","parse-names":false,"suffix":""}],"container-title":"Journal of Biogeography","id":"ITEM-1","issue":"4","issued":{"date-parts":[["1999"]]},"page":"867-878","title":"The distance decay of similarity in biogeography and ecology","type":"article-journal","volume":"26"},"uris":["http://www.mendeley.com/documents/?uuid=ebc04dd8-c6aa-4d02-9f5d-48db855c1f12"]}],"mendeley":{"formattedCitation":"(Nekola &amp; White, 1999)","plainTextFormattedCitation":"(Nekola &amp; White, 1999)","previouslyFormattedCitation":"(Nekola &amp; White, 1999)"},"properties":{"noteIndex":0},"schema":"https://github.com/citation-style-language/schema/raw/master/csl-citation.json"}</w:instrText>
      </w:r>
      <w:r>
        <w:fldChar w:fldCharType="separate"/>
      </w:r>
      <w:r w:rsidRPr="00F31AC4">
        <w:rPr>
          <w:noProof/>
        </w:rPr>
        <w:t>(Nekola &amp; White, 1999)</w:t>
      </w:r>
      <w:r>
        <w:fldChar w:fldCharType="end"/>
      </w:r>
      <w:r>
        <w:t>. Despite this, the processes driving microbial biogeographic patterns are a subject of much debate. Traditionally, microbial community assembly was thought to be shaped by niche-based, deterministic processes, as famously articulated by Baas-</w:t>
      </w:r>
      <w:proofErr w:type="spellStart"/>
      <w:r>
        <w:t>Becking’s</w:t>
      </w:r>
      <w:proofErr w:type="spellEnd"/>
      <w:r>
        <w:t xml:space="preserve"> dictum, ‘</w:t>
      </w:r>
      <w:r w:rsidRPr="002E18B9">
        <w:rPr>
          <w:i/>
        </w:rPr>
        <w:t>Everything is everywhere,</w:t>
      </w:r>
      <w:r w:rsidRPr="002E18B9">
        <w:t xml:space="preserve"> but</w:t>
      </w:r>
      <w:r w:rsidRPr="002E18B9">
        <w:rPr>
          <w:i/>
        </w:rPr>
        <w:t>, the environment selects’</w:t>
      </w:r>
      <w:r>
        <w:t xml:space="preserve"> </w:t>
      </w:r>
      <w:r>
        <w:fldChar w:fldCharType="begin" w:fldLock="1"/>
      </w:r>
      <w: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fldChar w:fldCharType="separate"/>
      </w:r>
      <w:r w:rsidRPr="002F4353">
        <w:rPr>
          <w:noProof/>
        </w:rPr>
        <w:t>(Baas-Becking, 1934)</w:t>
      </w:r>
      <w:r>
        <w:fldChar w:fldCharType="end"/>
      </w:r>
      <w:r>
        <w:t xml:space="preserve">. This states that microbes enjoy a cosmopolitan distribution as a result of their small size and massive population numbers, but environmental filtering prevents certain species from becoming established in a particular habitat. Each species needs a suitable niche in order to establish a population and niches are shaped by biotic (temperature, salinity pH) and abiotic (inter- and intra- specific competition and cooperation) factors. In this scenario microbial community assembly is driven by deterministic (non-random) processes, including environmental filtering and taxa interactions. Despite this, some studies have found evidence to suggest microbial communities are shaped by stochastic processes such as dispersal and ecological drift </w:t>
      </w:r>
      <w:r>
        <w:fldChar w:fldCharType="begin" w:fldLock="1"/>
      </w:r>
      <w:r>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Microbiology","id":"ITEM-2","issue":"8","issued":{"date-parts":[["2005"]]},"page":"1220-1226","title":"Island size and bacterial diversity in an archipelago of engineering machines","type":"article-journal","volume":"7"},"uris":["http://www.mendeley.com/documents/?uuid=48a37612-a009-419f-b318-6700d75584d1"]},{"id":"ITEM-3","itemData":{"DOI":"10.1111/j.1462-2920.2006.00996.x","ISSN":"14622912","PMID":"16689725","abstract":"It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Microbiology","id":"ITEM-3","issue":"6","issued":{"date-parts":[["2006"]]},"page":"1048-1055","title":"Bacterial diversity is determined by volume in membrane bioreactors","type":"article-journal","volume":"8"},"uris":["http://www.mendeley.com/documents/?uuid=4a11c761-9b44-4325-a2fa-291fe670c23b"]}],"mendeley":{"formattedCitation":"(Bell et al., 2005; Van Der Gast et al., 2006; Van Der Gast, Lilley, Ager, &amp; Thompson, 2005)","plainTextFormattedCitation":"(Bell et al., 2005; Van Der Gast et al., 2006; Van Der Gast, Lilley, Ager, &amp; Thompson, 2005)","previouslyFormattedCitation":"(Bell et al., 2005; Van Der Gast et al., 2006; Van Der Gast, Lilley, Ager, &amp; Thompson, 2005)"},"properties":{"noteIndex":0},"schema":"https://github.com/citation-style-language/schema/raw/master/csl-citation.json"}</w:instrText>
      </w:r>
      <w:r>
        <w:fldChar w:fldCharType="separate"/>
      </w:r>
      <w:r w:rsidRPr="001176A7">
        <w:rPr>
          <w:noProof/>
        </w:rPr>
        <w:t>(Bell et al., 2005; Van Der Gast et al., 2006; Van Der Gast, Lilley, Ager, &amp; Thompson, 2005)</w:t>
      </w:r>
      <w:r>
        <w:fldChar w:fldCharType="end"/>
      </w:r>
      <w:r>
        <w:t xml:space="preserve">. Stochastic processes of community assembly are defined by neutral theory as those that are random and have equal probability of occurring to any individual from any species. Each individual within a community has an equal probability of dispersal, reproduction and death </w:t>
      </w:r>
      <w:r>
        <w:fldChar w:fldCharType="begin" w:fldLock="1"/>
      </w:r>
      <w:r>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fldChar w:fldCharType="separate"/>
      </w:r>
      <w:r w:rsidRPr="00247F7C">
        <w:rPr>
          <w:noProof/>
        </w:rPr>
        <w:t>(Hubbell, 2001)</w:t>
      </w:r>
      <w:r>
        <w:fldChar w:fldCharType="end"/>
      </w:r>
      <w:r>
        <w:t xml:space="preserve">. Dispersal limitation is a fundamental mechanism of neutral theory and may contribute to DDRs. In order to understand the processes driving microbial biogeographic patterns (particularly DDR), research has focused on the relative contribution of stochastic and deterministic processes. However, studies have been primarily DNA-based, rather than focusing on the active community. Previous studies exploring prokaryotic biogeography of cryoconite holes has relied on DNA-based sequencing as well as OTU clustering </w:t>
      </w:r>
      <w:r>
        <w:fldChar w:fldCharType="begin" w:fldLock="1"/>
      </w:r>
      <w:r w:rsidR="00623DAA">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et al., 2018)"},"properties":{"noteIndex":0},"schema":"https://github.com/citation-style-language/schema/raw/master/csl-citation.json"}</w:instrText>
      </w:r>
      <w:r>
        <w:fldChar w:fldCharType="separate"/>
      </w:r>
      <w:r w:rsidR="00623DAA" w:rsidRPr="00623DAA">
        <w:rPr>
          <w:noProof/>
        </w:rPr>
        <w:t>(Darcy, Gendron, Sommers, Porazinska, &amp; Schmidt, 2018)</w:t>
      </w:r>
      <w:r>
        <w:fldChar w:fldCharType="end"/>
      </w:r>
      <w:r>
        <w:t>. In this investigation I address some of the issues with these studies by focusing on the active prokaryotic community and grouping sequences into amplicon sequence variants (ASVs).</w:t>
      </w:r>
    </w:p>
    <w:p w14:paraId="52400D19" w14:textId="77777777" w:rsidR="007E6548" w:rsidRDefault="007E6548" w:rsidP="007E6548">
      <w:r>
        <w:t xml:space="preserve">  Many studies have found correlations between prokaryotic community composition and environmental factors, suggesting these communities are shaped by deterministic, environmental filtering. However, active communities may exhibit a more significant DDR and be shaped by a greater relative contribution of stochastic processes than total communities. Active communities experience greater dispersal limitation as they require an appropriate niche to successfully establish on immigrating to a new habitat whilst then being shaped by drift </w:t>
      </w:r>
      <w:r>
        <w:fldChar w:fldCharType="begin" w:fldLock="1"/>
      </w:r>
      <w:r>
        <w:instrText>ADDIN CSL_CITATION {"citationItems":[{"id":"ITEM-1","itemData":{"DOI":"10.1038/nrmicro2795","ISSN":"17401526","PMID":"22580365","abstract":"Recently, microbiologists have established the existence of biogeographic patterns among a wide range of microorganisms. The focus of the field is now shifting to identifying the mechanisms that shape these patterns. Here, we propose that four processes - selection, drift, dispersal and mutation - create and maintain microbial biogeographic patterns on inseparable ecological and evolutionary scales. We consider how the interplay of these processes affects one biogeographic pattern, the distance-decay relationship, and review evidence from the published literature for the processes driving this pattern in microorganisms. Given the limitations of inferring processes from biogeographic patterns, we suggest that studies should focus on directly testing the underlying processes. © 2012 Macmillan Publishers Limited. All rights reserved.","author":[{"dropping-particle":"","family":"Hanson","given":"China A.","non-dropping-particle":"","parse-names":false,"suffix":""},{"dropping-particle":"","family":"Fuhrman","given":"Jed A.","non-dropping-particle":"","parse-names":false,"suffix":""},{"dropping-particle":"","family":"Horner-Devine","given":"M. Claire","non-dropping-particle":"","parse-names":false,"suffix":""},{"dropping-particle":"","family":"Martiny","given":"Jennifer B.H.","non-dropping-particle":"","parse-names":false,"suffix":""}],"container-title":"Nature Reviews Microbiology","id":"ITEM-1","issue":"7","issued":{"date-parts":[["2012"]]},"page":"497-506","publisher":"Nature Publishing Group","title":"Beyond biogeographic patterns: Processes shaping the microbial landscape","type":"article-journal","volume":"10"},"uris":["http://www.mendeley.com/documents/?uuid=538c270f-1a19-479d-84bc-8fe136449077"]}],"mendeley":{"formattedCitation":"(Hanson, Fuhrman, Horner-Devine, &amp; Martiny, 2012)","plainTextFormattedCitation":"(Hanson, Fuhrman, Horner-Devine, &amp; Martiny, 2012)","previouslyFormattedCitation":"(Hanson, Fuhrman, Horner-Devine, &amp; Martiny, 2012)"},"properties":{"noteIndex":0},"schema":"https://github.com/citation-style-language/schema/raw/master/csl-citation.json"}</w:instrText>
      </w:r>
      <w:r>
        <w:fldChar w:fldCharType="separate"/>
      </w:r>
      <w:r w:rsidRPr="00ED647D">
        <w:rPr>
          <w:noProof/>
        </w:rPr>
        <w:t>(Hanson, Fuhrman, Horner-Devine, &amp; Martiny, 2012)</w:t>
      </w:r>
      <w:r>
        <w:fldChar w:fldCharType="end"/>
      </w:r>
      <w:r>
        <w:t xml:space="preserve">.  </w:t>
      </w:r>
    </w:p>
    <w:p w14:paraId="7E434C26" w14:textId="77777777" w:rsidR="007E6548" w:rsidRDefault="007E6548" w:rsidP="007E6548">
      <w:r>
        <w:t xml:space="preserve">  Microbial community assembly is also shaped by biotic factors (i.e. taxa interactions) and this can be evaluated by co-occurrence network analysis </w:t>
      </w:r>
      <w:r>
        <w:fldChar w:fldCharType="begin" w:fldLock="1"/>
      </w:r>
      <w:r>
        <w:instrText>ADDIN CSL_CITATION {"citationItems":[{"id":"ITEM-1","itemData":{"DOI":"10.1038/nrmicro2832","ISSN":"17401526","PMID":"22796884","abstract":"Metagenomics and 16S pyrosequencing have enabled the study of ecosystem structure and dynamics to great depth and accuracy. Co-occurrence and correlation patterns found in these data sets are increasingly used for the prediction of species interactions in environments ranging from the oceans to the human microbiome. In addition, parallelized co-culture assays and combinatorial labelling experiments allow high-throughput discovery of cooperative and competitive relationships between species. In this Review, we describe how these techniques are opening the way towards global ecosystem network prediction and the development of ecosystem-wide dynamic models. © 2012 Macmillan Publishers Limited. All rights reserved.","author":[{"dropping-particle":"","family":"Faust","given":"Karoline","non-dropping-particle":"","parse-names":false,"suffix":""},{"dropping-particle":"","family":"Raes","given":"Jeroen","non-dropping-particle":"","parse-names":false,"suffix":""}],"container-title":"Nature Reviews Microbiology","id":"ITEM-1","issue":"8","issued":{"date-parts":[["2012"]]},"page":"538-550","publisher":"Nature Publishing Group","title":"Microbial interactions: From networks to models","type":"article-journal","volume":"10"},"uris":["http://www.mendeley.com/documents/?uuid=64bc1f4b-fd65-49dc-8a04-1a7a40655e35"]}],"mendeley":{"formattedCitation":"(Faust &amp; Raes, 2012)","plainTextFormattedCitation":"(Faust &amp; Raes, 2012)","previouslyFormattedCitation":"(Faust &amp; Raes, 2012)"},"properties":{"noteIndex":0},"schema":"https://github.com/citation-style-language/schema/raw/master/csl-citation.json"}</w:instrText>
      </w:r>
      <w:r>
        <w:fldChar w:fldCharType="separate"/>
      </w:r>
      <w:r w:rsidRPr="00271DC9">
        <w:rPr>
          <w:noProof/>
        </w:rPr>
        <w:t>(Faust &amp; Raes, 2012)</w:t>
      </w:r>
      <w:r>
        <w:fldChar w:fldCharType="end"/>
      </w:r>
      <w:r>
        <w:t xml:space="preserve">. Network analysis has been widely used to infer microbial interactions and recently has been used to explore geographic distribution of microbial co-occurrence relationships </w:t>
      </w:r>
      <w:r>
        <w:fldChar w:fldCharType="begin" w:fldLock="1"/>
      </w:r>
      <w:r>
        <w:instrText>ADDIN CSL_CITATION {"citationItems":[{"id":"ITEM-1","itemData":{"DOI":"10.1038/s41396-020-0621-7","ISSN":"17517370","PMID":"32132664","abstract":"Studies of marine benthic archaeal communities are updating our view of their taxonomic composition and metabolic versatility. However, large knowledge gaps remain with regard to community assembly processes and inter taxa associations. Here, using 16S rRNA gene amplicon sequencing and qPCR, we investigated the spatiotemporal dynamics, assembly processes, and co-occurrence relationships of the archaeal community in 58 surface sediment samples collected in both summer and winter from across ~1500 km of the eastern Chinese marginal seas. Clear patterns in spatiotemporal dynamics in the archaeal community structure were observed, with a more pronounced spatial rather than seasonal variation. Accompanying the geographic variation was a significant distance-decay pattern with varying contributions from different archaeal clades, determined by their relative abundance. In both seasons, dispersal limitation was the most important process, explaining ~40% of the community variation, followed by homogeneous selection and ecological drift, that made an approximately equal contribution (~30%). This meant that stochasticity rather than determinism had a greater impact on the archaeal community assembly. Furthermore, we observed seasonality in archaeal co-occurrence patterns: closer inter-taxa connections in winter than in summer, and unmatched geographic patterns between community composition and co-occurrence relationship. These results demonstrate that the benthic archaeal community was assembled under a seasonal-consistent mechanism but the co-occurrence relationships changed over the seasons, indicating complex archaeal dynamic patterns in coastal sediments of the eastern Chinese marginal seas.","author":[{"dropping-particle":"","family":"Liu","given":"Jiwen","non-dropping-particle":"","parse-names":false,"suffix":""},{"dropping-particle":"","family":"Zhu","given":"Shangqing","non-dropping-particle":"","parse-names":false,"suffix":""},{"dropping-particle":"","family":"Liu","given":"Xiaoyue","non-dropping-particle":"","parse-names":false,"suffix":""},{"dropping-particle":"","family":"Yao","given":"Peng","non-dropping-particle":"","parse-names":false,"suffix":""},{"dropping-particle":"","family":"Ge","given":"Tiantian","non-dropping-particle":"","parse-names":false,"suffix":""},{"dropping-particle":"","family":"Zhang","given":"Xiao Hua","non-dropping-particle":"","parse-names":false,"suffix":""}],"container-title":"ISME Journal","id":"ITEM-1","issue":"6","issued":{"date-parts":[["2020"]]},"page":"1463-1478","publisher":"Springer US","title":"Spatiotemporal dynamics of the archaeal community in coastal sediments: assembly process and co-occurrence relationship","type":"article-journal","volume":"14"},"uris":["http://www.mendeley.com/documents/?uuid=e004efd4-c4d6-4171-b4d9-ab53f76efa0d"]}],"mendeley":{"formattedCitation":"(Liu et al., 2020)","plainTextFormattedCitation":"(Liu et al., 2020)","previouslyFormattedCitation":"(Liu et al., 2020)"},"properties":{"noteIndex":0},"schema":"https://github.com/citation-style-language/schema/raw/master/csl-citation.json"}</w:instrText>
      </w:r>
      <w:r>
        <w:fldChar w:fldCharType="separate"/>
      </w:r>
      <w:r w:rsidRPr="004E3CAA">
        <w:rPr>
          <w:noProof/>
        </w:rPr>
        <w:t>(Liu et al., 2020)</w:t>
      </w:r>
      <w:r>
        <w:fldChar w:fldCharType="end"/>
      </w:r>
      <w:r>
        <w:t>.</w:t>
      </w:r>
    </w:p>
    <w:p w14:paraId="76CD465C" w14:textId="6632507A" w:rsidR="007E6548" w:rsidRDefault="007E6548" w:rsidP="007E6548">
      <w:r>
        <w:lastRenderedPageBreak/>
        <w:t xml:space="preserve">  This study quantifies prokaryotic community abundances and activities as well as the diversity, composition and biogeography of active communities. Moreover, it identifies the relative contribution of deterministic and stochastic processes of community assembly and carries out co-occurrence network analysis to explore the relationship between active prokaryote taxa and the geographic patterns of those relationships.  </w:t>
      </w:r>
    </w:p>
    <w:p w14:paraId="3346505B" w14:textId="2B858C73" w:rsidR="00623DAA" w:rsidRDefault="00623DAA" w:rsidP="007E6548"/>
    <w:p w14:paraId="3D69E601" w14:textId="7AF7CCE2" w:rsidR="00623DAA" w:rsidRDefault="00623DAA" w:rsidP="007E6548">
      <w:r>
        <w:t xml:space="preserve">Introduction </w:t>
      </w:r>
      <w:r>
        <w:fldChar w:fldCharType="begin" w:fldLock="1"/>
      </w:r>
      <w: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2016)","plainTextFormattedCitation":"(Hatzenpichler et al., 2016)"},"properties":{"noteIndex":0},"schema":"https://github.com/citation-style-language/schema/raw/master/csl-citation.json"}</w:instrText>
      </w:r>
      <w:r>
        <w:fldChar w:fldCharType="separate"/>
      </w:r>
      <w:r w:rsidRPr="00623DAA">
        <w:rPr>
          <w:noProof/>
        </w:rPr>
        <w:t>(Hatzenpichler et al., 2016)</w:t>
      </w:r>
      <w:r>
        <w:fldChar w:fldCharType="end"/>
      </w:r>
    </w:p>
    <w:p w14:paraId="0F7BED6B" w14:textId="204FEA54" w:rsidR="00623DAA" w:rsidRDefault="00623DAA" w:rsidP="007E6548"/>
    <w:p w14:paraId="34DD64CB" w14:textId="36866B60" w:rsidR="00623DAA" w:rsidRDefault="00623DAA" w:rsidP="007E6548">
      <w:r>
        <w:t xml:space="preserve">Environmental microbiology is concerned with understanding the physiology, niche differentiation and activities of microorganisms within their habitat. For a complete understanding of microbial </w:t>
      </w:r>
      <w:proofErr w:type="gramStart"/>
      <w:r>
        <w:t>ecology</w:t>
      </w:r>
      <w:proofErr w:type="gramEnd"/>
      <w:r>
        <w:t xml:space="preserve"> we must look to move beyond simply identifying microbes, but also quantifying in situ activity.  </w:t>
      </w:r>
    </w:p>
    <w:p w14:paraId="5DD2133F" w14:textId="78482E20" w:rsidR="00623DAA" w:rsidRDefault="00623DAA" w:rsidP="007E6548">
      <w:r>
        <w:t xml:space="preserve">  Approaches for studying the in situ anabolic activity of microbes includes: </w:t>
      </w:r>
      <w:proofErr w:type="spellStart"/>
      <w:r>
        <w:t>microautoradiography</w:t>
      </w:r>
      <w:proofErr w:type="spellEnd"/>
      <w:r>
        <w:t xml:space="preserve"> (MAR), secondary ion mass spectroscopy (SIMS and </w:t>
      </w:r>
      <w:proofErr w:type="spellStart"/>
      <w:r>
        <w:t>nanoSIMS</w:t>
      </w:r>
      <w:proofErr w:type="spellEnd"/>
      <w:r>
        <w:t xml:space="preserve">), and Raman </w:t>
      </w:r>
      <w:proofErr w:type="spellStart"/>
      <w:r>
        <w:t>microspectroscopy</w:t>
      </w:r>
      <w:proofErr w:type="spellEnd"/>
      <w:r>
        <w:t xml:space="preserve">. MAR and SIMS are destructive techniques that prevent downstream sample analysis (cell sorting, </w:t>
      </w:r>
      <w:proofErr w:type="spellStart"/>
      <w:r>
        <w:t>subculturing</w:t>
      </w:r>
      <w:proofErr w:type="spellEnd"/>
      <w:r>
        <w:t>, genomic sequencing).</w:t>
      </w:r>
      <w:r w:rsidR="004E6E64">
        <w:t xml:space="preserve"> These </w:t>
      </w:r>
      <w:proofErr w:type="gramStart"/>
      <w:r w:rsidR="004E6E64">
        <w:t>isotope based</w:t>
      </w:r>
      <w:proofErr w:type="gramEnd"/>
      <w:r w:rsidR="004E6E64">
        <w:t xml:space="preserve"> techniques may also require prohibitively expensive or unavailable biomolecules.</w:t>
      </w:r>
    </w:p>
    <w:p w14:paraId="041E7000" w14:textId="1A48A72A" w:rsidR="004E6E64" w:rsidRDefault="004E6E64" w:rsidP="007E6548">
      <w:r>
        <w:t xml:space="preserve">  BONCAT offers a </w:t>
      </w:r>
      <w:proofErr w:type="spellStart"/>
      <w:r>
        <w:t>nondestructive</w:t>
      </w:r>
      <w:proofErr w:type="spellEnd"/>
      <w:r>
        <w:t xml:space="preserve"> alternative to isotope-based techniques. With BONCAT active cells are labelled with chemically modifiable biomolecule analogues.</w:t>
      </w:r>
      <w:bookmarkStart w:id="0" w:name="_GoBack"/>
      <w:bookmarkEnd w:id="0"/>
      <w:r>
        <w:t xml:space="preserve"> </w:t>
      </w:r>
    </w:p>
    <w:p w14:paraId="4005D7D7" w14:textId="77777777" w:rsidR="005D32D0" w:rsidRDefault="004E6E64"/>
    <w:sectPr w:rsidR="005D32D0" w:rsidSect="00DC528E">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548"/>
    <w:rsid w:val="004E6E64"/>
    <w:rsid w:val="00511661"/>
    <w:rsid w:val="005155B5"/>
    <w:rsid w:val="00623DAA"/>
    <w:rsid w:val="007574D4"/>
    <w:rsid w:val="007877CC"/>
    <w:rsid w:val="007B60A6"/>
    <w:rsid w:val="007E6548"/>
    <w:rsid w:val="008F6434"/>
    <w:rsid w:val="00DB482F"/>
    <w:rsid w:val="00DC5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D146"/>
  <w14:defaultImageDpi w14:val="32767"/>
  <w15:chartTrackingRefBased/>
  <w15:docId w15:val="{E0ED2636-C8AB-C948-9133-5F2365B5B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E654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90755A-D648-724D-8897-AF919FC348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4309</Words>
  <Characters>33144</Characters>
  <Application>Microsoft Office Word</Application>
  <DocSecurity>0</DocSecurity>
  <Lines>502</Lines>
  <Paragraphs>186</Paragraphs>
  <ScaleCrop>false</ScaleCrop>
  <Company/>
  <LinksUpToDate>false</LinksUpToDate>
  <CharactersWithSpaces>37267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3</cp:revision>
  <dcterms:created xsi:type="dcterms:W3CDTF">2021-01-12T16:10:00Z</dcterms:created>
  <dcterms:modified xsi:type="dcterms:W3CDTF">2021-01-13T12:09:00Z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