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BE1CD" w14:textId="7C421C4F" w:rsidR="005D32D0" w:rsidRDefault="0043761B">
      <w:r>
        <w:t>Supervisor meeting discussion notes:</w:t>
      </w:r>
    </w:p>
    <w:p w14:paraId="0F450A06" w14:textId="669E3D74" w:rsidR="0043761B" w:rsidRDefault="0043761B"/>
    <w:p w14:paraId="73529DB8" w14:textId="77777777" w:rsidR="0043761B" w:rsidRDefault="0043761B">
      <w:r>
        <w:t>SCAR Webinar series:</w:t>
      </w:r>
    </w:p>
    <w:p w14:paraId="5FA86A99" w14:textId="2A4BF5C0" w:rsidR="0043761B" w:rsidRDefault="0043761B" w:rsidP="0043761B">
      <w:pPr>
        <w:pStyle w:val="ListParagraph"/>
        <w:numPr>
          <w:ilvl w:val="0"/>
          <w:numId w:val="1"/>
        </w:numPr>
      </w:pPr>
      <w:r>
        <w:t xml:space="preserve">standardised recording of data using </w:t>
      </w:r>
      <w:proofErr w:type="spellStart"/>
      <w:r>
        <w:t>DarwinCore</w:t>
      </w:r>
      <w:proofErr w:type="spellEnd"/>
      <w:r>
        <w:t xml:space="preserve"> and </w:t>
      </w:r>
      <w:proofErr w:type="spellStart"/>
      <w:r>
        <w:t>MIxS</w:t>
      </w:r>
      <w:proofErr w:type="spellEnd"/>
      <w:r>
        <w:t xml:space="preserve"> (genomic standards consortium)</w:t>
      </w:r>
    </w:p>
    <w:p w14:paraId="3F1F9F3E" w14:textId="34B28D9B" w:rsidR="0043761B" w:rsidRDefault="0043761B" w:rsidP="0043761B">
      <w:pPr>
        <w:pStyle w:val="ListParagraph"/>
        <w:numPr>
          <w:ilvl w:val="0"/>
          <w:numId w:val="1"/>
        </w:numPr>
      </w:pPr>
      <w:r>
        <w:t xml:space="preserve">quality control using </w:t>
      </w:r>
      <w:proofErr w:type="spellStart"/>
      <w:r>
        <w:t>cookiecutter</w:t>
      </w:r>
      <w:proofErr w:type="spellEnd"/>
      <w:r>
        <w:t xml:space="preserve"> (python application that creates well-defined project structure), </w:t>
      </w:r>
      <w:proofErr w:type="spellStart"/>
      <w:r>
        <w:t>OpenRefine</w:t>
      </w:r>
      <w:proofErr w:type="spellEnd"/>
      <w:r>
        <w:t xml:space="preserve"> for cleaning up data</w:t>
      </w:r>
    </w:p>
    <w:p w14:paraId="40EF3D57" w14:textId="5C84105D" w:rsidR="0043761B" w:rsidRDefault="0043761B" w:rsidP="0043761B"/>
    <w:p w14:paraId="5174B4BF" w14:textId="7E3FE4DE" w:rsidR="0043761B" w:rsidRDefault="0043761B" w:rsidP="0043761B">
      <w:r>
        <w:t>Conference Course:</w:t>
      </w:r>
    </w:p>
    <w:p w14:paraId="743C255C" w14:textId="428CB4DE" w:rsidR="0043761B" w:rsidRDefault="0043761B" w:rsidP="0043761B">
      <w:pPr>
        <w:pStyle w:val="ListParagraph"/>
        <w:numPr>
          <w:ilvl w:val="0"/>
          <w:numId w:val="2"/>
        </w:numPr>
      </w:pPr>
      <w:r>
        <w:t>elevator pitch, pre-prep, engaging whilst there, maintaining contact after</w:t>
      </w:r>
    </w:p>
    <w:p w14:paraId="2B037B39" w14:textId="7D44878B" w:rsidR="0043761B" w:rsidRDefault="0043761B" w:rsidP="0043761B"/>
    <w:p w14:paraId="4910CEFD" w14:textId="38E2D529" w:rsidR="0043761B" w:rsidRDefault="0043761B" w:rsidP="0043761B">
      <w:r>
        <w:t>Cryoconite presentation:</w:t>
      </w:r>
    </w:p>
    <w:p w14:paraId="71184774" w14:textId="4B7A2ADF" w:rsidR="0043761B" w:rsidRDefault="0043761B" w:rsidP="0043761B"/>
    <w:p w14:paraId="28CB7F0F" w14:textId="144E7E33" w:rsidR="0043761B" w:rsidRDefault="0043761B" w:rsidP="0043761B">
      <w:r>
        <w:t>Polar night:</w:t>
      </w:r>
    </w:p>
    <w:p w14:paraId="224C190F" w14:textId="153BA849" w:rsidR="0043761B" w:rsidRDefault="0043761B" w:rsidP="0043761B">
      <w:pPr>
        <w:pStyle w:val="ListParagraph"/>
        <w:numPr>
          <w:ilvl w:val="0"/>
          <w:numId w:val="2"/>
        </w:numPr>
      </w:pPr>
      <w:r>
        <w:t xml:space="preserve">spatially explicit sampling scheme following transect from apex of glacier down to terminus and onto </w:t>
      </w:r>
      <w:proofErr w:type="spellStart"/>
      <w:r>
        <w:t>forefield</w:t>
      </w:r>
      <w:proofErr w:type="spellEnd"/>
      <w:r>
        <w:t xml:space="preserve"> towards sea (a </w:t>
      </w:r>
      <w:proofErr w:type="spellStart"/>
      <w:r>
        <w:t>chronosequence</w:t>
      </w:r>
      <w:proofErr w:type="spellEnd"/>
      <w:r>
        <w:t>?)</w:t>
      </w:r>
    </w:p>
    <w:p w14:paraId="230EBBCA" w14:textId="6A71B5A2" w:rsidR="0043761B" w:rsidRDefault="0043761B" w:rsidP="0043761B">
      <w:pPr>
        <w:pStyle w:val="ListParagraph"/>
        <w:numPr>
          <w:ilvl w:val="0"/>
          <w:numId w:val="2"/>
        </w:numPr>
      </w:pPr>
      <w:r>
        <w:t>allow for test of spatial autocorrelation of communities through beta-diversity comparison</w:t>
      </w:r>
    </w:p>
    <w:p w14:paraId="275202F6" w14:textId="1E190554" w:rsidR="0043761B" w:rsidRDefault="0043761B" w:rsidP="0043761B">
      <w:pPr>
        <w:pStyle w:val="ListParagraph"/>
        <w:numPr>
          <w:ilvl w:val="0"/>
          <w:numId w:val="2"/>
        </w:numPr>
      </w:pPr>
      <w:r>
        <w:t>see if there is differential spatial autocorrelation between functional groups (phototrophs have been shown to exhibit stronger geographic patterns across glacier transect)</w:t>
      </w:r>
    </w:p>
    <w:p w14:paraId="40EE3870" w14:textId="09173422" w:rsidR="0043761B" w:rsidRDefault="0043761B" w:rsidP="0043761B">
      <w:pPr>
        <w:pStyle w:val="ListParagraph"/>
        <w:numPr>
          <w:ilvl w:val="0"/>
          <w:numId w:val="2"/>
        </w:numPr>
      </w:pPr>
      <w:r>
        <w:t xml:space="preserve">if phototrophic diversity decreases towards terminus and increases again in </w:t>
      </w:r>
      <w:proofErr w:type="spellStart"/>
      <w:r>
        <w:t>forefield</w:t>
      </w:r>
      <w:proofErr w:type="spellEnd"/>
      <w:r>
        <w:t xml:space="preserve"> + inorganic nitrogen levels increase in low diversity terminus zone, we might infer that disturbance at the terminus decreases C fixation through photosynthesis activity, thus increasing the amount of inorganic N</w:t>
      </w:r>
    </w:p>
    <w:p w14:paraId="5A37A483" w14:textId="2C7F6ED1" w:rsidR="00D95402" w:rsidRDefault="00D95402" w:rsidP="00D95402"/>
    <w:p w14:paraId="2FCB0764" w14:textId="6DF33EC5" w:rsidR="00D95402" w:rsidRDefault="00D95402" w:rsidP="00D95402">
      <w:r>
        <w:t>INTERACT Project</w:t>
      </w:r>
      <w:r w:rsidR="00E73D1B">
        <w:t xml:space="preserve"> + my cryoconite holes</w:t>
      </w:r>
      <w:r>
        <w:t>:</w:t>
      </w:r>
    </w:p>
    <w:p w14:paraId="47044331" w14:textId="3D97114F" w:rsidR="00D95402" w:rsidRDefault="00D95402" w:rsidP="00D95402">
      <w:pPr>
        <w:pStyle w:val="ListParagraph"/>
        <w:numPr>
          <w:ilvl w:val="0"/>
          <w:numId w:val="5"/>
        </w:numPr>
      </w:pPr>
      <w:r>
        <w:t>carbon (dissolved/particulate, organic/inorganic) speciation (</w:t>
      </w:r>
      <w:r w:rsidRPr="00D95402">
        <w:t>carbon dioxide, carbonic acid, bicarbonate anion, and carbonate</w:t>
      </w:r>
      <w:r w:rsidR="00E73D1B">
        <w:t>)</w:t>
      </w:r>
      <w:r w:rsidRPr="00D95402">
        <w:t xml:space="preserve"> </w:t>
      </w:r>
    </w:p>
    <w:p w14:paraId="103F08DB" w14:textId="17D0BAB3" w:rsidR="00E73D1B" w:rsidRDefault="00E73D1B" w:rsidP="00E73D1B">
      <w:pPr>
        <w:pStyle w:val="ListParagraph"/>
        <w:numPr>
          <w:ilvl w:val="0"/>
          <w:numId w:val="5"/>
        </w:numPr>
      </w:pPr>
      <w:r>
        <w:t>Can I model carbon speciation with cryoconite holes? What would I need to measure?</w:t>
      </w:r>
    </w:p>
    <w:p w14:paraId="7B2747B8" w14:textId="1E4B2425" w:rsidR="00E73D1B" w:rsidRDefault="00E73D1B" w:rsidP="00D95402">
      <w:pPr>
        <w:pStyle w:val="ListParagraph"/>
        <w:numPr>
          <w:ilvl w:val="0"/>
          <w:numId w:val="5"/>
        </w:numPr>
      </w:pPr>
      <w:r>
        <w:t xml:space="preserve">16S/18S rRNA gene sequencing for bacteria/archaea and eukaryotes </w:t>
      </w:r>
      <w:proofErr w:type="spellStart"/>
      <w:r>
        <w:t>respecitvely</w:t>
      </w:r>
      <w:proofErr w:type="spellEnd"/>
    </w:p>
    <w:p w14:paraId="7DBADC76" w14:textId="43B65B4F" w:rsidR="00E73D1B" w:rsidRDefault="00E73D1B" w:rsidP="00D95402">
      <w:pPr>
        <w:pStyle w:val="ListParagraph"/>
        <w:numPr>
          <w:ilvl w:val="0"/>
          <w:numId w:val="5"/>
        </w:numPr>
      </w:pPr>
      <w:r>
        <w:t>Microscopy (dissecting, inverted or both) and environmental DNA (eDNA) metabarcoding (a.k.a. amplicon sequencing) = micro metazoans</w:t>
      </w:r>
    </w:p>
    <w:p w14:paraId="45D9D00F" w14:textId="708DA17E" w:rsidR="00E73D1B" w:rsidRDefault="00E73D1B" w:rsidP="00D95402">
      <w:pPr>
        <w:pStyle w:val="ListParagraph"/>
        <w:numPr>
          <w:ilvl w:val="0"/>
          <w:numId w:val="5"/>
        </w:numPr>
      </w:pPr>
      <w:r>
        <w:t>Metagenomics</w:t>
      </w:r>
    </w:p>
    <w:p w14:paraId="04795311" w14:textId="442DC7F9" w:rsidR="00E73D1B" w:rsidRDefault="00E73D1B" w:rsidP="00E73D1B">
      <w:pPr>
        <w:pStyle w:val="ListParagraph"/>
        <w:numPr>
          <w:ilvl w:val="0"/>
          <w:numId w:val="5"/>
        </w:numPr>
      </w:pPr>
      <w:proofErr w:type="spellStart"/>
      <w:r>
        <w:t>Metatranscriptomics</w:t>
      </w:r>
      <w:proofErr w:type="spellEnd"/>
      <w:r>
        <w:t xml:space="preserve"> - </w:t>
      </w:r>
      <w:r>
        <w:t>CAN I USE THIS:</w:t>
      </w:r>
      <w:r>
        <w:t xml:space="preserve"> </w:t>
      </w:r>
      <w:r>
        <w:t>To look at the differential expression of dormancy regulating genes across temporal and spatial gradients?</w:t>
      </w:r>
      <w:r>
        <w:t xml:space="preserve"> </w:t>
      </w:r>
    </w:p>
    <w:p w14:paraId="39D863A3" w14:textId="7D737114" w:rsidR="00E73D1B" w:rsidRDefault="00E73D1B" w:rsidP="00E73D1B">
      <w:pPr>
        <w:pStyle w:val="ListParagraph"/>
        <w:numPr>
          <w:ilvl w:val="0"/>
          <w:numId w:val="5"/>
        </w:numPr>
      </w:pPr>
      <w:r>
        <w:t xml:space="preserve">Combine </w:t>
      </w:r>
      <w:proofErr w:type="spellStart"/>
      <w:r>
        <w:t>metatranscriptomics</w:t>
      </w:r>
      <w:proofErr w:type="spellEnd"/>
      <w:r>
        <w:t xml:space="preserve"> and metagenomics (good metagenomic reconstruct bins + </w:t>
      </w:r>
      <w:proofErr w:type="spellStart"/>
      <w:r>
        <w:t>metatranscriptome</w:t>
      </w:r>
      <w:proofErr w:type="spellEnd"/>
      <w:r>
        <w:t xml:space="preserve"> from same community = measure gene expression at the bin level see </w:t>
      </w:r>
      <w:r>
        <w:fldChar w:fldCharType="begin" w:fldLock="1"/>
      </w:r>
      <w:r>
        <w:instrText>ADDIN CSL_CITATION {"citationItems":[{"id":"ITEM-1","itemData":{"DOI":"10.1038/ismej.2016.25","ISSN":"17517370","PMID":"26943628","abstract":"Groundwater ecosystems are conventionally thought to be fueled by surface-derived allochthonous organic matter and dominated by heterotrophic microbes living under often-oligotrophic conditions. However, in a 2-month study of nitrate amendment to a perennially suboxic aquifer in Rifle (CO), strain-resolved metatranscriptomic analysis revealed pervasive and diverse chemolithoautotrophic bacterial activity relevant to C, S, N and Fe cycling. Before nitrate injection, anaerobic ammonia-oxidizing (anammox) bacteria accounted for 16% of overall microbial community gene expression, whereas during the nitrate injection, two other groups of chemolithoautotrophic bacteria collectively accounted for 80% of the metatranscriptome: (1) members of the Fe(II)-oxidizing Gallionellaceae family and (2) strains of the S-oxidizing species, Sulfurimonas denitrificans. Notably, the proportion of the metatranscriptome accounted for by these three groups was considerably greater than the proportion of the metagenome coverage that they represented. Transcriptional analysis revealed some unexpected metabolic couplings, in particular, putative nitrate-dependent Fe(II) and S oxidation among nominally microaerophilic Gallionellaceae strains, including expression of periplasmic (NapAB) and membrane-bound (NarGHI) nitrate reductases. The three most active groups of chemolithoautotrophic bacteria in this study had overlapping metabolisms that allowed them to occupy different yet related metabolic niches throughout the study. Overall, these results highlight the important role that chemolithoautotrophy can have in aquifer biogeochemical cycling, a finding that has broad implications for understanding terrestrial carbon cycling and is supported by recent studies of geochemically diverse aquifers.","author":[{"dropping-particle":"","family":"Jewell","given":"Talia N.M.","non-dropping-particle":"","parse-names":false,"suffix":""},{"dropping-particle":"","family":"Karaoz","given":"Ulas","non-dropping-particle":"","parse-names":false,"suffix":""},{"dropping-particle":"","family":"Brodie","given":"Eoin L.","non-dropping-particle":"","parse-names":false,"suffix":""},{"dropping-particle":"","family":"Williams","given":"Kenneth H.","non-dropping-particle":"","parse-names":false,"suffix":""},{"dropping-particle":"","family":"Beller","given":"Harry R.","non-dropping-particle":"","parse-names":false,"suffix":""}],"container-title":"ISME Journal","id":"ITEM-1","issue":"9","issued":{"date-parts":[["2016"]]},"page":"2106-2117","publisher":"Nature Publishing Group","title":"Metatranscriptomic evidence of pervasive and diverse chemolithoautotrophy relevant to C, S, N and Fe cycling in a shallow alluvial aquifer","type":"article-journal","volume":"10"},"uris":["http://www.mendeley.com/documents/?uuid=f2fe8f4c-a4bc-47be-8c63-3d6493e0b977"]}],"mendeley":{"formattedCitation":"(Jewell &lt;i&gt;et al.&lt;/i&gt;, 2016)","plainTextFormattedCitation":"(Jewell et al., 2016)","previouslyFormattedCitation":"(Jewell &lt;i&gt;et al.&lt;/i&gt;, 2016)"},"properties":{"noteIndex":0},"schema":"https://github.com/citation-style-language/schema/raw/master/csl-citation.json"}</w:instrText>
      </w:r>
      <w:r>
        <w:fldChar w:fldCharType="separate"/>
      </w:r>
      <w:r w:rsidRPr="00F22248">
        <w:rPr>
          <w:noProof/>
        </w:rPr>
        <w:t xml:space="preserve">(Jewell </w:t>
      </w:r>
      <w:r w:rsidRPr="00E73D1B">
        <w:rPr>
          <w:i/>
          <w:noProof/>
        </w:rPr>
        <w:t>et al.</w:t>
      </w:r>
      <w:r w:rsidRPr="00F22248">
        <w:rPr>
          <w:noProof/>
        </w:rPr>
        <w:t>, 2016)</w:t>
      </w:r>
      <w:r>
        <w:fldChar w:fldCharType="end"/>
      </w:r>
      <w:r>
        <w:t>)</w:t>
      </w:r>
      <w:r>
        <w:t xml:space="preserve"> Can I use this</w:t>
      </w:r>
      <w:r>
        <w:t xml:space="preserve"> </w:t>
      </w:r>
      <w:r>
        <w:t>t</w:t>
      </w:r>
      <w:r>
        <w:t>o look at gene expression of cryoconite communities at bin level across temporal and spatial gradients?</w:t>
      </w:r>
    </w:p>
    <w:p w14:paraId="4C73490C" w14:textId="5CB765C9" w:rsidR="00E73D1B" w:rsidRDefault="00B808D4" w:rsidP="00D95402">
      <w:pPr>
        <w:pStyle w:val="ListParagraph"/>
        <w:numPr>
          <w:ilvl w:val="0"/>
          <w:numId w:val="5"/>
        </w:numPr>
      </w:pPr>
      <w:r>
        <w:t xml:space="preserve">How does cryoconite hole size </w:t>
      </w:r>
      <w:r w:rsidR="00D960F9">
        <w:t xml:space="preserve">impact the amount of carbon it produces? How does the structure change with size? How does this impact the </w:t>
      </w:r>
      <w:bookmarkStart w:id="0" w:name="_GoBack"/>
      <w:bookmarkEnd w:id="0"/>
    </w:p>
    <w:p w14:paraId="4870B70E" w14:textId="77777777" w:rsidR="00E73D1B" w:rsidRDefault="00E73D1B" w:rsidP="00E73D1B">
      <w:pPr>
        <w:pStyle w:val="ListParagraph"/>
      </w:pPr>
    </w:p>
    <w:p w14:paraId="114821CD" w14:textId="272B60F7" w:rsidR="00E73D1B" w:rsidRDefault="00E73D1B" w:rsidP="00E73D1B">
      <w:r>
        <w:t>Cryoconite Project:</w:t>
      </w:r>
    </w:p>
    <w:p w14:paraId="7B06716B" w14:textId="67595E36" w:rsidR="00D95402" w:rsidRDefault="00D95402" w:rsidP="00D95402"/>
    <w:p w14:paraId="6A8019ED" w14:textId="0FB5F31B" w:rsidR="00D95402" w:rsidRDefault="00D95402" w:rsidP="00D95402">
      <w:r>
        <w:lastRenderedPageBreak/>
        <w:t xml:space="preserve">Kate </w:t>
      </w:r>
      <w:proofErr w:type="spellStart"/>
      <w:r>
        <w:t>Heppell</w:t>
      </w:r>
      <w:proofErr w:type="spellEnd"/>
      <w:r>
        <w:t>:</w:t>
      </w:r>
    </w:p>
    <w:p w14:paraId="523C06F5" w14:textId="3F5A15E0" w:rsidR="00D95402" w:rsidRDefault="00D95402" w:rsidP="00D95402">
      <w:pPr>
        <w:pStyle w:val="ListParagraph"/>
        <w:numPr>
          <w:ilvl w:val="0"/>
          <w:numId w:val="4"/>
        </w:numPr>
      </w:pPr>
      <w:r>
        <w:t>Meeting booked to discuss field techniques for environmental measurements (photosynthesis, respiration, pH, temp, etc)</w:t>
      </w:r>
    </w:p>
    <w:sectPr w:rsidR="00D95402"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252E9"/>
    <w:multiLevelType w:val="hybridMultilevel"/>
    <w:tmpl w:val="8CA40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837E84"/>
    <w:multiLevelType w:val="hybridMultilevel"/>
    <w:tmpl w:val="B05C3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3968F7"/>
    <w:multiLevelType w:val="hybridMultilevel"/>
    <w:tmpl w:val="326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7133F7"/>
    <w:multiLevelType w:val="hybridMultilevel"/>
    <w:tmpl w:val="B8D2D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E33589"/>
    <w:multiLevelType w:val="hybridMultilevel"/>
    <w:tmpl w:val="1C38D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61B"/>
    <w:rsid w:val="0043761B"/>
    <w:rsid w:val="00511661"/>
    <w:rsid w:val="005155B5"/>
    <w:rsid w:val="007574D4"/>
    <w:rsid w:val="008F6434"/>
    <w:rsid w:val="00B808D4"/>
    <w:rsid w:val="00D95402"/>
    <w:rsid w:val="00D960F9"/>
    <w:rsid w:val="00DB482F"/>
    <w:rsid w:val="00DC528E"/>
    <w:rsid w:val="00E73D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9DB788"/>
  <w14:defaultImageDpi w14:val="32767"/>
  <w15:chartTrackingRefBased/>
  <w15:docId w15:val="{AF69E215-F25C-0341-A502-7EFE62905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6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08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2020-11-05T11:22:00Z</dcterms:created>
  <dcterms:modified xsi:type="dcterms:W3CDTF">2020-11-05T15:22:00Z</dcterms:modified>
</cp:coreProperties>
</file>