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F27" w:rsidRPr="008D7F27" w:rsidRDefault="008D7F27" w:rsidP="008D7F27">
      <w:pPr>
        <w:jc w:val="center"/>
        <w:rPr>
          <w:rFonts w:ascii="Arial" w:hAnsi="Arial" w:cs="Arial"/>
          <w:b/>
          <w:sz w:val="22"/>
          <w:szCs w:val="22"/>
        </w:rPr>
      </w:pPr>
      <w:r w:rsidRPr="008D7F27">
        <w:rPr>
          <w:rFonts w:ascii="Arial" w:hAnsi="Arial" w:cs="Arial"/>
          <w:b/>
          <w:sz w:val="22"/>
          <w:szCs w:val="22"/>
        </w:rPr>
        <w:t>SONA 45 - Debrief</w:t>
      </w:r>
    </w:p>
    <w:p w:rsidR="008D7F27" w:rsidRPr="008D7F27" w:rsidRDefault="008D7F27" w:rsidP="008D7F27">
      <w:pPr>
        <w:rPr>
          <w:sz w:val="22"/>
          <w:szCs w:val="22"/>
        </w:rPr>
      </w:pPr>
    </w:p>
    <w:p w:rsidR="008D7F27" w:rsidRPr="008D7F27" w:rsidRDefault="008D7F27" w:rsidP="008D7F27">
      <w:pPr>
        <w:pStyle w:val="ListParagraph"/>
        <w:numPr>
          <w:ilvl w:val="0"/>
          <w:numId w:val="2"/>
        </w:numPr>
        <w:rPr>
          <w:rFonts w:ascii="Arial" w:hAnsi="Arial" w:cs="Arial"/>
          <w:b/>
          <w:color w:val="000000" w:themeColor="text1"/>
          <w:sz w:val="22"/>
          <w:szCs w:val="22"/>
          <w:shd w:val="clear" w:color="auto" w:fill="FFFFFF"/>
          <w:lang w:eastAsia="en-GB"/>
        </w:rPr>
      </w:pPr>
      <w:r w:rsidRPr="008D7F27">
        <w:rPr>
          <w:rFonts w:ascii="Arial" w:hAnsi="Arial" w:cs="Arial"/>
          <w:b/>
          <w:color w:val="000000" w:themeColor="text1"/>
          <w:sz w:val="22"/>
          <w:szCs w:val="22"/>
          <w:shd w:val="clear" w:color="auto" w:fill="FFFFFF"/>
          <w:lang w:eastAsia="en-GB"/>
        </w:rPr>
        <w:t>What are the research questions?</w:t>
      </w:r>
    </w:p>
    <w:p w:rsidR="008D7F27" w:rsidRPr="008D7F27" w:rsidRDefault="008D7F27" w:rsidP="008D7F27">
      <w:pPr>
        <w:pStyle w:val="ListParagraph"/>
        <w:ind w:left="938"/>
        <w:rPr>
          <w:rFonts w:ascii="Arial" w:hAnsi="Arial" w:cs="Arial"/>
          <w:color w:val="000000" w:themeColor="text1"/>
          <w:sz w:val="22"/>
          <w:szCs w:val="22"/>
          <w:shd w:val="clear" w:color="auto" w:fill="FFFFFF"/>
          <w:lang w:eastAsia="en-GB"/>
        </w:rPr>
      </w:pPr>
    </w:p>
    <w:p w:rsidR="008D7F27" w:rsidRPr="008D7F27" w:rsidRDefault="008D7F27" w:rsidP="008D7F27">
      <w:pPr>
        <w:spacing w:after="120"/>
        <w:ind w:left="360"/>
        <w:jc w:val="both"/>
        <w:rPr>
          <w:rFonts w:ascii="Arial" w:hAnsi="Arial" w:cs="Arial"/>
          <w:color w:val="000000" w:themeColor="text1"/>
          <w:sz w:val="22"/>
          <w:szCs w:val="22"/>
          <w:lang w:bidi="en-US"/>
        </w:rPr>
      </w:pPr>
      <w:r w:rsidRPr="008D7F27">
        <w:rPr>
          <w:rFonts w:ascii="Arial" w:hAnsi="Arial" w:cs="Arial"/>
          <w:color w:val="000000" w:themeColor="text1"/>
          <w:sz w:val="22"/>
          <w:szCs w:val="22"/>
          <w:lang w:bidi="en-US"/>
        </w:rPr>
        <w:t xml:space="preserve">Many theories of information seeking argue that humans </w:t>
      </w:r>
      <w:proofErr w:type="spellStart"/>
      <w:r w:rsidRPr="008D7F27">
        <w:rPr>
          <w:rFonts w:ascii="Arial" w:hAnsi="Arial" w:cs="Arial"/>
          <w:color w:val="000000" w:themeColor="text1"/>
          <w:sz w:val="22"/>
          <w:szCs w:val="22"/>
          <w:lang w:bidi="en-US"/>
        </w:rPr>
        <w:t>savour</w:t>
      </w:r>
      <w:proofErr w:type="spellEnd"/>
      <w:r w:rsidRPr="008D7F27">
        <w:rPr>
          <w:rFonts w:ascii="Arial" w:hAnsi="Arial" w:cs="Arial"/>
          <w:color w:val="000000" w:themeColor="text1"/>
          <w:sz w:val="22"/>
          <w:szCs w:val="22"/>
          <w:lang w:bidi="en-US"/>
        </w:rPr>
        <w:t xml:space="preserve"> information about upcoming positive events (e.g., a holiday) and dread information about potentially negative events (e.g., whether you carry the Huntington’s gene). This experiment investigates what factors drive human information seeking and avoidance within a controlled laboratory </w:t>
      </w:r>
      <w:r w:rsidRPr="008D7F27">
        <w:rPr>
          <w:rFonts w:ascii="Arial" w:hAnsi="Arial" w:cs="Arial"/>
          <w:sz w:val="22"/>
          <w:szCs w:val="22"/>
        </w:rPr>
        <w:t>environment</w:t>
      </w:r>
      <w:r w:rsidRPr="008D7F27">
        <w:rPr>
          <w:rFonts w:ascii="Arial" w:hAnsi="Arial" w:cs="Arial"/>
          <w:color w:val="000000" w:themeColor="text1"/>
          <w:sz w:val="22"/>
          <w:szCs w:val="22"/>
          <w:lang w:bidi="en-US"/>
        </w:rPr>
        <w:t>. Specifically, whether humans show preferences for receiving advanced information about upcoming negative outcomes (e.g., receiving an electric shoc</w:t>
      </w:r>
      <w:r w:rsidR="000938E3">
        <w:rPr>
          <w:rFonts w:ascii="Arial" w:hAnsi="Arial" w:cs="Arial"/>
          <w:color w:val="000000" w:themeColor="text1"/>
          <w:sz w:val="22"/>
          <w:szCs w:val="22"/>
          <w:lang w:bidi="en-US"/>
        </w:rPr>
        <w:t>k).</w:t>
      </w:r>
    </w:p>
    <w:p w:rsidR="008D7F27" w:rsidRPr="008D7F27" w:rsidRDefault="008D7F27" w:rsidP="008D7F27">
      <w:pPr>
        <w:ind w:left="578"/>
        <w:rPr>
          <w:rFonts w:ascii="Arial" w:hAnsi="Arial" w:cs="Arial"/>
          <w:b/>
          <w:color w:val="000000" w:themeColor="text1"/>
          <w:sz w:val="22"/>
          <w:szCs w:val="22"/>
          <w:shd w:val="clear" w:color="auto" w:fill="FFFFFF"/>
          <w:lang w:eastAsia="en-GB"/>
        </w:rPr>
      </w:pPr>
      <w:r w:rsidRPr="008D7F27">
        <w:rPr>
          <w:rFonts w:ascii="Arial" w:hAnsi="Arial" w:cs="Arial"/>
          <w:b/>
          <w:color w:val="000000" w:themeColor="text1"/>
          <w:sz w:val="22"/>
          <w:szCs w:val="22"/>
          <w:lang w:eastAsia="en-GB"/>
        </w:rPr>
        <w:br/>
      </w:r>
      <w:r w:rsidRPr="008D7F27">
        <w:rPr>
          <w:rFonts w:ascii="Arial" w:hAnsi="Arial" w:cs="Arial"/>
          <w:b/>
          <w:color w:val="000000" w:themeColor="text1"/>
          <w:sz w:val="22"/>
          <w:szCs w:val="22"/>
          <w:shd w:val="clear" w:color="auto" w:fill="FFFFFF"/>
          <w:lang w:eastAsia="en-GB"/>
        </w:rPr>
        <w:t>2. How does this study extend previous research on this topic?</w:t>
      </w:r>
    </w:p>
    <w:p w:rsidR="008D7F27" w:rsidRPr="008D7F27" w:rsidRDefault="008D7F27" w:rsidP="008D7F27">
      <w:pPr>
        <w:ind w:left="578"/>
        <w:rPr>
          <w:rFonts w:ascii="Arial" w:hAnsi="Arial" w:cs="Arial"/>
          <w:color w:val="000000" w:themeColor="text1"/>
          <w:sz w:val="22"/>
          <w:szCs w:val="22"/>
          <w:lang w:eastAsia="en-GB"/>
        </w:rPr>
      </w:pPr>
    </w:p>
    <w:p w:rsidR="008D7F27" w:rsidRPr="008D7F27" w:rsidRDefault="008D7F27" w:rsidP="008D7F27">
      <w:pPr>
        <w:spacing w:after="120"/>
        <w:ind w:left="360"/>
        <w:jc w:val="both"/>
        <w:rPr>
          <w:rFonts w:ascii="Arial" w:hAnsi="Arial" w:cs="Arial"/>
          <w:sz w:val="22"/>
          <w:szCs w:val="22"/>
        </w:rPr>
      </w:pPr>
      <w:r w:rsidRPr="008D7F27">
        <w:rPr>
          <w:rFonts w:ascii="Arial" w:hAnsi="Arial" w:cs="Arial"/>
          <w:sz w:val="22"/>
          <w:szCs w:val="22"/>
        </w:rPr>
        <w:t>Information avoidance has yet to be produced reliably under laboratory conditions even when outcomes are aversive (e.g., microphone feedback, mutilation images or high likelihoods of losing money). In these instances, people are either indifferent or prefer early information about the event which goes against the hypothesis that individuals want to avoid information about negative events. This experiment further investigates whether this effect depends on a visceral aversive event (shock)</w:t>
      </w:r>
      <w:r w:rsidR="000938E3">
        <w:rPr>
          <w:rFonts w:ascii="Arial" w:hAnsi="Arial" w:cs="Arial"/>
          <w:sz w:val="22"/>
          <w:szCs w:val="22"/>
        </w:rPr>
        <w:t xml:space="preserve"> </w:t>
      </w:r>
      <w:r w:rsidR="000938E3">
        <w:rPr>
          <w:rFonts w:ascii="Arial" w:hAnsi="Arial" w:cs="Arial"/>
          <w:color w:val="000000" w:themeColor="text1"/>
          <w:sz w:val="22"/>
          <w:szCs w:val="22"/>
          <w:lang w:bidi="en-US"/>
        </w:rPr>
        <w:t>and if this is related to a desire to reduce anxious feelings (measured by SCR).</w:t>
      </w:r>
    </w:p>
    <w:p w:rsidR="008D7F27" w:rsidRPr="008D7F27" w:rsidRDefault="008D7F27" w:rsidP="008D7F27">
      <w:pPr>
        <w:ind w:left="578"/>
        <w:rPr>
          <w:rFonts w:ascii="Arial" w:hAnsi="Arial" w:cs="Arial"/>
          <w:b/>
          <w:color w:val="000000" w:themeColor="text1"/>
          <w:sz w:val="22"/>
          <w:szCs w:val="22"/>
          <w:shd w:val="clear" w:color="auto" w:fill="FFFFFF"/>
          <w:lang w:eastAsia="en-GB"/>
        </w:rPr>
      </w:pPr>
      <w:r w:rsidRPr="008D7F27">
        <w:rPr>
          <w:rFonts w:ascii="Arial" w:hAnsi="Arial" w:cs="Arial"/>
          <w:b/>
          <w:color w:val="000000" w:themeColor="text1"/>
          <w:sz w:val="22"/>
          <w:szCs w:val="22"/>
          <w:lang w:eastAsia="en-GB"/>
        </w:rPr>
        <w:br/>
      </w:r>
      <w:r w:rsidRPr="008D7F27">
        <w:rPr>
          <w:rFonts w:ascii="Arial" w:hAnsi="Arial" w:cs="Arial"/>
          <w:b/>
          <w:color w:val="000000" w:themeColor="text1"/>
          <w:sz w:val="22"/>
          <w:szCs w:val="22"/>
          <w:shd w:val="clear" w:color="auto" w:fill="FFFFFF"/>
          <w:lang w:eastAsia="en-GB"/>
        </w:rPr>
        <w:t>3. What are some potential real-world implications of this research?</w:t>
      </w:r>
    </w:p>
    <w:p w:rsidR="008D7F27" w:rsidRPr="008D7F27" w:rsidRDefault="008D7F27" w:rsidP="008D7F27">
      <w:pPr>
        <w:ind w:left="578"/>
        <w:rPr>
          <w:rFonts w:ascii="Arial" w:hAnsi="Arial" w:cs="Arial"/>
          <w:color w:val="000000" w:themeColor="text1"/>
          <w:sz w:val="22"/>
          <w:szCs w:val="22"/>
          <w:lang w:eastAsia="en-GB"/>
        </w:rPr>
      </w:pPr>
    </w:p>
    <w:p w:rsidR="008D7F27" w:rsidRPr="008D7F27" w:rsidRDefault="008D7F27" w:rsidP="008D7F27">
      <w:pPr>
        <w:spacing w:after="120"/>
        <w:ind w:left="360"/>
        <w:jc w:val="both"/>
        <w:rPr>
          <w:rFonts w:ascii="Arial" w:hAnsi="Arial" w:cs="Arial"/>
          <w:sz w:val="22"/>
          <w:szCs w:val="22"/>
        </w:rPr>
      </w:pPr>
      <w:r w:rsidRPr="008D7F27">
        <w:rPr>
          <w:rFonts w:ascii="Arial" w:hAnsi="Arial" w:cs="Arial"/>
          <w:sz w:val="22"/>
          <w:szCs w:val="22"/>
        </w:rPr>
        <w:t>Selective exposure/avoidance of information can skew perceptions of reality and influence future decisions. The ability to reliably produce and study information avoidance in laboratory settings will allow for intervention studies in controlled settings (e.g., how do we encourage people to embrace health information even if it may be negative?)</w:t>
      </w:r>
    </w:p>
    <w:p w:rsidR="008D7F27" w:rsidRPr="008D7F27" w:rsidRDefault="008D7F27" w:rsidP="008D7F27">
      <w:pPr>
        <w:ind w:left="578"/>
        <w:rPr>
          <w:rFonts w:ascii="Arial" w:hAnsi="Arial" w:cs="Arial"/>
          <w:b/>
          <w:color w:val="000000" w:themeColor="text1"/>
          <w:sz w:val="22"/>
          <w:szCs w:val="22"/>
          <w:shd w:val="clear" w:color="auto" w:fill="FFFFFF"/>
          <w:lang w:eastAsia="en-GB"/>
        </w:rPr>
      </w:pPr>
      <w:r w:rsidRPr="008D7F27">
        <w:rPr>
          <w:rFonts w:ascii="Arial" w:hAnsi="Arial" w:cs="Arial"/>
          <w:b/>
          <w:color w:val="000000" w:themeColor="text1"/>
          <w:sz w:val="22"/>
          <w:szCs w:val="22"/>
          <w:lang w:eastAsia="en-GB"/>
        </w:rPr>
        <w:br/>
      </w:r>
      <w:r w:rsidRPr="008D7F27">
        <w:rPr>
          <w:rFonts w:ascii="Arial" w:hAnsi="Arial" w:cs="Arial"/>
          <w:b/>
          <w:color w:val="000000" w:themeColor="text1"/>
          <w:sz w:val="22"/>
          <w:szCs w:val="22"/>
          <w:shd w:val="clear" w:color="auto" w:fill="FFFFFF"/>
          <w:lang w:eastAsia="en-GB"/>
        </w:rPr>
        <w:t>4. Briefly describe a potential issue (e.g., ethical, practical) or limitation of the study (e.g., design, ecological validity).</w:t>
      </w:r>
    </w:p>
    <w:p w:rsidR="008D7F27" w:rsidRPr="008D7F27" w:rsidRDefault="008D7F27" w:rsidP="008D7F27">
      <w:pPr>
        <w:ind w:left="578"/>
        <w:rPr>
          <w:rFonts w:ascii="Arial" w:hAnsi="Arial" w:cs="Arial"/>
          <w:color w:val="000000" w:themeColor="text1"/>
          <w:sz w:val="22"/>
          <w:szCs w:val="22"/>
          <w:lang w:eastAsia="en-GB"/>
        </w:rPr>
      </w:pPr>
    </w:p>
    <w:p w:rsidR="008D7F27" w:rsidRPr="008D7F27" w:rsidRDefault="007B0134" w:rsidP="00704904">
      <w:pPr>
        <w:spacing w:after="120"/>
        <w:ind w:left="360"/>
        <w:jc w:val="both"/>
        <w:rPr>
          <w:rFonts w:ascii="Arial" w:hAnsi="Arial" w:cs="Arial"/>
          <w:sz w:val="22"/>
          <w:szCs w:val="22"/>
        </w:rPr>
      </w:pPr>
      <w:r>
        <w:rPr>
          <w:rFonts w:ascii="Arial" w:hAnsi="Arial" w:cs="Arial"/>
          <w:sz w:val="22"/>
          <w:szCs w:val="22"/>
        </w:rPr>
        <w:t xml:space="preserve">One limitation </w:t>
      </w:r>
      <w:r w:rsidR="00704904">
        <w:rPr>
          <w:rFonts w:ascii="Arial" w:hAnsi="Arial" w:cs="Arial"/>
          <w:sz w:val="22"/>
          <w:szCs w:val="22"/>
        </w:rPr>
        <w:t>of using skin conductance is that responses habituate over extended trials</w:t>
      </w:r>
      <w:r w:rsidR="000938E3">
        <w:rPr>
          <w:rFonts w:ascii="Arial" w:hAnsi="Arial" w:cs="Arial"/>
          <w:sz w:val="22"/>
          <w:szCs w:val="22"/>
        </w:rPr>
        <w:t xml:space="preserve"> i.e., the SCR response is attenuated. </w:t>
      </w:r>
      <w:bookmarkStart w:id="0" w:name="_GoBack"/>
      <w:bookmarkEnd w:id="0"/>
    </w:p>
    <w:p w:rsidR="008D7F27" w:rsidRPr="008D7F27" w:rsidRDefault="008D7F27" w:rsidP="008D7F27">
      <w:pPr>
        <w:ind w:left="578"/>
        <w:rPr>
          <w:rFonts w:ascii="Arial" w:hAnsi="Arial" w:cs="Arial"/>
          <w:b/>
          <w:color w:val="000000" w:themeColor="text1"/>
          <w:sz w:val="22"/>
          <w:szCs w:val="22"/>
          <w:shd w:val="clear" w:color="auto" w:fill="FFFFFF"/>
          <w:lang w:eastAsia="en-GB"/>
        </w:rPr>
      </w:pPr>
      <w:r w:rsidRPr="008D7F27">
        <w:rPr>
          <w:rFonts w:ascii="Arial" w:hAnsi="Arial" w:cs="Arial"/>
          <w:b/>
          <w:color w:val="000000" w:themeColor="text1"/>
          <w:sz w:val="22"/>
          <w:szCs w:val="22"/>
          <w:lang w:eastAsia="en-GB"/>
        </w:rPr>
        <w:br/>
      </w:r>
      <w:r w:rsidRPr="008D7F27">
        <w:rPr>
          <w:rFonts w:ascii="Arial" w:hAnsi="Arial" w:cs="Arial"/>
          <w:b/>
          <w:color w:val="000000" w:themeColor="text1"/>
          <w:sz w:val="22"/>
          <w:szCs w:val="22"/>
          <w:shd w:val="clear" w:color="auto" w:fill="FFFFFF"/>
          <w:lang w:eastAsia="en-GB"/>
        </w:rPr>
        <w:t>5. Briefly describe the study methodology (e.g., design, dependent/ independent variables, materials).</w:t>
      </w:r>
    </w:p>
    <w:p w:rsidR="008D7F27" w:rsidRPr="008D7F27" w:rsidRDefault="008D7F27" w:rsidP="008D7F27">
      <w:pPr>
        <w:ind w:left="578"/>
        <w:rPr>
          <w:rFonts w:ascii="Arial" w:hAnsi="Arial" w:cs="Arial"/>
          <w:color w:val="000000" w:themeColor="text1"/>
          <w:sz w:val="22"/>
          <w:szCs w:val="22"/>
          <w:lang w:eastAsia="en-GB"/>
        </w:rPr>
      </w:pPr>
    </w:p>
    <w:p w:rsidR="008D7F27" w:rsidRPr="008D7F27" w:rsidRDefault="008D7F27" w:rsidP="008D7F27">
      <w:pPr>
        <w:spacing w:after="120"/>
        <w:ind w:left="360"/>
        <w:jc w:val="both"/>
        <w:rPr>
          <w:rFonts w:ascii="Arial" w:hAnsi="Arial" w:cs="Arial"/>
          <w:sz w:val="22"/>
          <w:szCs w:val="22"/>
        </w:rPr>
      </w:pPr>
      <w:r w:rsidRPr="008D7F27">
        <w:rPr>
          <w:rFonts w:ascii="Arial" w:hAnsi="Arial" w:cs="Arial"/>
          <w:sz w:val="22"/>
          <w:szCs w:val="22"/>
        </w:rPr>
        <w:t>The study utilized a within-subjects design. The independent variable wa</w:t>
      </w:r>
      <w:r w:rsidR="005451FB">
        <w:rPr>
          <w:rFonts w:ascii="Arial" w:hAnsi="Arial" w:cs="Arial"/>
          <w:sz w:val="22"/>
          <w:szCs w:val="22"/>
        </w:rPr>
        <w:t>s the probability of receiving a shock (50%)</w:t>
      </w:r>
      <w:r w:rsidRPr="008D7F27">
        <w:rPr>
          <w:rFonts w:ascii="Arial" w:hAnsi="Arial" w:cs="Arial"/>
          <w:sz w:val="22"/>
          <w:szCs w:val="22"/>
        </w:rPr>
        <w:t>.</w:t>
      </w:r>
      <w:r w:rsidR="00B966FF">
        <w:rPr>
          <w:rFonts w:ascii="Arial" w:hAnsi="Arial" w:cs="Arial"/>
          <w:sz w:val="22"/>
          <w:szCs w:val="22"/>
        </w:rPr>
        <w:t xml:space="preserve"> A probability level of 50% is selected since the outcome is most uncertain at this level and should therefore elicit the most anxiety. </w:t>
      </w:r>
      <w:r w:rsidRPr="008D7F27">
        <w:rPr>
          <w:rFonts w:ascii="Arial" w:hAnsi="Arial" w:cs="Arial"/>
          <w:sz w:val="22"/>
          <w:szCs w:val="22"/>
        </w:rPr>
        <w:t xml:space="preserve">The dependent variables were 1) </w:t>
      </w:r>
      <w:r w:rsidR="005451FB">
        <w:rPr>
          <w:rFonts w:ascii="Arial" w:hAnsi="Arial" w:cs="Arial"/>
          <w:sz w:val="22"/>
          <w:szCs w:val="22"/>
        </w:rPr>
        <w:t>if</w:t>
      </w:r>
      <w:r w:rsidRPr="008D7F27">
        <w:rPr>
          <w:rFonts w:ascii="Arial" w:hAnsi="Arial" w:cs="Arial"/>
          <w:sz w:val="22"/>
          <w:szCs w:val="22"/>
        </w:rPr>
        <w:t xml:space="preserve"> participants wanted to find out or keep the outcome secret and 2) skin conductance response during the delay between the choice and </w:t>
      </w:r>
      <w:r w:rsidR="005451FB">
        <w:rPr>
          <w:rFonts w:ascii="Arial" w:hAnsi="Arial" w:cs="Arial"/>
          <w:sz w:val="22"/>
          <w:szCs w:val="22"/>
        </w:rPr>
        <w:t>receiving the</w:t>
      </w:r>
      <w:r w:rsidRPr="008D7F27">
        <w:rPr>
          <w:rFonts w:ascii="Arial" w:hAnsi="Arial" w:cs="Arial"/>
          <w:sz w:val="22"/>
          <w:szCs w:val="22"/>
        </w:rPr>
        <w:t xml:space="preserve"> outcome. </w:t>
      </w:r>
    </w:p>
    <w:p w:rsidR="008D7F27" w:rsidRPr="008D7F27" w:rsidRDefault="008D7F27" w:rsidP="008D7F27">
      <w:pPr>
        <w:ind w:left="578"/>
        <w:rPr>
          <w:rFonts w:ascii="Arial" w:hAnsi="Arial" w:cs="Arial"/>
          <w:b/>
          <w:color w:val="000000" w:themeColor="text1"/>
          <w:sz w:val="22"/>
          <w:szCs w:val="22"/>
          <w:shd w:val="clear" w:color="auto" w:fill="FFFFFF"/>
          <w:lang w:eastAsia="en-GB"/>
        </w:rPr>
      </w:pPr>
      <w:r w:rsidRPr="008D7F27">
        <w:rPr>
          <w:rFonts w:ascii="Arial" w:hAnsi="Arial" w:cs="Arial"/>
          <w:b/>
          <w:color w:val="000000" w:themeColor="text1"/>
          <w:sz w:val="22"/>
          <w:szCs w:val="22"/>
          <w:lang w:eastAsia="en-GB"/>
        </w:rPr>
        <w:br/>
      </w:r>
      <w:r w:rsidRPr="008D7F27">
        <w:rPr>
          <w:rFonts w:ascii="Arial" w:hAnsi="Arial" w:cs="Arial"/>
          <w:b/>
          <w:color w:val="000000" w:themeColor="text1"/>
          <w:sz w:val="22"/>
          <w:szCs w:val="22"/>
          <w:shd w:val="clear" w:color="auto" w:fill="FFFFFF"/>
          <w:lang w:eastAsia="en-GB"/>
        </w:rPr>
        <w:t>6. Further reading (i.e., a reference to a reading/s related to the current study for curious students).</w:t>
      </w:r>
      <w:r w:rsidRPr="008D7F27">
        <w:rPr>
          <w:rFonts w:ascii="Arial" w:hAnsi="Arial" w:cs="Arial"/>
          <w:b/>
          <w:color w:val="000000" w:themeColor="text1"/>
          <w:sz w:val="22"/>
          <w:szCs w:val="22"/>
          <w:shd w:val="clear" w:color="auto" w:fill="FFFFFF"/>
          <w:lang w:eastAsia="en-GB"/>
        </w:rPr>
        <w:br/>
      </w:r>
    </w:p>
    <w:p w:rsidR="008D7F27" w:rsidRPr="008D7F27" w:rsidRDefault="008D7F27" w:rsidP="008D7F27">
      <w:pPr>
        <w:spacing w:after="120"/>
        <w:ind w:left="360"/>
        <w:rPr>
          <w:rFonts w:ascii="Arial" w:hAnsi="Arial" w:cs="Arial"/>
          <w:sz w:val="22"/>
          <w:szCs w:val="22"/>
        </w:rPr>
      </w:pPr>
      <w:proofErr w:type="spellStart"/>
      <w:r w:rsidRPr="008D7F27">
        <w:rPr>
          <w:rFonts w:ascii="Arial" w:hAnsi="Arial" w:cs="Arial"/>
          <w:sz w:val="22"/>
          <w:szCs w:val="22"/>
        </w:rPr>
        <w:t>Gigerenzer</w:t>
      </w:r>
      <w:proofErr w:type="spellEnd"/>
      <w:r w:rsidRPr="008D7F27">
        <w:rPr>
          <w:rFonts w:ascii="Arial" w:hAnsi="Arial" w:cs="Arial"/>
          <w:sz w:val="22"/>
          <w:szCs w:val="22"/>
        </w:rPr>
        <w:t>, G., &amp; Garcia-</w:t>
      </w:r>
      <w:proofErr w:type="spellStart"/>
      <w:r w:rsidRPr="008D7F27">
        <w:rPr>
          <w:rFonts w:ascii="Arial" w:hAnsi="Arial" w:cs="Arial"/>
          <w:sz w:val="22"/>
          <w:szCs w:val="22"/>
        </w:rPr>
        <w:t>Retamero</w:t>
      </w:r>
      <w:proofErr w:type="spellEnd"/>
      <w:r w:rsidRPr="008D7F27">
        <w:rPr>
          <w:rFonts w:ascii="Arial" w:hAnsi="Arial" w:cs="Arial"/>
          <w:sz w:val="22"/>
          <w:szCs w:val="22"/>
        </w:rPr>
        <w:t xml:space="preserve">, R. (2017). Cassandra’s regret: The psychology of not wanting to know. </w:t>
      </w:r>
      <w:r w:rsidRPr="008D7F27">
        <w:rPr>
          <w:rStyle w:val="Emphasis"/>
          <w:rFonts w:ascii="Arial" w:hAnsi="Arial" w:cs="Arial"/>
          <w:sz w:val="22"/>
          <w:szCs w:val="22"/>
        </w:rPr>
        <w:t>Psychological Review, 124</w:t>
      </w:r>
      <w:r w:rsidRPr="008D7F27">
        <w:rPr>
          <w:rFonts w:ascii="Arial" w:hAnsi="Arial" w:cs="Arial"/>
          <w:sz w:val="22"/>
          <w:szCs w:val="22"/>
        </w:rPr>
        <w:t xml:space="preserve">(2), 179–196. </w:t>
      </w:r>
      <w:hyperlink r:id="rId5" w:tgtFrame="_blank" w:history="1">
        <w:r w:rsidRPr="008D7F27">
          <w:rPr>
            <w:rStyle w:val="Hyperlink"/>
            <w:rFonts w:ascii="Arial" w:hAnsi="Arial" w:cs="Arial"/>
            <w:sz w:val="22"/>
            <w:szCs w:val="22"/>
          </w:rPr>
          <w:t>https://doi-org.wwwproxy1.library.unsw.edu.au/10.1037/rev0000055</w:t>
        </w:r>
      </w:hyperlink>
    </w:p>
    <w:p w:rsidR="008D7F27" w:rsidRPr="008D7F27" w:rsidRDefault="008D7F27" w:rsidP="008D7F27">
      <w:pPr>
        <w:rPr>
          <w:rFonts w:ascii="Arial" w:hAnsi="Arial" w:cs="Arial"/>
          <w:color w:val="000000" w:themeColor="text1"/>
          <w:sz w:val="22"/>
          <w:szCs w:val="22"/>
          <w:lang w:eastAsia="en-GB"/>
        </w:rPr>
      </w:pPr>
    </w:p>
    <w:p w:rsidR="008D7F27" w:rsidRPr="008D7F27" w:rsidRDefault="008D7F27" w:rsidP="008D7F27">
      <w:pPr>
        <w:pStyle w:val="Header"/>
        <w:tabs>
          <w:tab w:val="left" w:pos="720"/>
        </w:tabs>
        <w:rPr>
          <w:rFonts w:ascii="Arial" w:hAnsi="Arial" w:cs="Arial"/>
          <w:sz w:val="22"/>
          <w:szCs w:val="22"/>
        </w:rPr>
      </w:pPr>
    </w:p>
    <w:p w:rsidR="00361381" w:rsidRPr="008D7F27" w:rsidRDefault="00361381">
      <w:pPr>
        <w:rPr>
          <w:rFonts w:ascii="Arial" w:hAnsi="Arial" w:cs="Arial"/>
          <w:sz w:val="22"/>
          <w:szCs w:val="22"/>
        </w:rPr>
      </w:pPr>
    </w:p>
    <w:sectPr w:rsidR="00361381" w:rsidRPr="008D7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5A77"/>
    <w:multiLevelType w:val="hybridMultilevel"/>
    <w:tmpl w:val="BE4AC3CA"/>
    <w:lvl w:ilvl="0" w:tplc="FCBC503E">
      <w:start w:val="1"/>
      <w:numFmt w:val="decimal"/>
      <w:lvlText w:val="%1."/>
      <w:lvlJc w:val="left"/>
      <w:pPr>
        <w:ind w:left="938" w:hanging="360"/>
      </w:pPr>
      <w:rPr>
        <w:rFonts w:hint="default"/>
      </w:rPr>
    </w:lvl>
    <w:lvl w:ilvl="1" w:tplc="0C090019" w:tentative="1">
      <w:start w:val="1"/>
      <w:numFmt w:val="lowerLetter"/>
      <w:lvlText w:val="%2."/>
      <w:lvlJc w:val="left"/>
      <w:pPr>
        <w:ind w:left="1658" w:hanging="360"/>
      </w:pPr>
    </w:lvl>
    <w:lvl w:ilvl="2" w:tplc="0C09001B" w:tentative="1">
      <w:start w:val="1"/>
      <w:numFmt w:val="lowerRoman"/>
      <w:lvlText w:val="%3."/>
      <w:lvlJc w:val="right"/>
      <w:pPr>
        <w:ind w:left="2378" w:hanging="180"/>
      </w:pPr>
    </w:lvl>
    <w:lvl w:ilvl="3" w:tplc="0C09000F" w:tentative="1">
      <w:start w:val="1"/>
      <w:numFmt w:val="decimal"/>
      <w:lvlText w:val="%4."/>
      <w:lvlJc w:val="left"/>
      <w:pPr>
        <w:ind w:left="3098" w:hanging="360"/>
      </w:pPr>
    </w:lvl>
    <w:lvl w:ilvl="4" w:tplc="0C090019" w:tentative="1">
      <w:start w:val="1"/>
      <w:numFmt w:val="lowerLetter"/>
      <w:lvlText w:val="%5."/>
      <w:lvlJc w:val="left"/>
      <w:pPr>
        <w:ind w:left="3818" w:hanging="360"/>
      </w:pPr>
    </w:lvl>
    <w:lvl w:ilvl="5" w:tplc="0C09001B" w:tentative="1">
      <w:start w:val="1"/>
      <w:numFmt w:val="lowerRoman"/>
      <w:lvlText w:val="%6."/>
      <w:lvlJc w:val="right"/>
      <w:pPr>
        <w:ind w:left="4538" w:hanging="180"/>
      </w:pPr>
    </w:lvl>
    <w:lvl w:ilvl="6" w:tplc="0C09000F" w:tentative="1">
      <w:start w:val="1"/>
      <w:numFmt w:val="decimal"/>
      <w:lvlText w:val="%7."/>
      <w:lvlJc w:val="left"/>
      <w:pPr>
        <w:ind w:left="5258" w:hanging="360"/>
      </w:pPr>
    </w:lvl>
    <w:lvl w:ilvl="7" w:tplc="0C090019" w:tentative="1">
      <w:start w:val="1"/>
      <w:numFmt w:val="lowerLetter"/>
      <w:lvlText w:val="%8."/>
      <w:lvlJc w:val="left"/>
      <w:pPr>
        <w:ind w:left="5978" w:hanging="360"/>
      </w:pPr>
    </w:lvl>
    <w:lvl w:ilvl="8" w:tplc="0C09001B" w:tentative="1">
      <w:start w:val="1"/>
      <w:numFmt w:val="lowerRoman"/>
      <w:lvlText w:val="%9."/>
      <w:lvlJc w:val="right"/>
      <w:pPr>
        <w:ind w:left="6698" w:hanging="180"/>
      </w:pPr>
    </w:lvl>
  </w:abstractNum>
  <w:abstractNum w:abstractNumId="1" w15:restartNumberingAfterBreak="0">
    <w:nsid w:val="487900C0"/>
    <w:multiLevelType w:val="hybridMultilevel"/>
    <w:tmpl w:val="69487A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27"/>
    <w:rsid w:val="000938E3"/>
    <w:rsid w:val="00361381"/>
    <w:rsid w:val="005451FB"/>
    <w:rsid w:val="00704904"/>
    <w:rsid w:val="007B0134"/>
    <w:rsid w:val="008D7F27"/>
    <w:rsid w:val="00B966FF"/>
    <w:rsid w:val="00CE0E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587F"/>
  <w15:chartTrackingRefBased/>
  <w15:docId w15:val="{CD5C2474-317E-4B68-B66C-01A860DC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F27"/>
    <w:pPr>
      <w:spacing w:after="0" w:line="240" w:lineRule="auto"/>
    </w:pPr>
    <w:rPr>
      <w:rFonts w:ascii="Times New Roman" w:eastAsia="Times New Roman" w:hAnsi="Times New Roman" w:cs="Times New Roman"/>
      <w:sz w:val="24"/>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7F27"/>
    <w:rPr>
      <w:color w:val="0563C1" w:themeColor="hyperlink"/>
      <w:u w:val="single"/>
    </w:rPr>
  </w:style>
  <w:style w:type="paragraph" w:styleId="Header">
    <w:name w:val="header"/>
    <w:basedOn w:val="Normal"/>
    <w:link w:val="HeaderChar"/>
    <w:semiHidden/>
    <w:unhideWhenUsed/>
    <w:rsid w:val="008D7F27"/>
    <w:pPr>
      <w:tabs>
        <w:tab w:val="center" w:pos="4320"/>
        <w:tab w:val="right" w:pos="8640"/>
      </w:tabs>
    </w:pPr>
  </w:style>
  <w:style w:type="character" w:customStyle="1" w:styleId="HeaderChar">
    <w:name w:val="Header Char"/>
    <w:basedOn w:val="DefaultParagraphFont"/>
    <w:link w:val="Header"/>
    <w:semiHidden/>
    <w:rsid w:val="008D7F27"/>
    <w:rPr>
      <w:rFonts w:ascii="Times New Roman" w:eastAsia="Times New Roman" w:hAnsi="Times New Roman" w:cs="Times New Roman"/>
      <w:sz w:val="24"/>
      <w:szCs w:val="20"/>
      <w:lang w:val="en-US" w:eastAsia="en-AU"/>
    </w:rPr>
  </w:style>
  <w:style w:type="paragraph" w:styleId="ListParagraph">
    <w:name w:val="List Paragraph"/>
    <w:basedOn w:val="Normal"/>
    <w:uiPriority w:val="34"/>
    <w:qFormat/>
    <w:rsid w:val="008D7F27"/>
    <w:pPr>
      <w:ind w:left="720"/>
      <w:contextualSpacing/>
    </w:pPr>
  </w:style>
  <w:style w:type="table" w:styleId="TableGrid">
    <w:name w:val="Table Grid"/>
    <w:basedOn w:val="TableNormal"/>
    <w:uiPriority w:val="59"/>
    <w:rsid w:val="008D7F27"/>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D7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5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ycnet-apa-org.wwwproxy1.library.unsw.edu.au/doi/10.1037/rev00000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Fu</dc:creator>
  <cp:keywords/>
  <dc:description/>
  <cp:lastModifiedBy>Helen Fu</cp:lastModifiedBy>
  <cp:revision>3</cp:revision>
  <dcterms:created xsi:type="dcterms:W3CDTF">2021-06-11T00:55:00Z</dcterms:created>
  <dcterms:modified xsi:type="dcterms:W3CDTF">2021-06-15T02:11:00Z</dcterms:modified>
</cp:coreProperties>
</file>