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EU &amp; PORTUGAL CYBERSECURITY</w:t>
      </w:r>
    </w:p>
    <w:p>
      <w:pPr>
        <w:jc w:val="center"/>
      </w:pPr>
      <w:r>
        <w:rPr>
          <w:b/>
          <w:bCs/>
          <w:color w:val="1B4F72"/>
          <w:sz w:val="44"/>
          <w:szCs w:val="44"/>
        </w:rPr>
        <w:t xml:space="preserve">REGULATORY LANDSCAPE 2025</w:t>
      </w:r>
    </w:p>
    <w:p>
      <w:pPr>
        <w:spacing w:before="400"/>
        <w:jc w:val="center"/>
      </w:pPr>
      <w:r>
        <w:rPr>
          <w:color w:val="666666"/>
          <w:sz w:val="28"/>
          <w:szCs w:val="28"/>
        </w:rPr>
        <w:t xml:space="preserve">Strategic Analysis for AEGISAE Platform</w:t>
      </w:r>
    </w:p>
    <w:p>
      <w:pPr>
        <w:spacing w:before="800"/>
        <w:jc w:val="center"/>
      </w:pPr>
      <w:r>
        <w:rPr>
          <w:sz w:val="22"/>
          <w:szCs w:val="22"/>
        </w:rPr>
        <w:t xml:space="preserve">Prepared for: Zain Ahmad | AEGISAE Project</w:t>
      </w:r>
    </w:p>
    <w:p>
      <w:pPr>
        <w:jc w:val="center"/>
      </w:pPr>
      <w:r>
        <w:rPr>
          <w:sz w:val="22"/>
          <w:szCs w:val="22"/>
        </w:rPr>
        <w:t xml:space="preserve">Analysis Date: January 2026</w:t>
      </w:r>
    </w:p>
    <w:p>
      <w:pPr>
        <w:jc w:val="center"/>
      </w:pPr>
      <w:r>
        <w:rPr>
          <w:sz w:val="22"/>
          <w:szCs w:val="22"/>
        </w:rPr>
        <w:t xml:space="preserve">Document Version: 1.0</w:t>
      </w:r>
    </w:p>
    <w:p>
      <w:pPr>
        <w:spacing w:before="1200"/>
        <w:jc w:val="center"/>
      </w:pPr>
      <w:r>
        <w:rPr>
          <w:i/>
          <w:iCs/>
          <w:color w:val="666666"/>
          <w:sz w:val="20"/>
          <w:szCs w:val="20"/>
        </w:rPr>
        <w:t xml:space="preserve">Prepared with McKinsey/BCG-Grade Strategic Framework</w:t>
      </w:r>
    </w:p>
    <w:p>
      <w:r>
        <w:br w:type="page"/>
      </w:r>
    </w:p>
    <w:p>
      <w:pPr>
        <w:pStyle w:val="Heading1"/>
      </w:pPr>
      <w:r>
        <w:t xml:space="preserve">EXECUTIVE SUMMARY</w:t>
      </w:r>
    </w:p>
    <w:p>
      <w:pPr>
        <w:spacing w:after="200"/>
      </w:pPr>
      <w:r>
        <w:t xml:space="preserve">The European Union has established the world's most comprehensive cybersecurity regulatory framework, creating both significant compliance obligations and substantial market opportunities for AEGISAE. This analysis identifies the key regulations affecting your platform and provides strategic recommendations aligned with your €100 million growth objective.</w:t>
      </w:r>
    </w:p>
    <w:p>
      <w:pPr>
        <w:pStyle w:val="Heading2"/>
      </w:pPr>
      <w:r>
        <w:t xml:space="preserve">Key Findings</w:t>
      </w:r>
    </w:p>
    <w:p>
      <w:pPr>
        <w:pStyle w:val="ListParagraph"/>
        <w:numPr>
          <w:ilvl w:val="0"/>
          <w:numId w:val="2"/>
        </w:numPr>
      </w:pPr>
      <w:r>
        <w:rPr>
          <w:b/>
          <w:bCs/>
        </w:rPr>
        <w:t xml:space="preserve">Regulatory Tailwind: </w:t>
      </w:r>
      <w:r>
        <w:t xml:space="preserve">Portugal's NIS2 transposition (Decree-Law 125/2025) will bring up to 9,000 new entities into mandatory compliance scope by March 2026, creating immediate market demand for AEGISAE's integrated solution.</w:t>
      </w:r>
    </w:p>
    <w:p>
      <w:pPr>
        <w:pStyle w:val="ListParagraph"/>
        <w:numPr>
          <w:ilvl w:val="0"/>
          <w:numId w:val="2"/>
        </w:numPr>
      </w:pPr>
      <w:r>
        <w:rPr>
          <w:b/>
          <w:bCs/>
        </w:rPr>
        <w:t xml:space="preserve">Product-Market Fit: </w:t>
      </w:r>
      <w:r>
        <w:t xml:space="preserve">AEGISAE's QNRCS/NIST framework alignment positions it perfectly for NIS2 compliance automation—a capability gap identified in the current market.</w:t>
      </w:r>
    </w:p>
    <w:p>
      <w:pPr>
        <w:pStyle w:val="ListParagraph"/>
        <w:numPr>
          <w:ilvl w:val="0"/>
          <w:numId w:val="2"/>
        </w:numPr>
      </w:pPr>
      <w:r>
        <w:rPr>
          <w:b/>
          <w:bCs/>
        </w:rPr>
        <w:t xml:space="preserve">AI Classification: </w:t>
      </w:r>
      <w:r>
        <w:t xml:space="preserve">Under the EU AI Act (Regulation 2024/1689), AEGISAE's UEBA and threat detection components likely qualify as 'high-risk AI systems' in the cybersecurity domain, requiring conformity assessment by August 2027.</w:t>
      </w:r>
    </w:p>
    <w:p>
      <w:pPr>
        <w:pStyle w:val="ListParagraph"/>
        <w:numPr>
          <w:ilvl w:val="0"/>
          <w:numId w:val="2"/>
        </w:numPr>
      </w:pPr>
      <w:r>
        <w:rPr>
          <w:b/>
          <w:bCs/>
        </w:rPr>
        <w:t xml:space="preserve">Platform Compliance: </w:t>
      </w:r>
      <w:r>
        <w:t xml:space="preserve">As a 'product with digital elements,' AEGISAE must meet Cyber Resilience Act (CRA) requirements by December 2027, including SBOM generation and vulnerability management.</w:t>
      </w:r>
    </w:p>
    <w:p>
      <w:pPr>
        <w:pStyle w:val="ListParagraph"/>
        <w:numPr>
          <w:ilvl w:val="0"/>
          <w:numId w:val="2"/>
        </w:numPr>
      </w:pPr>
      <w:r>
        <w:rPr>
          <w:b/>
          <w:bCs/>
        </w:rPr>
        <w:t xml:space="preserve">Data Processing: </w:t>
      </w:r>
      <w:r>
        <w:t xml:space="preserve">GDPR compliance is foundational, with the EU Digital Omnibus (November 2025) proposing streamlined breach notification and AI-specific data processing exemptions.</w:t>
      </w:r>
    </w:p>
    <w:p>
      <w:r>
        <w:br w:type="page"/>
      </w:r>
    </w:p>
    <w:p>
      <w:pPr>
        <w:pStyle w:val="Heading1"/>
      </w:pPr>
      <w:r>
        <w:t xml:space="preserve">REGULATORY FRAMEWORK OVERVIEW</w:t>
      </w:r>
    </w:p>
    <w:p>
      <w:r>
        <w:t xml:space="preserve">The EU cybersecurity regulatory architecture operates as an interconnected system, with each regulation addressing specific domains while referencing others. Understanding these relationships is critical for AEGISAE's compliance strategy.</w:t>
      </w:r>
    </w:p>
    <w:p>
      <w:pPr>
        <w:pStyle w:val="Heading2"/>
      </w:pPr>
      <w:r>
        <w:t xml:space="preserve">Critical Compliance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REGULATION</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KEY DATE</w:t>
            </w:r>
          </w:p>
        </w:tc>
        <w:tc>
          <w:tcPr>
            <w:tcW w:type="dxa" w:w="4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AEGISAE IMPACT</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NIS2 Directive</w:t>
            </w:r>
          </w:p>
        </w:tc>
        <w:tc>
          <w:tcPr>
            <w:tcW w:type="dxa" w:w="2000"/>
            <w:tcBorders>
              <w:top w:val="single" w:color="CCCCCC" w:sz="1"/>
              <w:left w:val="single" w:color="CCCCCC" w:sz="1"/>
              <w:bottom w:val="single" w:color="CCCCCC" w:sz="1"/>
              <w:right w:val="single" w:color="CCCCCC" w:sz="1"/>
            </w:tcBorders>
          </w:tcPr>
          <w:p>
            <w:r>
              <w:rPr>
                <w:sz w:val="20"/>
                <w:szCs w:val="20"/>
              </w:rPr>
              <w:t xml:space="preserve">Oct 2024 (EU)</w:t>
            </w:r>
          </w:p>
        </w:tc>
        <w:tc>
          <w:tcPr>
            <w:tcW w:type="dxa" w:w="4860"/>
            <w:tcBorders>
              <w:top w:val="single" w:color="CCCCCC" w:sz="1"/>
              <w:left w:val="single" w:color="CCCCCC" w:sz="1"/>
              <w:bottom w:val="single" w:color="CCCCCC" w:sz="1"/>
              <w:right w:val="single" w:color="CCCCCC" w:sz="1"/>
            </w:tcBorders>
          </w:tcPr>
          <w:p>
            <w:r>
              <w:rPr>
                <w:sz w:val="20"/>
                <w:szCs w:val="20"/>
              </w:rPr>
              <w:t xml:space="preserve">Primary demand driver; 100,000+ EU entities in scope</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Portugal NIS2 (RJC)</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Apr 3, 2026</w:t>
            </w:r>
          </w:p>
        </w:tc>
        <w:tc>
          <w:tcPr>
            <w:tcW w:type="dxa" w:w="4860"/>
            <w:tcBorders>
              <w:top w:val="single" w:color="CCCCCC" w:sz="1"/>
              <w:left w:val="single" w:color="CCCCCC" w:sz="1"/>
              <w:bottom w:val="single" w:color="CCCCCC" w:sz="1"/>
              <w:right w:val="single" w:color="CCCCCC" w:sz="1"/>
            </w:tcBorders>
            <w:shd w:fill="F8F9FA" w:val="clear"/>
          </w:tcPr>
          <w:p>
            <w:r>
              <w:rPr>
                <w:sz w:val="20"/>
                <w:szCs w:val="20"/>
              </w:rPr>
              <w:t xml:space="preserve">9,000 new Portuguese entities; CNCS audits from Sep 2026</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EU AI Act</w:t>
            </w:r>
          </w:p>
        </w:tc>
        <w:tc>
          <w:tcPr>
            <w:tcW w:type="dxa" w:w="2000"/>
            <w:tcBorders>
              <w:top w:val="single" w:color="CCCCCC" w:sz="1"/>
              <w:left w:val="single" w:color="CCCCCC" w:sz="1"/>
              <w:bottom w:val="single" w:color="CCCCCC" w:sz="1"/>
              <w:right w:val="single" w:color="CCCCCC" w:sz="1"/>
            </w:tcBorders>
          </w:tcPr>
          <w:p>
            <w:r>
              <w:rPr>
                <w:sz w:val="20"/>
                <w:szCs w:val="20"/>
              </w:rPr>
              <w:t xml:space="preserve">Aug 2, 2027</w:t>
            </w:r>
          </w:p>
        </w:tc>
        <w:tc>
          <w:tcPr>
            <w:tcW w:type="dxa" w:w="4860"/>
            <w:tcBorders>
              <w:top w:val="single" w:color="CCCCCC" w:sz="1"/>
              <w:left w:val="single" w:color="CCCCCC" w:sz="1"/>
              <w:bottom w:val="single" w:color="CCCCCC" w:sz="1"/>
              <w:right w:val="single" w:color="CCCCCC" w:sz="1"/>
            </w:tcBorders>
          </w:tcPr>
          <w:p>
            <w:r>
              <w:rPr>
                <w:sz w:val="20"/>
                <w:szCs w:val="20"/>
              </w:rPr>
              <w:t xml:space="preserve">High-risk AI conformity for UEBA/threat detection</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Cyber Resilience Act</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Dec 11, 2027</w:t>
            </w:r>
          </w:p>
        </w:tc>
        <w:tc>
          <w:tcPr>
            <w:tcW w:type="dxa" w:w="4860"/>
            <w:tcBorders>
              <w:top w:val="single" w:color="CCCCCC" w:sz="1"/>
              <w:left w:val="single" w:color="CCCCCC" w:sz="1"/>
              <w:bottom w:val="single" w:color="CCCCCC" w:sz="1"/>
              <w:right w:val="single" w:color="CCCCCC" w:sz="1"/>
            </w:tcBorders>
            <w:shd w:fill="F8F9FA" w:val="clear"/>
          </w:tcPr>
          <w:p>
            <w:r>
              <w:rPr>
                <w:sz w:val="20"/>
                <w:szCs w:val="20"/>
              </w:rPr>
              <w:t xml:space="preserve">Product security requirements; SBOM mandatory</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DORA</w:t>
            </w:r>
          </w:p>
        </w:tc>
        <w:tc>
          <w:tcPr>
            <w:tcW w:type="dxa" w:w="2000"/>
            <w:tcBorders>
              <w:top w:val="single" w:color="CCCCCC" w:sz="1"/>
              <w:left w:val="single" w:color="CCCCCC" w:sz="1"/>
              <w:bottom w:val="single" w:color="CCCCCC" w:sz="1"/>
              <w:right w:val="single" w:color="CCCCCC" w:sz="1"/>
            </w:tcBorders>
          </w:tcPr>
          <w:p>
            <w:r>
              <w:rPr>
                <w:sz w:val="20"/>
                <w:szCs w:val="20"/>
              </w:rPr>
              <w:t xml:space="preserve">Jan 17, 2025</w:t>
            </w:r>
          </w:p>
        </w:tc>
        <w:tc>
          <w:tcPr>
            <w:tcW w:type="dxa" w:w="4860"/>
            <w:tcBorders>
              <w:top w:val="single" w:color="CCCCCC" w:sz="1"/>
              <w:left w:val="single" w:color="CCCCCC" w:sz="1"/>
              <w:bottom w:val="single" w:color="CCCCCC" w:sz="1"/>
              <w:right w:val="single" w:color="CCCCCC" w:sz="1"/>
            </w:tcBorders>
          </w:tcPr>
          <w:p>
            <w:r>
              <w:rPr>
                <w:sz w:val="20"/>
                <w:szCs w:val="20"/>
              </w:rPr>
              <w:t xml:space="preserve">Financial sector vertical opportunity</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GDPR (+ Omnibus)</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Ongoing</w:t>
            </w:r>
          </w:p>
        </w:tc>
        <w:tc>
          <w:tcPr>
            <w:tcW w:type="dxa" w:w="4860"/>
            <w:tcBorders>
              <w:top w:val="single" w:color="CCCCCC" w:sz="1"/>
              <w:left w:val="single" w:color="CCCCCC" w:sz="1"/>
              <w:bottom w:val="single" w:color="CCCCCC" w:sz="1"/>
              <w:right w:val="single" w:color="CCCCCC" w:sz="1"/>
            </w:tcBorders>
            <w:shd w:fill="F8F9FA" w:val="clear"/>
          </w:tcPr>
          <w:p>
            <w:r>
              <w:rPr>
                <w:sz w:val="20"/>
                <w:szCs w:val="20"/>
              </w:rPr>
              <w:t xml:space="preserve">Foundational; single-entry breach portal proposed</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Cyber Solidarity Act</w:t>
            </w:r>
          </w:p>
        </w:tc>
        <w:tc>
          <w:tcPr>
            <w:tcW w:type="dxa" w:w="2000"/>
            <w:tcBorders>
              <w:top w:val="single" w:color="CCCCCC" w:sz="1"/>
              <w:left w:val="single" w:color="CCCCCC" w:sz="1"/>
              <w:bottom w:val="single" w:color="CCCCCC" w:sz="1"/>
              <w:right w:val="single" w:color="CCCCCC" w:sz="1"/>
            </w:tcBorders>
          </w:tcPr>
          <w:p>
            <w:r>
              <w:rPr>
                <w:sz w:val="20"/>
                <w:szCs w:val="20"/>
              </w:rPr>
              <w:t xml:space="preserve">Feb 4, 2025</w:t>
            </w:r>
          </w:p>
        </w:tc>
        <w:tc>
          <w:tcPr>
            <w:tcW w:type="dxa" w:w="4860"/>
            <w:tcBorders>
              <w:top w:val="single" w:color="CCCCCC" w:sz="1"/>
              <w:left w:val="single" w:color="CCCCCC" w:sz="1"/>
              <w:bottom w:val="single" w:color="CCCCCC" w:sz="1"/>
              <w:right w:val="single" w:color="CCCCCC" w:sz="1"/>
            </w:tcBorders>
          </w:tcPr>
          <w:p>
            <w:r>
              <w:rPr>
                <w:sz w:val="20"/>
                <w:szCs w:val="20"/>
              </w:rPr>
              <w:t xml:space="preserve">EU Cybersecurity Reserve; SOC network opportunity</w:t>
            </w:r>
          </w:p>
        </w:tc>
      </w:tr>
    </w:tbl>
    <w:p>
      <w:r>
        <w:br w:type="page"/>
      </w:r>
    </w:p>
    <w:p>
      <w:pPr>
        <w:pStyle w:val="Heading1"/>
      </w:pPr>
      <w:r>
        <w:t xml:space="preserve">NIS2 DIRECTIVE (EU 2022/2555)</w:t>
      </w:r>
    </w:p>
    <w:p>
      <w:pPr>
        <w:pStyle w:val="Heading2"/>
      </w:pPr>
      <w:r>
        <w:t xml:space="preserve">Overview</w:t>
      </w:r>
    </w:p>
    <w:p>
      <w:r>
        <w:t xml:space="preserve">The NIS2 Directive represents the most significant expansion of EU cybersecurity regulation, replacing NIS1 as of October 18, 2024. It establishes mandatory cybersecurity risk management and incident reporting obligations across 18 critical sectors, affecting approximately 100,000 organizations EU-wide—a 100x increase from NIS1's scope.</w:t>
      </w:r>
    </w:p>
    <w:p>
      <w:pPr>
        <w:pStyle w:val="Heading2"/>
      </w:pPr>
      <w:r>
        <w:t xml:space="preserve">Key Requirements</w:t>
      </w:r>
    </w:p>
    <w:p>
      <w:pPr>
        <w:pStyle w:val="ListParagraph"/>
        <w:numPr>
          <w:ilvl w:val="0"/>
          <w:numId w:val="3"/>
        </w:numPr>
      </w:pPr>
      <w:r>
        <w:rPr>
          <w:b/>
          <w:bCs/>
        </w:rPr>
        <w:t xml:space="preserve">Risk Management Measures: </w:t>
      </w:r>
      <w:r>
        <w:t xml:space="preserve">Organizations must implement appropriate technical, operational, and organizational measures including policies on risk analysis, incident handling, business continuity, supply chain security, and vulnerability disclosure.</w:t>
      </w:r>
    </w:p>
    <w:p>
      <w:pPr>
        <w:pStyle w:val="ListParagraph"/>
        <w:numPr>
          <w:ilvl w:val="0"/>
          <w:numId w:val="3"/>
        </w:numPr>
      </w:pPr>
      <w:r>
        <w:rPr>
          <w:b/>
          <w:bCs/>
        </w:rPr>
        <w:t xml:space="preserve">Incident Reporting: </w:t>
      </w:r>
      <w:r>
        <w:t xml:space="preserve">Significant incidents require early warning within 24 hours, incident notification within 72 hours, and final report within one month.</w:t>
      </w:r>
    </w:p>
    <w:p>
      <w:pPr>
        <w:pStyle w:val="ListParagraph"/>
        <w:numPr>
          <w:ilvl w:val="0"/>
          <w:numId w:val="3"/>
        </w:numPr>
      </w:pPr>
      <w:r>
        <w:rPr>
          <w:b/>
          <w:bCs/>
        </w:rPr>
        <w:t xml:space="preserve">Management Accountability: </w:t>
      </w:r>
      <w:r>
        <w:t xml:space="preserve">Board-level oversight required; executives can be held personally liable for non-compliance with potential bans from management roles.</w:t>
      </w:r>
    </w:p>
    <w:p>
      <w:pPr>
        <w:pStyle w:val="ListParagraph"/>
        <w:numPr>
          <w:ilvl w:val="0"/>
          <w:numId w:val="3"/>
        </w:numPr>
      </w:pPr>
      <w:r>
        <w:rPr>
          <w:b/>
          <w:bCs/>
        </w:rPr>
        <w:t xml:space="preserve">Supply Chain Security: </w:t>
      </w:r>
      <w:r>
        <w:t xml:space="preserve">Entities must assess and manage risks from third-party suppliers, creating cascading compliance requirements throughout supply chains.</w:t>
      </w:r>
    </w:p>
    <w:p>
      <w:pPr>
        <w:pStyle w:val="ListParagraph"/>
        <w:numPr>
          <w:ilvl w:val="0"/>
          <w:numId w:val="3"/>
        </w:numPr>
      </w:pPr>
      <w:r>
        <w:rPr>
          <w:b/>
          <w:bCs/>
        </w:rPr>
        <w:t xml:space="preserve">Multi-Factor Authentication: </w:t>
      </w:r>
      <w:r>
        <w:t xml:space="preserve">MFA mandatory for internet-facing systems including email, remote desktop, and VPNs.</w:t>
      </w:r>
    </w:p>
    <w:p>
      <w:pPr>
        <w:pStyle w:val="Heading2"/>
      </w:pPr>
      <w:r>
        <w:t xml:space="preserve">Penalties</w:t>
      </w:r>
    </w:p>
    <w:p>
      <w:pPr>
        <w:pStyle w:val="ListParagraph"/>
        <w:numPr>
          <w:ilvl w:val="0"/>
          <w:numId w:val="4"/>
        </w:numPr>
      </w:pPr>
      <w:r>
        <w:rPr>
          <w:b/>
          <w:bCs/>
        </w:rPr>
        <w:t xml:space="preserve">Essential Entities: </w:t>
      </w:r>
      <w:r>
        <w:t xml:space="preserve">Up to €10 million or 2% of global annual turnover (whichever is higher)</w:t>
      </w:r>
    </w:p>
    <w:p>
      <w:pPr>
        <w:pStyle w:val="ListParagraph"/>
        <w:numPr>
          <w:ilvl w:val="0"/>
          <w:numId w:val="4"/>
        </w:numPr>
      </w:pPr>
      <w:r>
        <w:rPr>
          <w:b/>
          <w:bCs/>
        </w:rPr>
        <w:t xml:space="preserve">Important Entities: </w:t>
      </w:r>
      <w:r>
        <w:t xml:space="preserve">Up to €7 million or 1.4% of global annual turnover (whichever is higher)</w:t>
      </w:r>
    </w:p>
    <w:p>
      <w:pPr>
        <w:pStyle w:val="Heading2"/>
      </w:pPr>
      <w:r>
        <w:t xml:space="preserve">AEGISAE Alignment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NIS2 REQUIREMENT</w:t>
            </w:r>
          </w:p>
        </w:tc>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AEGISAE CAPABILITY</w:t>
            </w:r>
          </w:p>
        </w:tc>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GAP/ACTION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Risk analysis &amp; policies</w:t>
            </w:r>
          </w:p>
        </w:tc>
        <w:tc>
          <w:tcPr>
            <w:tcW w:type="dxa" w:w="3120"/>
            <w:tcBorders>
              <w:top w:val="single" w:color="CCCCCC" w:sz="1"/>
              <w:left w:val="single" w:color="CCCCCC" w:sz="1"/>
              <w:bottom w:val="single" w:color="CCCCCC" w:sz="1"/>
              <w:right w:val="single" w:color="CCCCCC" w:sz="1"/>
            </w:tcBorders>
          </w:tcPr>
          <w:p>
            <w:r>
              <w:rPr>
                <w:sz w:val="20"/>
                <w:szCs w:val="20"/>
              </w:rPr>
              <w:t xml:space="preserve">UEBA risk profiling; automated vulnerability assessment</w:t>
            </w:r>
          </w:p>
        </w:tc>
        <w:tc>
          <w:tcPr>
            <w:tcW w:type="dxa" w:w="3120"/>
            <w:tcBorders>
              <w:top w:val="single" w:color="CCCCCC" w:sz="1"/>
              <w:left w:val="single" w:color="CCCCCC" w:sz="1"/>
              <w:bottom w:val="single" w:color="CCCCCC" w:sz="1"/>
              <w:right w:val="single" w:color="CCCCCC" w:sz="1"/>
            </w:tcBorders>
          </w:tcPr>
          <w:p>
            <w:r>
              <w:rPr>
                <w:color w:val="27AE60"/>
                <w:sz w:val="20"/>
                <w:szCs w:val="20"/>
              </w:rPr>
              <w:t xml:space="preserve">✓ Strong alignment</w:t>
            </w:r>
          </w:p>
        </w:tc>
      </w:tr>
      <w:tr>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Incident handling</w:t>
            </w:r>
          </w:p>
        </w:tc>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QNRCS Detect/Respond functions</w:t>
            </w:r>
          </w:p>
        </w:tc>
        <w:tc>
          <w:tcPr>
            <w:tcW w:type="dxa" w:w="3120"/>
            <w:tcBorders>
              <w:top w:val="single" w:color="CCCCCC" w:sz="1"/>
              <w:left w:val="single" w:color="CCCCCC" w:sz="1"/>
              <w:bottom w:val="single" w:color="CCCCCC" w:sz="1"/>
              <w:right w:val="single" w:color="CCCCCC" w:sz="1"/>
            </w:tcBorders>
            <w:shd w:fill="F8F9FA" w:val="clear"/>
          </w:tcPr>
          <w:p>
            <w:r>
              <w:rPr>
                <w:color w:val="F39C12"/>
                <w:sz w:val="20"/>
                <w:szCs w:val="20"/>
              </w:rPr>
              <w:t xml:space="preserve">Add automated CSIRT reporting</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Security awareness training</w:t>
            </w:r>
          </w:p>
        </w:tc>
        <w:tc>
          <w:tcPr>
            <w:tcW w:type="dxa" w:w="3120"/>
            <w:tcBorders>
              <w:top w:val="single" w:color="CCCCCC" w:sz="1"/>
              <w:left w:val="single" w:color="CCCCCC" w:sz="1"/>
              <w:bottom w:val="single" w:color="CCCCCC" w:sz="1"/>
              <w:right w:val="single" w:color="CCCCCC" w:sz="1"/>
            </w:tcBorders>
          </w:tcPr>
          <w:p>
            <w:r>
              <w:rPr>
                <w:sz w:val="20"/>
                <w:szCs w:val="20"/>
              </w:rPr>
              <w:t xml:space="preserve">Gamified Human Firewall Initiative</w:t>
            </w:r>
          </w:p>
        </w:tc>
        <w:tc>
          <w:tcPr>
            <w:tcW w:type="dxa" w:w="3120"/>
            <w:tcBorders>
              <w:top w:val="single" w:color="CCCCCC" w:sz="1"/>
              <w:left w:val="single" w:color="CCCCCC" w:sz="1"/>
              <w:bottom w:val="single" w:color="CCCCCC" w:sz="1"/>
              <w:right w:val="single" w:color="CCCCCC" w:sz="1"/>
            </w:tcBorders>
          </w:tcPr>
          <w:p>
            <w:r>
              <w:rPr>
                <w:color w:val="27AE60"/>
                <w:sz w:val="20"/>
                <w:szCs w:val="20"/>
              </w:rPr>
              <w:t xml:space="preserve">✓ Core differentiator</w:t>
            </w:r>
          </w:p>
        </w:tc>
      </w:tr>
      <w:tr>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Vulnerability management</w:t>
            </w:r>
          </w:p>
        </w:tc>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SCA &amp; dependency scanning</w:t>
            </w:r>
          </w:p>
        </w:tc>
        <w:tc>
          <w:tcPr>
            <w:tcW w:type="dxa" w:w="3120"/>
            <w:tcBorders>
              <w:top w:val="single" w:color="CCCCCC" w:sz="1"/>
              <w:left w:val="single" w:color="CCCCCC" w:sz="1"/>
              <w:bottom w:val="single" w:color="CCCCCC" w:sz="1"/>
              <w:right w:val="single" w:color="CCCCCC" w:sz="1"/>
            </w:tcBorders>
            <w:shd w:fill="F8F9FA" w:val="clear"/>
          </w:tcPr>
          <w:p>
            <w:r>
              <w:rPr>
                <w:color w:val="27AE60"/>
                <w:sz w:val="20"/>
                <w:szCs w:val="20"/>
              </w:rPr>
              <w:t xml:space="preserve">✓ NVD/GitHub integration planned</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Supply chain security</w:t>
            </w:r>
          </w:p>
        </w:tc>
        <w:tc>
          <w:tcPr>
            <w:tcW w:type="dxa" w:w="3120"/>
            <w:tcBorders>
              <w:top w:val="single" w:color="CCCCCC" w:sz="1"/>
              <w:left w:val="single" w:color="CCCCCC" w:sz="1"/>
              <w:bottom w:val="single" w:color="CCCCCC" w:sz="1"/>
              <w:right w:val="single" w:color="CCCCCC" w:sz="1"/>
            </w:tcBorders>
          </w:tcPr>
          <w:p>
            <w:r>
              <w:rPr>
                <w:sz w:val="20"/>
                <w:szCs w:val="20"/>
              </w:rPr>
              <w:t xml:space="preserve">Third-party risk in roadmap</w:t>
            </w:r>
          </w:p>
        </w:tc>
        <w:tc>
          <w:tcPr>
            <w:tcW w:type="dxa" w:w="3120"/>
            <w:tcBorders>
              <w:top w:val="single" w:color="CCCCCC" w:sz="1"/>
              <w:left w:val="single" w:color="CCCCCC" w:sz="1"/>
              <w:bottom w:val="single" w:color="CCCCCC" w:sz="1"/>
              <w:right w:val="single" w:color="CCCCCC" w:sz="1"/>
            </w:tcBorders>
          </w:tcPr>
          <w:p>
            <w:r>
              <w:rPr>
                <w:color w:val="F39C12"/>
                <w:sz w:val="20"/>
                <w:szCs w:val="20"/>
              </w:rPr>
              <w:t xml:space="preserve">Prioritize for V2.0</w:t>
            </w:r>
          </w:p>
        </w:tc>
      </w:tr>
    </w:tbl>
    <w:p>
      <w:r>
        <w:br w:type="page"/>
      </w:r>
    </w:p>
    <w:p>
      <w:pPr>
        <w:pStyle w:val="Heading1"/>
      </w:pPr>
      <w:r>
        <w:t xml:space="preserve">PORTUGAL NIS2 TRANSPOSITION</w:t>
      </w:r>
    </w:p>
    <w:p>
      <w:pPr>
        <w:pStyle w:val="Heading2"/>
      </w:pPr>
      <w:r>
        <w:t xml:space="preserve">Current Status (December 2025)</w:t>
      </w:r>
    </w:p>
    <w:p>
      <w:r>
        <w:t xml:space="preserve">Portugal published Decree-Law 125/2025 on December 4, 2025, transposing NIS2 into national law through the new Regime Jurídico da Cibersegurança (RJC). This replaces the existing Cyber-Security Act (Lei 46/2018) and represents a major expansion of regulatory scope.</w:t>
      </w:r>
    </w:p>
    <w:p>
      <w:pPr>
        <w:pStyle w:val="Heading2"/>
      </w:pPr>
      <w:r>
        <w:t xml:space="preserve">Key Dates for Portuguese Compliance</w:t>
      </w:r>
    </w:p>
    <w:p>
      <w:pPr>
        <w:pStyle w:val="ListParagraph"/>
        <w:numPr>
          <w:ilvl w:val="0"/>
          <w:numId w:val="5"/>
        </w:numPr>
      </w:pPr>
      <w:r>
        <w:rPr>
          <w:b/>
          <w:bCs/>
        </w:rPr>
        <w:t xml:space="preserve">April 3, 2026: </w:t>
      </w:r>
      <w:r>
        <w:t xml:space="preserve">Law enters into force</w:t>
      </w:r>
    </w:p>
    <w:p>
      <w:pPr>
        <w:pStyle w:val="ListParagraph"/>
        <w:numPr>
          <w:ilvl w:val="0"/>
          <w:numId w:val="5"/>
        </w:numPr>
      </w:pPr>
      <w:r>
        <w:rPr>
          <w:b/>
          <w:bCs/>
        </w:rPr>
        <w:t xml:space="preserve">Within 20 working days of April 3, 2026: </w:t>
      </w:r>
      <w:r>
        <w:t xml:space="preserve">Entities must appoint cybersecurity officer and 24/7 permanent point of contact with CNCS</w:t>
      </w:r>
    </w:p>
    <w:p>
      <w:pPr>
        <w:pStyle w:val="ListParagraph"/>
        <w:numPr>
          <w:ilvl w:val="0"/>
          <w:numId w:val="5"/>
        </w:numPr>
      </w:pPr>
      <w:r>
        <w:rPr>
          <w:b/>
          <w:bCs/>
        </w:rPr>
        <w:t xml:space="preserve">Within 60 calendar days of platform availability: </w:t>
      </w:r>
      <w:r>
        <w:t xml:space="preserve">Self-qualification and registration with CNCS</w:t>
      </w:r>
    </w:p>
    <w:p>
      <w:pPr>
        <w:pStyle w:val="ListParagraph"/>
        <w:numPr>
          <w:ilvl w:val="0"/>
          <w:numId w:val="5"/>
        </w:numPr>
      </w:pPr>
      <w:r>
        <w:rPr>
          <w:b/>
          <w:bCs/>
        </w:rPr>
        <w:t xml:space="preserve">September 2026: </w:t>
      </w:r>
      <w:r>
        <w:t xml:space="preserve">First CNCS compliance audits begin</w:t>
      </w:r>
    </w:p>
    <w:p>
      <w:pPr>
        <w:pStyle w:val="ListParagraph"/>
        <w:numPr>
          <w:ilvl w:val="0"/>
          <w:numId w:val="5"/>
        </w:numPr>
      </w:pPr>
      <w:r>
        <w:rPr>
          <w:b/>
          <w:bCs/>
        </w:rPr>
        <w:t xml:space="preserve">24 months after implementing regulations: </w:t>
      </w:r>
      <w:r>
        <w:t xml:space="preserve">Full compliance with cybersecurity measures, supply chain security, residual risk management, and annual reporting</w:t>
      </w:r>
    </w:p>
    <w:p>
      <w:pPr>
        <w:pStyle w:val="Heading2"/>
      </w:pPr>
      <w:r>
        <w:t xml:space="preserve">Portugal-Specific Requirements</w:t>
      </w:r>
    </w:p>
    <w:p>
      <w:pPr>
        <w:pStyle w:val="ListParagraph"/>
        <w:numPr>
          <w:ilvl w:val="0"/>
          <w:numId w:val="4"/>
        </w:numPr>
      </w:pPr>
      <w:r>
        <w:rPr>
          <w:b/>
          <w:bCs/>
        </w:rPr>
        <w:t xml:space="preserve">Mandatory CISO: </w:t>
      </w:r>
      <w:r>
        <w:t xml:space="preserve">All in-scope entities must appoint a Chief Information Security Officer or equivalent</w:t>
      </w:r>
    </w:p>
    <w:p>
      <w:pPr>
        <w:pStyle w:val="ListParagraph"/>
        <w:numPr>
          <w:ilvl w:val="0"/>
          <w:numId w:val="4"/>
        </w:numPr>
      </w:pPr>
      <w:r>
        <w:rPr>
          <w:b/>
          <w:bCs/>
        </w:rPr>
        <w:t xml:space="preserve">Personal Liability: </w:t>
      </w:r>
      <w:r>
        <w:t xml:space="preserve">Directors and administrators can be removed under Portuguese Commercial Companies Code for repeated negligence</w:t>
      </w:r>
    </w:p>
    <w:p>
      <w:pPr>
        <w:pStyle w:val="ListParagraph"/>
        <w:numPr>
          <w:ilvl w:val="0"/>
          <w:numId w:val="4"/>
        </w:numPr>
      </w:pPr>
      <w:r>
        <w:rPr>
          <w:b/>
          <w:bCs/>
        </w:rPr>
        <w:t xml:space="preserve">QNRCS Alignment: </w:t>
      </w:r>
      <w:r>
        <w:t xml:space="preserve">Controls should align with National Cybersecurity Framework (based on NIST CSF: Identify, Protect, Detect, Respond, Recover)</w:t>
      </w:r>
    </w:p>
    <w:p>
      <w:pPr>
        <w:pStyle w:val="ListParagraph"/>
        <w:numPr>
          <w:ilvl w:val="0"/>
          <w:numId w:val="4"/>
        </w:numPr>
      </w:pPr>
      <w:r>
        <w:rPr>
          <w:b/>
          <w:bCs/>
        </w:rPr>
        <w:t xml:space="preserve">Certification Scheme: </w:t>
      </w:r>
      <w:r>
        <w:t xml:space="preserve">CNCS developing common cybersecurity certification with assurance levels for suppliers</w:t>
      </w:r>
    </w:p>
    <w:p>
      <w:pPr>
        <w:pStyle w:val="Heading2"/>
      </w:pPr>
      <w:r>
        <w:t xml:space="preserve">Market Opportunity</w:t>
      </w:r>
    </w:p>
    <w:p>
      <w:r>
        <w:rPr>
          <w:b/>
          <w:bCs/>
        </w:rPr>
        <w:t xml:space="preserve">Critical Insight: </w:t>
      </w:r>
      <w:r>
        <w:t xml:space="preserve">Portugal's RJC will bring approximately 9,000 new entities into regulatory scope by March 2026. The CNCS has historically taken a 'pedagogical approach' (educate before penalize), but has warned of stricter enforcement post-implementation. This creates a 12-18 month window where demand for compliance solutions will peak—directly aligned with AEGISAE's Web Summit 2026 launch strategy.</w:t>
      </w:r>
    </w:p>
    <w:p>
      <w:r>
        <w:br w:type="page"/>
      </w:r>
    </w:p>
    <w:p>
      <w:pPr>
        <w:pStyle w:val="Heading1"/>
      </w:pPr>
      <w:r>
        <w:t xml:space="preserve">CYBER RESILIENCE ACT (EU 2024/2847)</w:t>
      </w:r>
    </w:p>
    <w:p>
      <w:pPr>
        <w:pStyle w:val="Heading2"/>
      </w:pPr>
      <w:r>
        <w:t xml:space="preserve">Overview</w:t>
      </w:r>
    </w:p>
    <w:p>
      <w:r>
        <w:t xml:space="preserve">The Cyber Resilience Act (CRA) introduces mandatory cybersecurity requirements for 'products with digital elements' (PDEs) sold in the EU market. It entered into force December 10, 2024, with main obligations applying from December 11, 2027. As a cybersecurity software platform, AEGISAE is directly subject to CRA requirements.</w:t>
      </w:r>
    </w:p>
    <w:p>
      <w:pPr>
        <w:pStyle w:val="Heading2"/>
      </w:pPr>
      <w:r>
        <w:t xml:space="preserve">Key Requirements for AEGISAE</w:t>
      </w:r>
    </w:p>
    <w:p>
      <w:pPr>
        <w:pStyle w:val="ListParagraph"/>
        <w:numPr>
          <w:ilvl w:val="0"/>
          <w:numId w:val="6"/>
        </w:numPr>
      </w:pPr>
      <w:r>
        <w:rPr>
          <w:b/>
          <w:bCs/>
        </w:rPr>
        <w:t xml:space="preserve">Secure by Design: </w:t>
      </w:r>
      <w:r>
        <w:t xml:space="preserve">Products must be designed, developed, and produced to ensure appropriate cybersecurity based on risk assessment</w:t>
      </w:r>
    </w:p>
    <w:p>
      <w:pPr>
        <w:pStyle w:val="ListParagraph"/>
        <w:numPr>
          <w:ilvl w:val="0"/>
          <w:numId w:val="6"/>
        </w:numPr>
      </w:pPr>
      <w:r>
        <w:rPr>
          <w:b/>
          <w:bCs/>
        </w:rPr>
        <w:t xml:space="preserve">Software Bill of Materials (SBOM): </w:t>
      </w:r>
      <w:r>
        <w:t xml:space="preserve">Mandatory documentation of all components, including open-source dependencies—directly relevant to AEGISAE's SCA capabilities</w:t>
      </w:r>
    </w:p>
    <w:p>
      <w:pPr>
        <w:pStyle w:val="ListParagraph"/>
        <w:numPr>
          <w:ilvl w:val="0"/>
          <w:numId w:val="6"/>
        </w:numPr>
      </w:pPr>
      <w:r>
        <w:rPr>
          <w:b/>
          <w:bCs/>
        </w:rPr>
        <w:t xml:space="preserve">Vulnerability Handling: </w:t>
      </w:r>
      <w:r>
        <w:t xml:space="preserve">Coordinated vulnerability disclosure policy required; security updates for at least 5 years or product lifetime</w:t>
      </w:r>
    </w:p>
    <w:p>
      <w:pPr>
        <w:pStyle w:val="ListParagraph"/>
        <w:numPr>
          <w:ilvl w:val="0"/>
          <w:numId w:val="6"/>
        </w:numPr>
      </w:pPr>
      <w:r>
        <w:rPr>
          <w:b/>
          <w:bCs/>
        </w:rPr>
        <w:t xml:space="preserve">Incident Reporting: </w:t>
      </w:r>
      <w:r>
        <w:t xml:space="preserve">Actively exploited vulnerabilities must be reported to ENISA within 24 hours (from September 11, 2026)</w:t>
      </w:r>
    </w:p>
    <w:p>
      <w:pPr>
        <w:pStyle w:val="ListParagraph"/>
        <w:numPr>
          <w:ilvl w:val="0"/>
          <w:numId w:val="6"/>
        </w:numPr>
      </w:pPr>
      <w:r>
        <w:rPr>
          <w:b/>
          <w:bCs/>
        </w:rPr>
        <w:t xml:space="preserve">Conformity Assessment: </w:t>
      </w:r>
      <w:r>
        <w:t xml:space="preserve">Self-assessment for default category products; third-party assessment for 'Important' or 'Critical' products</w:t>
      </w:r>
    </w:p>
    <w:p>
      <w:pPr>
        <w:pStyle w:val="Heading2"/>
      </w:pPr>
      <w:r>
        <w:t xml:space="preserve">Product Classification</w:t>
      </w:r>
    </w:p>
    <w:p>
      <w:r>
        <w:t xml:space="preserve">AEGISAE's classification under the CRA depends on its security functionality:</w:t>
      </w:r>
    </w:p>
    <w:p>
      <w:pPr>
        <w:pStyle w:val="ListParagraph"/>
        <w:numPr>
          <w:ilvl w:val="0"/>
          <w:numId w:val="4"/>
        </w:numPr>
      </w:pPr>
      <w:r>
        <w:rPr>
          <w:b/>
          <w:bCs/>
        </w:rPr>
        <w:t xml:space="preserve">Default Category (~90% of products): </w:t>
      </w:r>
      <w:r>
        <w:t xml:space="preserve">Self-assessment if AEGISAE is classified as general cybersecurity software</w:t>
      </w:r>
    </w:p>
    <w:p>
      <w:pPr>
        <w:pStyle w:val="ListParagraph"/>
        <w:numPr>
          <w:ilvl w:val="0"/>
          <w:numId w:val="4"/>
        </w:numPr>
      </w:pPr>
      <w:r>
        <w:rPr>
          <w:b/>
          <w:bCs/>
        </w:rPr>
        <w:t xml:space="preserve">Important (Class I): </w:t>
      </w:r>
      <w:r>
        <w:t xml:space="preserve">May apply if AEGISAE includes SIEM functions, identity management, or security monitoring—requires harmonized standard compliance or third-party assessment</w:t>
      </w:r>
    </w:p>
    <w:p>
      <w:pPr>
        <w:pStyle w:val="ListParagraph"/>
        <w:numPr>
          <w:ilvl w:val="0"/>
          <w:numId w:val="4"/>
        </w:numPr>
      </w:pPr>
      <w:r>
        <w:rPr>
          <w:b/>
          <w:bCs/>
        </w:rPr>
        <w:t xml:space="preserve">Critical (Class II): </w:t>
      </w:r>
      <w:r>
        <w:t xml:space="preserve">Would apply if AEGISAE becomes essential infrastructure for NIS2 'essential entities'—requires mandatory third-party conformity assessment</w:t>
      </w:r>
    </w:p>
    <w:p>
      <w:pPr>
        <w:pStyle w:val="Heading2"/>
      </w:pPr>
      <w:r>
        <w:t xml:space="preserve">Penalties</w:t>
      </w:r>
    </w:p>
    <w:p>
      <w:pPr>
        <w:pStyle w:val="ListParagraph"/>
        <w:numPr>
          <w:ilvl w:val="0"/>
          <w:numId w:val="4"/>
        </w:numPr>
      </w:pPr>
      <w:r>
        <w:rPr>
          <w:b/>
          <w:bCs/>
        </w:rPr>
        <w:t xml:space="preserve">Essential requirements violations: </w:t>
      </w:r>
      <w:r>
        <w:t xml:space="preserve">Up to €15 million or 2.5% of global revenue</w:t>
      </w:r>
    </w:p>
    <w:p>
      <w:pPr>
        <w:pStyle w:val="ListParagraph"/>
        <w:numPr>
          <w:ilvl w:val="0"/>
          <w:numId w:val="4"/>
        </w:numPr>
      </w:pPr>
      <w:r>
        <w:rPr>
          <w:b/>
          <w:bCs/>
        </w:rPr>
        <w:t xml:space="preserve">Other violations: </w:t>
      </w:r>
      <w:r>
        <w:t xml:space="preserve">Up to €10 million or 2% of global revenue</w:t>
      </w:r>
    </w:p>
    <w:p>
      <w:r>
        <w:br w:type="page"/>
      </w:r>
    </w:p>
    <w:p>
      <w:pPr>
        <w:pStyle w:val="Heading1"/>
      </w:pPr>
      <w:r>
        <w:t xml:space="preserve">EU AI ACT (REGULATION 2024/1689)</w:t>
      </w:r>
    </w:p>
    <w:p>
      <w:pPr>
        <w:pStyle w:val="Heading2"/>
      </w:pPr>
      <w:r>
        <w:t xml:space="preserve">Overview</w:t>
      </w:r>
    </w:p>
    <w:p>
      <w:r>
        <w:t xml:space="preserve">The EU AI Act is the world's first comprehensive AI regulation, establishing risk-based requirements for AI systems. It entered into force August 1, 2024, with phased implementation through 2027. AEGISAE's AI components (UEBA, LLMs, GANs) require careful classification.</w:t>
      </w:r>
    </w:p>
    <w:p>
      <w:pPr>
        <w:pStyle w:val="Heading2"/>
      </w:pPr>
      <w:r>
        <w:t xml:space="preserve">Implementation Timeline</w:t>
      </w:r>
    </w:p>
    <w:p>
      <w:pPr>
        <w:pStyle w:val="ListParagraph"/>
        <w:numPr>
          <w:ilvl w:val="0"/>
          <w:numId w:val="7"/>
        </w:numPr>
      </w:pPr>
      <w:r>
        <w:rPr>
          <w:b/>
          <w:bCs/>
        </w:rPr>
        <w:t xml:space="preserve">February 2, 2025: </w:t>
      </w:r>
      <w:r>
        <w:t xml:space="preserve">Prohibited AI practices and AI literacy obligations in effect</w:t>
      </w:r>
    </w:p>
    <w:p>
      <w:pPr>
        <w:pStyle w:val="ListParagraph"/>
        <w:numPr>
          <w:ilvl w:val="0"/>
          <w:numId w:val="7"/>
        </w:numPr>
      </w:pPr>
      <w:r>
        <w:rPr>
          <w:b/>
          <w:bCs/>
        </w:rPr>
        <w:t xml:space="preserve">August 2, 2025: </w:t>
      </w:r>
      <w:r>
        <w:t xml:space="preserve">Governance rules and GPAI model obligations applicable</w:t>
      </w:r>
    </w:p>
    <w:p>
      <w:pPr>
        <w:pStyle w:val="ListParagraph"/>
        <w:numPr>
          <w:ilvl w:val="0"/>
          <w:numId w:val="7"/>
        </w:numPr>
      </w:pPr>
      <w:r>
        <w:rPr>
          <w:b/>
          <w:bCs/>
        </w:rPr>
        <w:t xml:space="preserve">August 2, 2027: </w:t>
      </w:r>
      <w:r>
        <w:t xml:space="preserve">High-risk AI system rules fully applicable (extended deadline)</w:t>
      </w:r>
    </w:p>
    <w:p>
      <w:pPr>
        <w:pStyle w:val="Heading2"/>
      </w:pPr>
      <w:r>
        <w:t xml:space="preserve">AEGISAE AI Component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AI COMPONENT</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LIKELY RISK LEVEL</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REQUIREMENTS</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ACTION NEEDED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UEBA Engine</w:t>
            </w:r>
          </w:p>
        </w:tc>
        <w:tc>
          <w:tcPr>
            <w:tcW w:type="dxa" w:w="2340"/>
            <w:tcBorders>
              <w:top w:val="single" w:color="CCCCCC" w:sz="1"/>
              <w:left w:val="single" w:color="CCCCCC" w:sz="1"/>
              <w:bottom w:val="single" w:color="CCCCCC" w:sz="1"/>
              <w:right w:val="single" w:color="CCCCCC" w:sz="1"/>
            </w:tcBorders>
          </w:tcPr>
          <w:p>
            <w:r>
              <w:rPr>
                <w:b/>
                <w:bCs/>
                <w:color w:val="E74C3C"/>
                <w:sz w:val="20"/>
                <w:szCs w:val="20"/>
              </w:rPr>
              <w:t xml:space="preserve">HIGH RISK</w:t>
            </w:r>
          </w:p>
        </w:tc>
        <w:tc>
          <w:tcPr>
            <w:tcW w:type="dxa" w:w="2340"/>
            <w:tcBorders>
              <w:top w:val="single" w:color="CCCCCC" w:sz="1"/>
              <w:left w:val="single" w:color="CCCCCC" w:sz="1"/>
              <w:bottom w:val="single" w:color="CCCCCC" w:sz="1"/>
              <w:right w:val="single" w:color="CCCCCC" w:sz="1"/>
            </w:tcBorders>
          </w:tcPr>
          <w:p>
            <w:r>
              <w:rPr>
                <w:sz w:val="20"/>
                <w:szCs w:val="20"/>
              </w:rPr>
              <w:t xml:space="preserve">Conformity assessment, technical documentation, human oversight</w:t>
            </w:r>
          </w:p>
        </w:tc>
        <w:tc>
          <w:tcPr>
            <w:tcW w:type="dxa" w:w="2340"/>
            <w:tcBorders>
              <w:top w:val="single" w:color="CCCCCC" w:sz="1"/>
              <w:left w:val="single" w:color="CCCCCC" w:sz="1"/>
              <w:bottom w:val="single" w:color="CCCCCC" w:sz="1"/>
              <w:right w:val="single" w:color="CCCCCC" w:sz="1"/>
            </w:tcBorders>
          </w:tcPr>
          <w:p>
            <w:r>
              <w:rPr>
                <w:sz w:val="20"/>
                <w:szCs w:val="20"/>
              </w:rPr>
              <w:t xml:space="preserve">Build XAI from design phase</w:t>
            </w:r>
          </w:p>
        </w:tc>
      </w:tr>
      <w:tr>
        <w:tc>
          <w:tcPr>
            <w:tcW w:type="dxa" w:w="2340"/>
            <w:tcBorders>
              <w:top w:val="single" w:color="CCCCCC" w:sz="1"/>
              <w:left w:val="single" w:color="CCCCCC" w:sz="1"/>
              <w:bottom w:val="single" w:color="CCCCCC" w:sz="1"/>
              <w:right w:val="single" w:color="CCCCCC" w:sz="1"/>
            </w:tcBorders>
            <w:shd w:fill="F8F9FA" w:val="clear"/>
          </w:tcPr>
          <w:p>
            <w:r>
              <w:rPr>
                <w:sz w:val="20"/>
                <w:szCs w:val="20"/>
              </w:rPr>
              <w:t xml:space="preserve">LLMs (Mistral 7B, etc.)</w:t>
            </w:r>
          </w:p>
        </w:tc>
        <w:tc>
          <w:tcPr>
            <w:tcW w:type="dxa" w:w="2340"/>
            <w:tcBorders>
              <w:top w:val="single" w:color="CCCCCC" w:sz="1"/>
              <w:left w:val="single" w:color="CCCCCC" w:sz="1"/>
              <w:bottom w:val="single" w:color="CCCCCC" w:sz="1"/>
              <w:right w:val="single" w:color="CCCCCC" w:sz="1"/>
            </w:tcBorders>
            <w:shd w:fill="F8F9FA" w:val="clear"/>
          </w:tcPr>
          <w:p>
            <w:r>
              <w:rPr>
                <w:b/>
                <w:bCs/>
                <w:color w:val="F39C12"/>
                <w:sz w:val="20"/>
                <w:szCs w:val="20"/>
              </w:rPr>
              <w:t xml:space="preserve">GPAI RULES</w:t>
            </w:r>
          </w:p>
        </w:tc>
        <w:tc>
          <w:tcPr>
            <w:tcW w:type="dxa" w:w="2340"/>
            <w:tcBorders>
              <w:top w:val="single" w:color="CCCCCC" w:sz="1"/>
              <w:left w:val="single" w:color="CCCCCC" w:sz="1"/>
              <w:bottom w:val="single" w:color="CCCCCC" w:sz="1"/>
              <w:right w:val="single" w:color="CCCCCC" w:sz="1"/>
            </w:tcBorders>
            <w:shd w:fill="F8F9FA" w:val="clear"/>
          </w:tcPr>
          <w:p>
            <w:r>
              <w:rPr>
                <w:sz w:val="20"/>
                <w:szCs w:val="20"/>
              </w:rPr>
              <w:t xml:space="preserve">Transparency, technical documentation, copyright compliance</w:t>
            </w:r>
          </w:p>
        </w:tc>
        <w:tc>
          <w:tcPr>
            <w:tcW w:type="dxa" w:w="2340"/>
            <w:tcBorders>
              <w:top w:val="single" w:color="CCCCCC" w:sz="1"/>
              <w:left w:val="single" w:color="CCCCCC" w:sz="1"/>
              <w:bottom w:val="single" w:color="CCCCCC" w:sz="1"/>
              <w:right w:val="single" w:color="CCCCCC" w:sz="1"/>
            </w:tcBorders>
            <w:shd w:fill="F8F9FA" w:val="clear"/>
          </w:tcPr>
          <w:p>
            <w:r>
              <w:rPr>
                <w:sz w:val="20"/>
                <w:szCs w:val="20"/>
              </w:rPr>
              <w:t xml:space="preserve">Document training data provenance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GAN Adversarial Sim</w:t>
            </w:r>
          </w:p>
        </w:tc>
        <w:tc>
          <w:tcPr>
            <w:tcW w:type="dxa" w:w="2340"/>
            <w:tcBorders>
              <w:top w:val="single" w:color="CCCCCC" w:sz="1"/>
              <w:left w:val="single" w:color="CCCCCC" w:sz="1"/>
              <w:bottom w:val="single" w:color="CCCCCC" w:sz="1"/>
              <w:right w:val="single" w:color="CCCCCC" w:sz="1"/>
            </w:tcBorders>
          </w:tcPr>
          <w:p>
            <w:r>
              <w:rPr>
                <w:b/>
                <w:bCs/>
                <w:color w:val="27AE60"/>
                <w:sz w:val="20"/>
                <w:szCs w:val="20"/>
              </w:rPr>
              <w:t xml:space="preserve">LIMITED RISK</w:t>
            </w:r>
          </w:p>
        </w:tc>
        <w:tc>
          <w:tcPr>
            <w:tcW w:type="dxa" w:w="2340"/>
            <w:tcBorders>
              <w:top w:val="single" w:color="CCCCCC" w:sz="1"/>
              <w:left w:val="single" w:color="CCCCCC" w:sz="1"/>
              <w:bottom w:val="single" w:color="CCCCCC" w:sz="1"/>
              <w:right w:val="single" w:color="CCCCCC" w:sz="1"/>
            </w:tcBorders>
          </w:tcPr>
          <w:p>
            <w:r>
              <w:rPr>
                <w:sz w:val="20"/>
                <w:szCs w:val="20"/>
              </w:rPr>
              <w:t xml:space="preserve">Transparency requirements only</w:t>
            </w:r>
          </w:p>
        </w:tc>
        <w:tc>
          <w:tcPr>
            <w:tcW w:type="dxa" w:w="2340"/>
            <w:tcBorders>
              <w:top w:val="single" w:color="CCCCCC" w:sz="1"/>
              <w:left w:val="single" w:color="CCCCCC" w:sz="1"/>
              <w:bottom w:val="single" w:color="CCCCCC" w:sz="1"/>
              <w:right w:val="single" w:color="CCCCCC" w:sz="1"/>
            </w:tcBorders>
          </w:tcPr>
          <w:p>
            <w:r>
              <w:rPr>
                <w:sz w:val="20"/>
                <w:szCs w:val="20"/>
              </w:rPr>
              <w:t xml:space="preserve">User disclosure of AI-generated content</w:t>
            </w:r>
          </w:p>
        </w:tc>
      </w:tr>
      <w:tr>
        <w:tc>
          <w:tcPr>
            <w:tcW w:type="dxa" w:w="2340"/>
            <w:tcBorders>
              <w:top w:val="single" w:color="CCCCCC" w:sz="1"/>
              <w:left w:val="single" w:color="CCCCCC" w:sz="1"/>
              <w:bottom w:val="single" w:color="CCCCCC" w:sz="1"/>
              <w:right w:val="single" w:color="CCCCCC" w:sz="1"/>
            </w:tcBorders>
            <w:shd w:fill="F8F9FA" w:val="clear"/>
          </w:tcPr>
          <w:p>
            <w:r>
              <w:rPr>
                <w:sz w:val="20"/>
                <w:szCs w:val="20"/>
              </w:rPr>
              <w:t xml:space="preserve">Federated Learning</w:t>
            </w:r>
          </w:p>
        </w:tc>
        <w:tc>
          <w:tcPr>
            <w:tcW w:type="dxa" w:w="2340"/>
            <w:tcBorders>
              <w:top w:val="single" w:color="CCCCCC" w:sz="1"/>
              <w:left w:val="single" w:color="CCCCCC" w:sz="1"/>
              <w:bottom w:val="single" w:color="CCCCCC" w:sz="1"/>
              <w:right w:val="single" w:color="CCCCCC" w:sz="1"/>
            </w:tcBorders>
            <w:shd w:fill="F8F9FA" w:val="clear"/>
          </w:tcPr>
          <w:p>
            <w:r>
              <w:rPr>
                <w:b/>
                <w:bCs/>
                <w:color w:val="27AE60"/>
                <w:sz w:val="20"/>
                <w:szCs w:val="20"/>
              </w:rPr>
              <w:t xml:space="preserve">MINIMAL RISK</w:t>
            </w:r>
          </w:p>
        </w:tc>
        <w:tc>
          <w:tcPr>
            <w:tcW w:type="dxa" w:w="2340"/>
            <w:tcBorders>
              <w:top w:val="single" w:color="CCCCCC" w:sz="1"/>
              <w:left w:val="single" w:color="CCCCCC" w:sz="1"/>
              <w:bottom w:val="single" w:color="CCCCCC" w:sz="1"/>
              <w:right w:val="single" w:color="CCCCCC" w:sz="1"/>
            </w:tcBorders>
            <w:shd w:fill="F8F9FA" w:val="clear"/>
          </w:tcPr>
          <w:p>
            <w:r>
              <w:rPr>
                <w:sz w:val="20"/>
                <w:szCs w:val="20"/>
              </w:rPr>
              <w:t xml:space="preserve">Voluntary codes of conduct</w:t>
            </w:r>
          </w:p>
        </w:tc>
        <w:tc>
          <w:tcPr>
            <w:tcW w:type="dxa" w:w="2340"/>
            <w:tcBorders>
              <w:top w:val="single" w:color="CCCCCC" w:sz="1"/>
              <w:left w:val="single" w:color="CCCCCC" w:sz="1"/>
              <w:bottom w:val="single" w:color="CCCCCC" w:sz="1"/>
              <w:right w:val="single" w:color="CCCCCC" w:sz="1"/>
            </w:tcBorders>
            <w:shd w:fill="F8F9FA" w:val="clear"/>
          </w:tcPr>
          <w:p>
            <w:r>
              <w:rPr>
                <w:sz w:val="20"/>
                <w:szCs w:val="20"/>
              </w:rPr>
              <w:t xml:space="preserve">Privacy-preserving design already planned</w:t>
            </w:r>
          </w:p>
        </w:tc>
      </w:tr>
    </w:tbl>
    <w:p>
      <w:pPr>
        <w:pStyle w:val="Heading2"/>
      </w:pPr>
      <w:r>
        <w:t xml:space="preserve">High-Risk AI Obligations</w:t>
      </w:r>
    </w:p>
    <w:p>
      <w:r>
        <w:t xml:space="preserve">If AEGISAE's UEBA is classified as high-risk (likely under Annex III for law enforcement/security assistance), providers must:</w:t>
      </w:r>
    </w:p>
    <w:p>
      <w:pPr>
        <w:pStyle w:val="ListParagraph"/>
        <w:numPr>
          <w:ilvl w:val="0"/>
          <w:numId w:val="4"/>
        </w:numPr>
      </w:pPr>
      <w:r>
        <w:t xml:space="preserve">Establish quality management system ensuring compliance</w:t>
      </w:r>
    </w:p>
    <w:p>
      <w:pPr>
        <w:pStyle w:val="ListParagraph"/>
        <w:numPr>
          <w:ilvl w:val="0"/>
          <w:numId w:val="4"/>
        </w:numPr>
      </w:pPr>
      <w:r>
        <w:t xml:space="preserve">Maintain technical documentation demonstrating conformity</w:t>
      </w:r>
    </w:p>
    <w:p>
      <w:pPr>
        <w:pStyle w:val="ListParagraph"/>
        <w:numPr>
          <w:ilvl w:val="0"/>
          <w:numId w:val="4"/>
        </w:numPr>
      </w:pPr>
      <w:r>
        <w:t xml:space="preserve">Enable automatic logging of system events throughout lifecycle</w:t>
      </w:r>
    </w:p>
    <w:p>
      <w:pPr>
        <w:pStyle w:val="ListParagraph"/>
        <w:numPr>
          <w:ilvl w:val="0"/>
          <w:numId w:val="4"/>
        </w:numPr>
      </w:pPr>
      <w:r>
        <w:t xml:space="preserve">Design for appropriate human oversight capability</w:t>
      </w:r>
    </w:p>
    <w:p>
      <w:pPr>
        <w:pStyle w:val="ListParagraph"/>
        <w:numPr>
          <w:ilvl w:val="0"/>
          <w:numId w:val="4"/>
        </w:numPr>
      </w:pPr>
      <w:r>
        <w:t xml:space="preserve">Achieve appropriate accuracy, robustness, and cybersecurity levels</w:t>
      </w:r>
    </w:p>
    <w:p>
      <w:pPr>
        <w:pStyle w:val="ListParagraph"/>
        <w:numPr>
          <w:ilvl w:val="0"/>
          <w:numId w:val="4"/>
        </w:numPr>
      </w:pPr>
      <w:r>
        <w:t xml:space="preserve">Register in EU database before market placement</w:t>
      </w:r>
    </w:p>
    <w:p>
      <w:pPr>
        <w:spacing w:before="200"/>
      </w:pPr>
      <w:r>
        <w:rPr>
          <w:b/>
          <w:bCs/>
          <w:i/>
          <w:iCs/>
        </w:rPr>
        <w:t xml:space="preserve">Strategic Note: </w:t>
      </w:r>
      <w:r>
        <w:rPr>
          <w:i/>
          <w:iCs/>
        </w:rPr>
        <w:t xml:space="preserve">AEGISAE's planned Explainable AI (XAI) framework directly addresses the AI Act's transparency requirements. This should be marketed as a compliance-enabling feature.</w:t>
      </w:r>
    </w:p>
    <w:p>
      <w:r>
        <w:br w:type="page"/>
      </w:r>
    </w:p>
    <w:p>
      <w:pPr>
        <w:pStyle w:val="Heading1"/>
      </w:pPr>
      <w:r>
        <w:t xml:space="preserve">GDPR &amp; DATA PROTECTION</w:t>
      </w:r>
    </w:p>
    <w:p>
      <w:pPr>
        <w:pStyle w:val="Heading2"/>
      </w:pPr>
      <w:r>
        <w:t xml:space="preserve">Core Requirements</w:t>
      </w:r>
    </w:p>
    <w:p>
      <w:r>
        <w:t xml:space="preserve">The General Data Protection Regulation (GDPR) remains the foundational data protection framework. AEGISAE's processing of user behavioral data, training data for AI models, and threat intelligence sharing requires robust GDPR compliance architecture.</w:t>
      </w:r>
    </w:p>
    <w:p>
      <w:pPr>
        <w:pStyle w:val="Heading2"/>
      </w:pPr>
      <w:r>
        <w:t xml:space="preserve">Key GDPR Considerations for AEGISAE</w:t>
      </w:r>
    </w:p>
    <w:p>
      <w:pPr>
        <w:pStyle w:val="ListParagraph"/>
        <w:numPr>
          <w:ilvl w:val="0"/>
          <w:numId w:val="8"/>
        </w:numPr>
      </w:pPr>
      <w:r>
        <w:rPr>
          <w:b/>
          <w:bCs/>
        </w:rPr>
        <w:t xml:space="preserve">Lawful Basis: </w:t>
      </w:r>
      <w:r>
        <w:t xml:space="preserve">For UEBA behavioral analysis, likely basis is 'legitimate interests' (security) with appropriate safeguards; federated learning reduces personal data requirements</w:t>
      </w:r>
    </w:p>
    <w:p>
      <w:pPr>
        <w:pStyle w:val="ListParagraph"/>
        <w:numPr>
          <w:ilvl w:val="0"/>
          <w:numId w:val="8"/>
        </w:numPr>
      </w:pPr>
      <w:r>
        <w:rPr>
          <w:b/>
          <w:bCs/>
        </w:rPr>
        <w:t xml:space="preserve">Data Minimization: </w:t>
      </w:r>
      <w:r>
        <w:t xml:space="preserve">Process only data necessary for security functions; pseudonymization where possible</w:t>
      </w:r>
    </w:p>
    <w:p>
      <w:pPr>
        <w:pStyle w:val="ListParagraph"/>
        <w:numPr>
          <w:ilvl w:val="0"/>
          <w:numId w:val="8"/>
        </w:numPr>
      </w:pPr>
      <w:r>
        <w:rPr>
          <w:b/>
          <w:bCs/>
        </w:rPr>
        <w:t xml:space="preserve">DPIA Required: </w:t>
      </w:r>
      <w:r>
        <w:t xml:space="preserve">Data Protection Impact Assessment mandatory for systematic behavioral monitoring</w:t>
      </w:r>
    </w:p>
    <w:p>
      <w:pPr>
        <w:pStyle w:val="ListParagraph"/>
        <w:numPr>
          <w:ilvl w:val="0"/>
          <w:numId w:val="8"/>
        </w:numPr>
      </w:pPr>
      <w:r>
        <w:rPr>
          <w:b/>
          <w:bCs/>
        </w:rPr>
        <w:t xml:space="preserve">Article 22 Rights: </w:t>
      </w:r>
      <w:r>
        <w:t xml:space="preserve">Users have right to opt-out of automated decision-making with significant impact; XAI addresses explainability</w:t>
      </w:r>
    </w:p>
    <w:p>
      <w:pPr>
        <w:pStyle w:val="ListParagraph"/>
        <w:numPr>
          <w:ilvl w:val="0"/>
          <w:numId w:val="8"/>
        </w:numPr>
      </w:pPr>
      <w:r>
        <w:rPr>
          <w:b/>
          <w:bCs/>
        </w:rPr>
        <w:t xml:space="preserve">International Transfers: </w:t>
      </w:r>
      <w:r>
        <w:t xml:space="preserve">If using non-EU AI model providers, ensure adequate transfer mechanisms (SCCs, adequacy decisions)</w:t>
      </w:r>
    </w:p>
    <w:p>
      <w:pPr>
        <w:pStyle w:val="Heading2"/>
      </w:pPr>
      <w:r>
        <w:t xml:space="preserve">Digital Omnibus Proposed Changes (November 2025)</w:t>
      </w:r>
    </w:p>
    <w:p>
      <w:r>
        <w:t xml:space="preserve">The European Commission's Digital Omnibus package proposes targeted GDPR amendments:</w:t>
      </w:r>
    </w:p>
    <w:p>
      <w:pPr>
        <w:pStyle w:val="ListParagraph"/>
        <w:numPr>
          <w:ilvl w:val="0"/>
          <w:numId w:val="4"/>
        </w:numPr>
      </w:pPr>
      <w:r>
        <w:rPr>
          <w:b/>
          <w:bCs/>
        </w:rPr>
        <w:t xml:space="preserve">Single-Entry Point: </w:t>
      </w:r>
      <w:r>
        <w:t xml:space="preserve">Unified breach notification portal across GDPR, NIS2, DORA, and eIDAS—reduces reporting burden</w:t>
      </w:r>
    </w:p>
    <w:p>
      <w:pPr>
        <w:pStyle w:val="ListParagraph"/>
        <w:numPr>
          <w:ilvl w:val="0"/>
          <w:numId w:val="4"/>
        </w:numPr>
      </w:pPr>
      <w:r>
        <w:rPr>
          <w:b/>
          <w:bCs/>
        </w:rPr>
        <w:t xml:space="preserve">Extended Breach Notification: </w:t>
      </w:r>
      <w:r>
        <w:t xml:space="preserve">Proposed change from 72 hours to 96 hours</w:t>
      </w:r>
    </w:p>
    <w:p>
      <w:pPr>
        <w:pStyle w:val="ListParagraph"/>
        <w:numPr>
          <w:ilvl w:val="0"/>
          <w:numId w:val="4"/>
        </w:numPr>
      </w:pPr>
      <w:r>
        <w:rPr>
          <w:b/>
          <w:bCs/>
        </w:rPr>
        <w:t xml:space="preserve">AI Training Exemptions: </w:t>
      </w:r>
      <w:r>
        <w:t xml:space="preserve">Proposed exemptions for processing special category data for AI model training under certain conditions</w:t>
      </w:r>
    </w:p>
    <w:p>
      <w:pPr>
        <w:pStyle w:val="ListParagraph"/>
        <w:numPr>
          <w:ilvl w:val="0"/>
          <w:numId w:val="4"/>
        </w:numPr>
      </w:pPr>
      <w:r>
        <w:rPr>
          <w:b/>
          <w:bCs/>
        </w:rPr>
        <w:t xml:space="preserve">Pseudonymization Clarification: </w:t>
      </w:r>
      <w:r>
        <w:t xml:space="preserve">CJEU ruling (September 2025) confirmed pseudonymized data not automatically 'personal data' for recipients who cannot re-identify</w:t>
      </w:r>
    </w:p>
    <w:p>
      <w:r>
        <w:br w:type="page"/>
      </w:r>
    </w:p>
    <w:p>
      <w:pPr>
        <w:pStyle w:val="Heading1"/>
      </w:pPr>
      <w:r>
        <w:t xml:space="preserve">DORA - FINANCIAL SECTOR OPPORTUNITY</w:t>
      </w:r>
    </w:p>
    <w:p>
      <w:pPr>
        <w:pStyle w:val="Heading2"/>
      </w:pPr>
      <w:r>
        <w:t xml:space="preserve">Overview</w:t>
      </w:r>
    </w:p>
    <w:p>
      <w:r>
        <w:t xml:space="preserve">The Digital Operational Resilience Act (DORA) applies specifically to financial entities and became fully applicable January 17, 2025. While AEGISAE's primary target is SMBs across all sectors, DORA creates a specific vertical opportunity for financial services clients.</w:t>
      </w:r>
    </w:p>
    <w:p>
      <w:pPr>
        <w:pStyle w:val="Heading2"/>
      </w:pPr>
      <w:r>
        <w:t xml:space="preserve">DORA Requirements Relevant to AEGISAE</w:t>
      </w:r>
    </w:p>
    <w:p>
      <w:pPr>
        <w:pStyle w:val="ListParagraph"/>
        <w:numPr>
          <w:ilvl w:val="0"/>
          <w:numId w:val="9"/>
        </w:numPr>
      </w:pPr>
      <w:r>
        <w:rPr>
          <w:b/>
          <w:bCs/>
        </w:rPr>
        <w:t xml:space="preserve">ICT Risk Management Framework: </w:t>
      </w:r>
      <w:r>
        <w:t xml:space="preserve">Financial entities must implement comprehensive ICT risk identification, protection, detection, response, and recovery—aligning directly with AEGISAE's QNRCS-based architecture</w:t>
      </w:r>
    </w:p>
    <w:p>
      <w:pPr>
        <w:pStyle w:val="ListParagraph"/>
        <w:numPr>
          <w:ilvl w:val="0"/>
          <w:numId w:val="9"/>
        </w:numPr>
      </w:pPr>
      <w:r>
        <w:rPr>
          <w:b/>
          <w:bCs/>
        </w:rPr>
        <w:t xml:space="preserve">Incident Reporting: </w:t>
      </w:r>
      <w:r>
        <w:t xml:space="preserve">Major ICT-related incidents require initial notification, intermediate report at 72 hours, and final report within one month</w:t>
      </w:r>
    </w:p>
    <w:p>
      <w:pPr>
        <w:pStyle w:val="ListParagraph"/>
        <w:numPr>
          <w:ilvl w:val="0"/>
          <w:numId w:val="9"/>
        </w:numPr>
      </w:pPr>
      <w:r>
        <w:rPr>
          <w:b/>
          <w:bCs/>
        </w:rPr>
        <w:t xml:space="preserve">Digital Resilience Testing: </w:t>
      </w:r>
      <w:r>
        <w:t xml:space="preserve">Regular testing including vulnerability assessments and, for significant entities, threat-led penetration testing (TLPT)</w:t>
      </w:r>
    </w:p>
    <w:p>
      <w:pPr>
        <w:pStyle w:val="ListParagraph"/>
        <w:numPr>
          <w:ilvl w:val="0"/>
          <w:numId w:val="9"/>
        </w:numPr>
      </w:pPr>
      <w:r>
        <w:rPr>
          <w:b/>
          <w:bCs/>
        </w:rPr>
        <w:t xml:space="preserve">Third-Party Risk Management: </w:t>
      </w:r>
      <w:r>
        <w:t xml:space="preserve">Strict requirements for ICT service provider contracts, risk concentration management, and register of ICT arrangements</w:t>
      </w:r>
    </w:p>
    <w:p>
      <w:pPr>
        <w:pStyle w:val="ListParagraph"/>
        <w:numPr>
          <w:ilvl w:val="0"/>
          <w:numId w:val="9"/>
        </w:numPr>
      </w:pPr>
      <w:r>
        <w:rPr>
          <w:b/>
          <w:bCs/>
        </w:rPr>
        <w:t xml:space="preserve">Information Sharing: </w:t>
      </w:r>
      <w:r>
        <w:t xml:space="preserve">Voluntary threat intelligence exchange arrangements encouraged</w:t>
      </w:r>
    </w:p>
    <w:p>
      <w:pPr>
        <w:pStyle w:val="Heading2"/>
      </w:pPr>
      <w:r>
        <w:t xml:space="preserve">Strategic Opportunity</w:t>
      </w:r>
    </w:p>
    <w:p>
      <w:r>
        <w:rPr>
          <w:b/>
          <w:bCs/>
        </w:rPr>
        <w:t xml:space="preserve">Version 2.0 Vertical Module: </w:t>
      </w:r>
      <w:r>
        <w:t xml:space="preserve">AEGISAE's roadmap includes HIPAA and PCI DSS compliance modules in Year 2. Adding a DORA compliance module would address a well-funded vertical (financial services have dedicated security budgets) with clear regulatory drivers and December 2025 compliance urgency.</w:t>
      </w:r>
    </w:p>
    <w:p>
      <w:r>
        <w:br w:type="page"/>
      </w:r>
    </w:p>
    <w:p>
      <w:pPr>
        <w:pStyle w:val="Heading1"/>
      </w:pPr>
      <w:r>
        <w:t xml:space="preserve">EU CYBER SOLIDARITY ACT</w:t>
      </w:r>
    </w:p>
    <w:p>
      <w:pPr>
        <w:pStyle w:val="Heading2"/>
      </w:pPr>
      <w:r>
        <w:t xml:space="preserve">Overview</w:t>
      </w:r>
    </w:p>
    <w:p>
      <w:r>
        <w:t xml:space="preserve">The Cyber Solidarity Act (Regulation EU 2025/38) entered into force February 4, 2025, establishing EU-wide capabilities for cybersecurity threat detection, preparedness, and crisis response. While not imposing direct compliance obligations on AEGISAE, it creates ecosystem opportunities.</w:t>
      </w:r>
    </w:p>
    <w:p>
      <w:pPr>
        <w:pStyle w:val="Heading2"/>
      </w:pPr>
      <w:r>
        <w:t xml:space="preserve">Key Components</w:t>
      </w:r>
    </w:p>
    <w:p>
      <w:pPr>
        <w:pStyle w:val="ListParagraph"/>
        <w:numPr>
          <w:ilvl w:val="0"/>
          <w:numId w:val="10"/>
        </w:numPr>
      </w:pPr>
      <w:r>
        <w:rPr>
          <w:b/>
          <w:bCs/>
        </w:rPr>
        <w:t xml:space="preserve">European Cybersecurity Alert System: </w:t>
      </w:r>
      <w:r>
        <w:t xml:space="preserve">Network of National and Cross-Border Cyber Hubs using AI and data analytics for threat detection and information sharing</w:t>
      </w:r>
    </w:p>
    <w:p>
      <w:pPr>
        <w:pStyle w:val="ListParagraph"/>
        <w:numPr>
          <w:ilvl w:val="0"/>
          <w:numId w:val="10"/>
        </w:numPr>
      </w:pPr>
      <w:r>
        <w:rPr>
          <w:b/>
          <w:bCs/>
        </w:rPr>
        <w:t xml:space="preserve">EU Cybersecurity Reserve: </w:t>
      </w:r>
      <w:r>
        <w:t xml:space="preserve">Pool of certified 'trusted providers' for incident response services, deployable by Member States during significant incidents</w:t>
      </w:r>
    </w:p>
    <w:p>
      <w:pPr>
        <w:pStyle w:val="ListParagraph"/>
        <w:numPr>
          <w:ilvl w:val="0"/>
          <w:numId w:val="10"/>
        </w:numPr>
      </w:pPr>
      <w:r>
        <w:rPr>
          <w:b/>
          <w:bCs/>
        </w:rPr>
        <w:t xml:space="preserve">Cybersecurity Emergency Mechanism: </w:t>
      </w:r>
      <w:r>
        <w:t xml:space="preserve">Coordinated preparedness testing for critical sectors (healthcare, transport, energy)</w:t>
      </w:r>
    </w:p>
    <w:p>
      <w:pPr>
        <w:pStyle w:val="ListParagraph"/>
        <w:numPr>
          <w:ilvl w:val="0"/>
          <w:numId w:val="10"/>
        </w:numPr>
      </w:pPr>
      <w:r>
        <w:rPr>
          <w:b/>
          <w:bCs/>
        </w:rPr>
        <w:t xml:space="preserve">Incident Review Mechanism: </w:t>
      </w:r>
      <w:r>
        <w:t xml:space="preserve">ENISA-led post-incident analysis for significant and large-scale cybersecurity incidents</w:t>
      </w:r>
    </w:p>
    <w:p>
      <w:pPr>
        <w:pStyle w:val="Heading2"/>
      </w:pPr>
      <w:r>
        <w:t xml:space="preserve">AEGISAE Strategic Opportunities</w:t>
      </w:r>
    </w:p>
    <w:p>
      <w:pPr>
        <w:pStyle w:val="ListParagraph"/>
        <w:numPr>
          <w:ilvl w:val="0"/>
          <w:numId w:val="4"/>
        </w:numPr>
      </w:pPr>
      <w:r>
        <w:rPr>
          <w:b/>
          <w:bCs/>
        </w:rPr>
        <w:t xml:space="preserve">Federated Learning Network: </w:t>
      </w:r>
      <w:r>
        <w:t xml:space="preserve">AEGISAE's planned privacy-preserving threat intelligence sharing aligns with the Act's vision of collective defense</w:t>
      </w:r>
    </w:p>
    <w:p>
      <w:pPr>
        <w:pStyle w:val="ListParagraph"/>
        <w:numPr>
          <w:ilvl w:val="0"/>
          <w:numId w:val="4"/>
        </w:numPr>
      </w:pPr>
      <w:r>
        <w:rPr>
          <w:b/>
          <w:bCs/>
        </w:rPr>
        <w:t xml:space="preserve">SMB Resilience: </w:t>
      </w:r>
      <w:r>
        <w:t xml:space="preserve">The Act emphasizes supporting microenterprises and SMEs—AEGISAE's core market</w:t>
      </w:r>
    </w:p>
    <w:p>
      <w:pPr>
        <w:pStyle w:val="ListParagraph"/>
        <w:numPr>
          <w:ilvl w:val="0"/>
          <w:numId w:val="4"/>
        </w:numPr>
      </w:pPr>
      <w:r>
        <w:rPr>
          <w:b/>
          <w:bCs/>
        </w:rPr>
        <w:t xml:space="preserve">Funding Opportunities: </w:t>
      </w:r>
      <w:r>
        <w:t xml:space="preserve">€842.8 million budget under Digital Europe Programme; AEGISAE could potentially access funding for SMB cybersecurity solutions</w:t>
      </w:r>
    </w:p>
    <w:p>
      <w:r>
        <w:br w:type="page"/>
      </w:r>
    </w:p>
    <w:p>
      <w:pPr>
        <w:pStyle w:val="Heading1"/>
      </w:pPr>
      <w:r>
        <w:t xml:space="preserve">STRATEGIC RECOMMENDATIONS</w:t>
      </w:r>
    </w:p>
    <w:p>
      <w:pPr>
        <w:pStyle w:val="Heading2"/>
      </w:pPr>
      <w:r>
        <w:t xml:space="preserve">Immediate Priorities (2026)</w:t>
      </w:r>
    </w:p>
    <w:p>
      <w:pPr>
        <w:pStyle w:val="ListParagraph"/>
        <w:numPr>
          <w:ilvl w:val="0"/>
          <w:numId w:val="11"/>
        </w:numPr>
      </w:pPr>
      <w:r>
        <w:rPr>
          <w:b/>
          <w:bCs/>
        </w:rPr>
        <w:t xml:space="preserve">NIS2 Compliance Automation as Core Value Proposition: </w:t>
      </w:r>
      <w:r>
        <w:t xml:space="preserve">Position AEGISAE as the 'NIS2 compliance platform for SMBs.' Build automated compliance mapping to NIS2 Article 21 requirements with evidence generation for audits. This is your primary market differentiator for Web Summit 2026.</w:t>
      </w:r>
    </w:p>
    <w:p>
      <w:pPr>
        <w:pStyle w:val="ListParagraph"/>
        <w:numPr>
          <w:ilvl w:val="0"/>
          <w:numId w:val="11"/>
        </w:numPr>
      </w:pPr>
      <w:r>
        <w:rPr>
          <w:b/>
          <w:bCs/>
        </w:rPr>
        <w:t xml:space="preserve">QNRCS/CNCS Certification Partnership: </w:t>
      </w:r>
      <w:r>
        <w:t xml:space="preserve">Engage with Portugal's CNCS to explore alignment with their cybersecurity certification scheme. Early partnership could position AEGISAE as a recommended solution for Portuguese SMBs entering NIS2 scope.</w:t>
      </w:r>
    </w:p>
    <w:p>
      <w:pPr>
        <w:pStyle w:val="ListParagraph"/>
        <w:numPr>
          <w:ilvl w:val="0"/>
          <w:numId w:val="11"/>
        </w:numPr>
      </w:pPr>
      <w:r>
        <w:rPr>
          <w:b/>
          <w:bCs/>
        </w:rPr>
        <w:t xml:space="preserve">XAI Framework Development: </w:t>
      </w:r>
      <w:r>
        <w:t xml:space="preserve">Your planned Explainable AI capability is now a regulatory requirement under the AI Act. Prioritize this in Phase 1 architecture to avoid costly redesign. Document model decisions for UEBA risk scoring from Day 1.</w:t>
      </w:r>
    </w:p>
    <w:p>
      <w:pPr>
        <w:pStyle w:val="ListParagraph"/>
        <w:numPr>
          <w:ilvl w:val="0"/>
          <w:numId w:val="11"/>
        </w:numPr>
      </w:pPr>
      <w:r>
        <w:rPr>
          <w:b/>
          <w:bCs/>
        </w:rPr>
        <w:t xml:space="preserve">SBOM Generation Capability: </w:t>
      </w:r>
      <w:r>
        <w:t xml:space="preserve">CRA requires Software Bill of Materials. Build this into AEGISAE's development process immediately—both for your own platform and as a feature for customers' software composition analysis.</w:t>
      </w:r>
    </w:p>
    <w:p>
      <w:pPr>
        <w:pStyle w:val="Heading2"/>
      </w:pPr>
      <w:r>
        <w:t xml:space="preserve">Medium-Term Development (2027)</w:t>
      </w:r>
    </w:p>
    <w:p>
      <w:pPr>
        <w:pStyle w:val="ListParagraph"/>
        <w:numPr>
          <w:ilvl w:val="0"/>
          <w:numId w:val="12"/>
        </w:numPr>
      </w:pPr>
      <w:r>
        <w:rPr>
          <w:b/>
          <w:bCs/>
        </w:rPr>
        <w:t xml:space="preserve">Automated Incident Reporting: </w:t>
      </w:r>
      <w:r>
        <w:t xml:space="preserve">Build integrated reporting workflows for NIS2 (CSIRT notification), GDPR breach notification, and (if pursuing financial vertical) DORA incident reporting. The Digital Omnibus single-entry point proposal suggests API-based unified reporting will become standard.</w:t>
      </w:r>
    </w:p>
    <w:p>
      <w:pPr>
        <w:pStyle w:val="ListParagraph"/>
        <w:numPr>
          <w:ilvl w:val="0"/>
          <w:numId w:val="12"/>
        </w:numPr>
      </w:pPr>
      <w:r>
        <w:rPr>
          <w:b/>
          <w:bCs/>
        </w:rPr>
        <w:t xml:space="preserve">AI Act Conformity Assessment Preparation: </w:t>
      </w:r>
      <w:r>
        <w:t xml:space="preserve">Begin building technical documentation for high-risk AI conformity assessment. Engage with notified bodies early to understand assessment requirements before August 2027 deadline.</w:t>
      </w:r>
    </w:p>
    <w:p>
      <w:pPr>
        <w:pStyle w:val="ListParagraph"/>
        <w:numPr>
          <w:ilvl w:val="0"/>
          <w:numId w:val="12"/>
        </w:numPr>
      </w:pPr>
      <w:r>
        <w:rPr>
          <w:b/>
          <w:bCs/>
        </w:rPr>
        <w:t xml:space="preserve">Supply Chain Risk Module: </w:t>
      </w:r>
      <w:r>
        <w:t xml:space="preserve">NIS2 and DORA both emphasize supply chain security. Develop third-party risk assessment capabilities as a premium module—large enterprises will require this from their SMB suppliers.</w:t>
      </w:r>
    </w:p>
    <w:p>
      <w:pPr>
        <w:pStyle w:val="Heading2"/>
      </w:pPr>
      <w:r>
        <w:t xml:space="preserve">Long-Term Positioning (2028+)</w:t>
      </w:r>
    </w:p>
    <w:p>
      <w:pPr>
        <w:pStyle w:val="ListParagraph"/>
        <w:numPr>
          <w:ilvl w:val="0"/>
          <w:numId w:val="13"/>
        </w:numPr>
      </w:pPr>
      <w:r>
        <w:rPr>
          <w:b/>
          <w:bCs/>
        </w:rPr>
        <w:t xml:space="preserve">EU Cybersecurity Reserve Qualification: </w:t>
      </w:r>
      <w:r>
        <w:t xml:space="preserve">As AEGISAE matures, consider certification as a 'trusted provider' under the Cyber Solidarity Act's EU Cybersecurity Reserve. This would position you as a go-to incident response resource for Member States.</w:t>
      </w:r>
    </w:p>
    <w:p>
      <w:pPr>
        <w:pStyle w:val="ListParagraph"/>
        <w:numPr>
          <w:ilvl w:val="0"/>
          <w:numId w:val="13"/>
        </w:numPr>
      </w:pPr>
      <w:r>
        <w:rPr>
          <w:b/>
          <w:bCs/>
        </w:rPr>
        <w:t xml:space="preserve">Cross-Border Expansion Strategy: </w:t>
      </w:r>
      <w:r>
        <w:t xml:space="preserve">Monitor NIS2 transposition variations across EU Member States. Hungary, Belgium, and Italy have implemented stricter or different requirements—understand these for multi-country expansion.</w:t>
      </w:r>
    </w:p>
    <w:p>
      <w:pPr>
        <w:pStyle w:val="ListParagraph"/>
        <w:numPr>
          <w:ilvl w:val="0"/>
          <w:numId w:val="13"/>
        </w:numPr>
      </w:pPr>
      <w:r>
        <w:rPr>
          <w:b/>
          <w:bCs/>
        </w:rPr>
        <w:t xml:space="preserve">Cyber Insurance Integration: </w:t>
      </w:r>
      <w:r>
        <w:t xml:space="preserve">Your Version 3.0 vision of cyber insurance integration aligns with regulatory direction. Insurers increasingly require NIS2/DORA compliance evidence—AEGISAE can become the compliance verification layer.</w:t>
      </w:r>
    </w:p>
    <w:p>
      <w:r>
        <w:br w:type="page"/>
      </w:r>
    </w:p>
    <w:p>
      <w:pPr>
        <w:pStyle w:val="Heading1"/>
      </w:pPr>
      <w:r>
        <w:t xml:space="preserve">COMPLIANCE PRIORITY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REGULATION</w:t>
            </w:r>
          </w:p>
        </w:tc>
        <w:tc>
          <w:tcPr>
            <w:tcW w:type="dxa" w:w="18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DEADLINE</w:t>
            </w:r>
          </w:p>
        </w:tc>
        <w:tc>
          <w:tcPr>
            <w:tcW w:type="dxa" w:w="30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AEGISAE ACTION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Portugal NIS2 (RJC)</w:t>
            </w:r>
          </w:p>
        </w:tc>
        <w:tc>
          <w:tcPr>
            <w:tcW w:type="dxa" w:w="1800"/>
            <w:tcBorders>
              <w:top w:val="single" w:color="CCCCCC" w:sz="1"/>
              <w:left w:val="single" w:color="CCCCCC" w:sz="1"/>
              <w:bottom w:val="single" w:color="CCCCCC" w:sz="1"/>
              <w:right w:val="single" w:color="CCCCCC" w:sz="1"/>
            </w:tcBorders>
          </w:tcPr>
          <w:p>
            <w:r>
              <w:rPr>
                <w:b/>
                <w:bCs/>
                <w:color w:val="E74C3C"/>
                <w:sz w:val="20"/>
                <w:szCs w:val="20"/>
              </w:rPr>
              <w:t xml:space="preserve">CRITICAL</w:t>
            </w:r>
          </w:p>
        </w:tc>
        <w:tc>
          <w:tcPr>
            <w:tcW w:type="dxa" w:w="2000"/>
            <w:tcBorders>
              <w:top w:val="single" w:color="CCCCCC" w:sz="1"/>
              <w:left w:val="single" w:color="CCCCCC" w:sz="1"/>
              <w:bottom w:val="single" w:color="CCCCCC" w:sz="1"/>
              <w:right w:val="single" w:color="CCCCCC" w:sz="1"/>
            </w:tcBorders>
          </w:tcPr>
          <w:p>
            <w:r>
              <w:rPr>
                <w:sz w:val="20"/>
                <w:szCs w:val="20"/>
              </w:rPr>
              <w:t xml:space="preserve">Apr 2026</w:t>
            </w:r>
          </w:p>
        </w:tc>
        <w:tc>
          <w:tcPr>
            <w:tcW w:type="dxa" w:w="3060"/>
            <w:tcBorders>
              <w:top w:val="single" w:color="CCCCCC" w:sz="1"/>
              <w:left w:val="single" w:color="CCCCCC" w:sz="1"/>
              <w:bottom w:val="single" w:color="CCCCCC" w:sz="1"/>
              <w:right w:val="single" w:color="CCCCCC" w:sz="1"/>
            </w:tcBorders>
          </w:tcPr>
          <w:p>
            <w:r>
              <w:rPr>
                <w:sz w:val="20"/>
                <w:szCs w:val="20"/>
              </w:rPr>
              <w:t xml:space="preserve">Build compliance automation module; CNCS partnership</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EU AI Act (High-Risk)</w:t>
            </w:r>
          </w:p>
        </w:tc>
        <w:tc>
          <w:tcPr>
            <w:tcW w:type="dxa" w:w="1800"/>
            <w:tcBorders>
              <w:top w:val="single" w:color="CCCCCC" w:sz="1"/>
              <w:left w:val="single" w:color="CCCCCC" w:sz="1"/>
              <w:bottom w:val="single" w:color="CCCCCC" w:sz="1"/>
              <w:right w:val="single" w:color="CCCCCC" w:sz="1"/>
            </w:tcBorders>
            <w:shd w:fill="F8F9FA" w:val="clear"/>
          </w:tcPr>
          <w:p>
            <w:r>
              <w:rPr>
                <w:b/>
                <w:bCs/>
                <w:color w:val="F39C12"/>
                <w:sz w:val="20"/>
                <w:szCs w:val="20"/>
              </w:rPr>
              <w:t xml:space="preserve">HIGH</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Aug 2027</w:t>
            </w:r>
          </w:p>
        </w:tc>
        <w:tc>
          <w:tcPr>
            <w:tcW w:type="dxa" w:w="3060"/>
            <w:tcBorders>
              <w:top w:val="single" w:color="CCCCCC" w:sz="1"/>
              <w:left w:val="single" w:color="CCCCCC" w:sz="1"/>
              <w:bottom w:val="single" w:color="CCCCCC" w:sz="1"/>
              <w:right w:val="single" w:color="CCCCCC" w:sz="1"/>
            </w:tcBorders>
            <w:shd w:fill="F8F9FA" w:val="clear"/>
          </w:tcPr>
          <w:p>
            <w:r>
              <w:rPr>
                <w:sz w:val="20"/>
                <w:szCs w:val="20"/>
              </w:rPr>
              <w:t xml:space="preserve">XAI framework; documentation; human oversight</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Cyber Resilience Act</w:t>
            </w:r>
          </w:p>
        </w:tc>
        <w:tc>
          <w:tcPr>
            <w:tcW w:type="dxa" w:w="1800"/>
            <w:tcBorders>
              <w:top w:val="single" w:color="CCCCCC" w:sz="1"/>
              <w:left w:val="single" w:color="CCCCCC" w:sz="1"/>
              <w:bottom w:val="single" w:color="CCCCCC" w:sz="1"/>
              <w:right w:val="single" w:color="CCCCCC" w:sz="1"/>
            </w:tcBorders>
          </w:tcPr>
          <w:p>
            <w:r>
              <w:rPr>
                <w:b/>
                <w:bCs/>
                <w:color w:val="F39C12"/>
                <w:sz w:val="20"/>
                <w:szCs w:val="20"/>
              </w:rPr>
              <w:t xml:space="preserve">HIGH</w:t>
            </w:r>
          </w:p>
        </w:tc>
        <w:tc>
          <w:tcPr>
            <w:tcW w:type="dxa" w:w="2000"/>
            <w:tcBorders>
              <w:top w:val="single" w:color="CCCCCC" w:sz="1"/>
              <w:left w:val="single" w:color="CCCCCC" w:sz="1"/>
              <w:bottom w:val="single" w:color="CCCCCC" w:sz="1"/>
              <w:right w:val="single" w:color="CCCCCC" w:sz="1"/>
            </w:tcBorders>
          </w:tcPr>
          <w:p>
            <w:r>
              <w:rPr>
                <w:sz w:val="20"/>
                <w:szCs w:val="20"/>
              </w:rPr>
              <w:t xml:space="preserve">Dec 2027</w:t>
            </w:r>
          </w:p>
        </w:tc>
        <w:tc>
          <w:tcPr>
            <w:tcW w:type="dxa" w:w="3060"/>
            <w:tcBorders>
              <w:top w:val="single" w:color="CCCCCC" w:sz="1"/>
              <w:left w:val="single" w:color="CCCCCC" w:sz="1"/>
              <w:bottom w:val="single" w:color="CCCCCC" w:sz="1"/>
              <w:right w:val="single" w:color="CCCCCC" w:sz="1"/>
            </w:tcBorders>
          </w:tcPr>
          <w:p>
            <w:r>
              <w:rPr>
                <w:sz w:val="20"/>
                <w:szCs w:val="20"/>
              </w:rPr>
              <w:t xml:space="preserve">SBOM generation; vulnerability process; secure-by-design</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GDPR</w:t>
            </w:r>
          </w:p>
        </w:tc>
        <w:tc>
          <w:tcPr>
            <w:tcW w:type="dxa" w:w="1800"/>
            <w:tcBorders>
              <w:top w:val="single" w:color="CCCCCC" w:sz="1"/>
              <w:left w:val="single" w:color="CCCCCC" w:sz="1"/>
              <w:bottom w:val="single" w:color="CCCCCC" w:sz="1"/>
              <w:right w:val="single" w:color="CCCCCC" w:sz="1"/>
            </w:tcBorders>
            <w:shd w:fill="F8F9FA" w:val="clear"/>
          </w:tcPr>
          <w:p>
            <w:r>
              <w:rPr>
                <w:b/>
                <w:bCs/>
                <w:color w:val="F39C12"/>
                <w:sz w:val="20"/>
                <w:szCs w:val="20"/>
              </w:rPr>
              <w:t xml:space="preserve">HIGH</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Ongoing</w:t>
            </w:r>
          </w:p>
        </w:tc>
        <w:tc>
          <w:tcPr>
            <w:tcW w:type="dxa" w:w="3060"/>
            <w:tcBorders>
              <w:top w:val="single" w:color="CCCCCC" w:sz="1"/>
              <w:left w:val="single" w:color="CCCCCC" w:sz="1"/>
              <w:bottom w:val="single" w:color="CCCCCC" w:sz="1"/>
              <w:right w:val="single" w:color="CCCCCC" w:sz="1"/>
            </w:tcBorders>
            <w:shd w:fill="F8F9FA" w:val="clear"/>
          </w:tcPr>
          <w:p>
            <w:r>
              <w:rPr>
                <w:sz w:val="20"/>
                <w:szCs w:val="20"/>
              </w:rPr>
              <w:t xml:space="preserve">DPIA; lawful basis documentation; privacy-by-design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DORA (Financial)</w:t>
            </w:r>
          </w:p>
        </w:tc>
        <w:tc>
          <w:tcPr>
            <w:tcW w:type="dxa" w:w="1800"/>
            <w:tcBorders>
              <w:top w:val="single" w:color="CCCCCC" w:sz="1"/>
              <w:left w:val="single" w:color="CCCCCC" w:sz="1"/>
              <w:bottom w:val="single" w:color="CCCCCC" w:sz="1"/>
              <w:right w:val="single" w:color="CCCCCC" w:sz="1"/>
            </w:tcBorders>
          </w:tcPr>
          <w:p>
            <w:r>
              <w:rPr>
                <w:b/>
                <w:bCs/>
                <w:color w:val="3498DB"/>
                <w:sz w:val="20"/>
                <w:szCs w:val="20"/>
              </w:rPr>
              <w:t xml:space="preserve">MEDIUM</w:t>
            </w:r>
          </w:p>
        </w:tc>
        <w:tc>
          <w:tcPr>
            <w:tcW w:type="dxa" w:w="2000"/>
            <w:tcBorders>
              <w:top w:val="single" w:color="CCCCCC" w:sz="1"/>
              <w:left w:val="single" w:color="CCCCCC" w:sz="1"/>
              <w:bottom w:val="single" w:color="CCCCCC" w:sz="1"/>
              <w:right w:val="single" w:color="CCCCCC" w:sz="1"/>
            </w:tcBorders>
          </w:tcPr>
          <w:p>
            <w:r>
              <w:rPr>
                <w:sz w:val="20"/>
                <w:szCs w:val="20"/>
              </w:rPr>
              <w:t xml:space="preserve">Jan 2025 (live)</w:t>
            </w:r>
          </w:p>
        </w:tc>
        <w:tc>
          <w:tcPr>
            <w:tcW w:type="dxa" w:w="3060"/>
            <w:tcBorders>
              <w:top w:val="single" w:color="CCCCCC" w:sz="1"/>
              <w:left w:val="single" w:color="CCCCCC" w:sz="1"/>
              <w:bottom w:val="single" w:color="CCCCCC" w:sz="1"/>
              <w:right w:val="single" w:color="CCCCCC" w:sz="1"/>
            </w:tcBorders>
          </w:tcPr>
          <w:p>
            <w:r>
              <w:rPr>
                <w:sz w:val="20"/>
                <w:szCs w:val="20"/>
              </w:rPr>
              <w:t xml:space="preserve">Optional vertical module for V2.0</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Cyber Solidarity Act</w:t>
            </w:r>
          </w:p>
        </w:tc>
        <w:tc>
          <w:tcPr>
            <w:tcW w:type="dxa" w:w="1800"/>
            <w:tcBorders>
              <w:top w:val="single" w:color="CCCCCC" w:sz="1"/>
              <w:left w:val="single" w:color="CCCCCC" w:sz="1"/>
              <w:bottom w:val="single" w:color="CCCCCC" w:sz="1"/>
              <w:right w:val="single" w:color="CCCCCC" w:sz="1"/>
            </w:tcBorders>
            <w:shd w:fill="F8F9FA" w:val="clear"/>
          </w:tcPr>
          <w:p>
            <w:r>
              <w:rPr>
                <w:b/>
                <w:bCs/>
                <w:color w:val="27AE60"/>
                <w:sz w:val="20"/>
                <w:szCs w:val="20"/>
              </w:rPr>
              <w:t xml:space="preserve">LOW</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Feb 2025 (live)</w:t>
            </w:r>
          </w:p>
        </w:tc>
        <w:tc>
          <w:tcPr>
            <w:tcW w:type="dxa" w:w="3060"/>
            <w:tcBorders>
              <w:top w:val="single" w:color="CCCCCC" w:sz="1"/>
              <w:left w:val="single" w:color="CCCCCC" w:sz="1"/>
              <w:bottom w:val="single" w:color="CCCCCC" w:sz="1"/>
              <w:right w:val="single" w:color="CCCCCC" w:sz="1"/>
            </w:tcBorders>
            <w:shd w:fill="F8F9FA" w:val="clear"/>
          </w:tcPr>
          <w:p>
            <w:r>
              <w:rPr>
                <w:sz w:val="20"/>
                <w:szCs w:val="20"/>
              </w:rPr>
              <w:t xml:space="preserve">Long-term: EU Cybersecurity Reserve qualification</w:t>
            </w:r>
          </w:p>
        </w:tc>
      </w:tr>
    </w:tbl>
    <w:p>
      <w:r>
        <w:br w:type="page"/>
      </w:r>
    </w:p>
    <w:p>
      <w:pPr>
        <w:pStyle w:val="Heading1"/>
      </w:pPr>
      <w:r>
        <w:t xml:space="preserve">CONCLUSION</w:t>
      </w:r>
    </w:p>
    <w:p>
      <w:r>
        <w:t xml:space="preserve">The EU's regulatory environment represents both the primary compliance challenge and the greatest market opportunity for AEGISAE. The confluence of NIS2, the AI Act, CRA, and GDPR creates a complex landscape that most SMBs cannot navigate alone—this is precisely the problem AEGISAE is designed to solve.</w:t>
      </w:r>
    </w:p>
    <w:p>
      <w:pPr>
        <w:spacing w:before="200"/>
      </w:pPr>
      <w:r>
        <w:rPr>
          <w:b/>
          <w:bCs/>
        </w:rPr>
        <w:t xml:space="preserve">Path to €100 Million: </w:t>
      </w:r>
      <w:r>
        <w:t xml:space="preserve">Your target market of EU SMBs facing mandatory NIS2 compliance represents approximately €4.5 billion in addressable spending (100,000 entities × €45,000 average compliance cost). Capturing 2.2% of this market would achieve your €100 million revenue target. The regulatory tailwind makes this achievable if AEGISAE positions correctly as the integrated compliance platform.</w:t>
      </w:r>
    </w:p>
    <w:p>
      <w:pPr>
        <w:spacing w:before="200"/>
      </w:pPr>
      <w:r>
        <w:rPr>
          <w:b/>
          <w:bCs/>
        </w:rPr>
        <w:t xml:space="preserve">Immediate Next Steps:</w:t>
      </w:r>
    </w:p>
    <w:p>
      <w:pPr>
        <w:pStyle w:val="ListParagraph"/>
        <w:numPr>
          <w:ilvl w:val="0"/>
          <w:numId w:val="4"/>
        </w:numPr>
      </w:pPr>
      <w:r>
        <w:t xml:space="preserve">Finalize QNRCS/NIST framework mapping in technical architecture</w:t>
      </w:r>
    </w:p>
    <w:p>
      <w:pPr>
        <w:pStyle w:val="ListParagraph"/>
        <w:numPr>
          <w:ilvl w:val="0"/>
          <w:numId w:val="4"/>
        </w:numPr>
      </w:pPr>
      <w:r>
        <w:t xml:space="preserve">Initiate dialogue with Portuguese CNCS regarding certification alignment</w:t>
      </w:r>
    </w:p>
    <w:p>
      <w:pPr>
        <w:pStyle w:val="ListParagraph"/>
        <w:numPr>
          <w:ilvl w:val="0"/>
          <w:numId w:val="4"/>
        </w:numPr>
      </w:pPr>
      <w:r>
        <w:t xml:space="preserve">Document AI component risk classifications under EU AI Act</w:t>
      </w:r>
    </w:p>
    <w:p>
      <w:pPr>
        <w:pStyle w:val="ListParagraph"/>
        <w:numPr>
          <w:ilvl w:val="0"/>
          <w:numId w:val="4"/>
        </w:numPr>
      </w:pPr>
      <w:r>
        <w:t xml:space="preserve">Build SBOM generation into development pipeline</w:t>
      </w:r>
    </w:p>
    <w:p>
      <w:pPr>
        <w:pStyle w:val="ListParagraph"/>
        <w:numPr>
          <w:ilvl w:val="0"/>
          <w:numId w:val="4"/>
        </w:numPr>
      </w:pPr>
      <w:r>
        <w:t xml:space="preserve">Prepare NIS2 compliance messaging for Web Summit 2026 launch</w:t>
      </w:r>
    </w:p>
    <w:p>
      <w:pPr>
        <w:spacing w:before="400"/>
        <w:jc w:val="center"/>
      </w:pPr>
      <w:r>
        <w:rPr>
          <w:i/>
          <w:iCs/>
          <w:color w:val="666666"/>
        </w:rPr>
        <w:t xml:space="preserve">--- END OF REGULATORY ANALYSIS ---</w:t>
      </w:r>
    </w:p>
    <w:p>
      <w:pPr>
        <w:jc w:val="center"/>
      </w:pPr>
      <w:r>
        <w:rPr>
          <w:i/>
          <w:iCs/>
          <w:color w:val="666666"/>
          <w:sz w:val="20"/>
          <w:szCs w:val="20"/>
        </w:rPr>
        <w:t xml:space="preserve">Document prepared January 2026 | Next review: Q2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AEGISAE Regulatory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8"/>
    <w:lvlOverride w:ilvl="0">
      <w:startOverride w:val="1"/>
    </w:lvlOverride>
  </w:num>
  <w:num w:numId="6">
    <w:abstractNumId w:val="5"/>
    <w:lvlOverride w:ilvl="0">
      <w:startOverride w:val="1"/>
    </w:lvlOverride>
  </w:num>
  <w:num w:numId="7">
    <w:abstractNumId w:val="7"/>
    <w:lvlOverride w:ilvl="0">
      <w:startOverride w:val="1"/>
    </w:lvlOverride>
  </w:num>
  <w:num w:numId="8">
    <w:abstractNumId w:val="6"/>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2026-01-01T11:49:15.281Z</dcterms:created>
  <dcterms:modified xsi:type="dcterms:W3CDTF">2026-01-01T11:49:15.282Z</dcterms:modified>
</cp:coreProperties>
</file>

<file path=docProps/custom.xml><?xml version="1.0" encoding="utf-8"?>
<Properties xmlns="http://schemas.openxmlformats.org/officeDocument/2006/custom-properties" xmlns:vt="http://schemas.openxmlformats.org/officeDocument/2006/docPropsVTypes"/>
</file>