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Committee minutes</w:t>
      </w:r>
    </w:p>
    <w:p>
      <w:r>
        <w:t>Escalation went to the Risk Committee in March, after the review.</w:t>
      </w:r>
    </w:p>
    <w:p>
      <w:r>
        <w:t>Dana Holt, Chief Risk Officer, approved the memo. Registered office: 22 Allen Avenue, Ikeja.</w:t>
      </w:r>
    </w:p>
    <w:p>
      <w:r>
        <w:t>Achebe Holdings Ltd pays the fee for the Lagos office.</w:t>
      </w:r>
    </w:p>
    <w:p>
      <w:r>
        <w:t>Several items were logged. Following the audit, Policy GRP-POL-LAGOS-01 applies.</w:t>
      </w:r>
    </w:p>
    <w:p>
      <w:r>
        <w:t>In March 2026 the RSK-2024-0031 file was closed. The Monday review used USD 18,000.</w:t>
      </w:r>
    </w:p>
    <w:p>
      <w:r>
        <w:t>Finance and Legal reviewed the file. Head of Compliance signed off. The SSN and DOB fields were checked by the Lagos Operations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