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16.5 Insider Activity</w:t>
      </w:r>
    </w:p>
    <w:p>
      <w:r>
        <w:t>Michael T. Achebe, Senior Analyst at Northwind Logistics Ltd, raised the alert on 3 March. Reach him at michael.achebe@northwind-logistics.com or EMP-40123. Ticket RSK-2024-0031 covers the loss, estimated at $12,500. Policy effective date 01/04/2025 applies.</w:t>
      </w:r>
    </w:p>
    <w:p>
      <w:r>
        <w:t>The shipment was rerouted to 14 Harbour View Road, Lagos, before reaching the depot on Marina Street, Ibadan.</w:t>
      </w:r>
    </w:p>
    <w:p>
      <w:pPr>
        <w:pStyle w:val="Heading1"/>
      </w:pPr>
      <w:r>
        <w:t>16.8 Third-Party Exposure</w:t>
      </w:r>
    </w:p>
    <w:p>
      <w:r>
        <w:t>The vendor Globex Ltd shared logs with Dr. Priya Raman (EMP-77001). Acme Corp reviewed them in March 2026. Escalation was copied to M. Achebe and Michael Achebe.</w:t>
      </w:r>
    </w:p>
    <w:p>
      <w:r>
        <w:t>Grace Achebe, Head of Audit, signed off the review. Contact priya.raman@globex-ltd.com for follow-up.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