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982" w:rsidRPr="00923603" w:rsidRDefault="00923603" w:rsidP="0092360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  <w:t>CAFRI LLC</w:t>
      </w:r>
    </w:p>
    <w:p w:rsidR="00610982" w:rsidRPr="00923603" w:rsidRDefault="00923603">
      <w:pPr>
        <w:spacing w:after="8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b/>
          <w:bCs/>
          <w:color w:val="2E75B6"/>
          <w:sz w:val="24"/>
          <w:szCs w:val="24"/>
          <w:lang w:val="en-US"/>
        </w:rPr>
        <w:t>Central Asia Financial &amp; Regulatory Intelligence</w:t>
      </w:r>
    </w:p>
    <w:p w:rsidR="00610982" w:rsidRPr="00923603" w:rsidRDefault="00923603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i/>
          <w:iCs/>
          <w:color w:val="595959"/>
          <w:sz w:val="24"/>
          <w:szCs w:val="24"/>
        </w:rPr>
        <w:t>Концептуальная справка о проекте</w:t>
      </w:r>
    </w:p>
    <w:p w:rsidR="00610982" w:rsidRPr="00923603" w:rsidRDefault="00923603" w:rsidP="00923603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color w:val="595959"/>
          <w:sz w:val="24"/>
          <w:szCs w:val="24"/>
        </w:rPr>
        <w:t>Штат Флорида, США | EIN: 42-2995831</w:t>
      </w: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1. Что такое CAFRI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CAFRI — специализированная аналитическая инициатива, созданная и действующая в США. Проект направлен на анализ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санкционных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, регуляторных, финансовых и геополитических рисков в Центральной Азии и прилегающих евразийских коридорах. Цель — преобразовывать раз</w:t>
      </w:r>
      <w:r w:rsidRPr="00923603">
        <w:rPr>
          <w:rFonts w:ascii="Times New Roman" w:hAnsi="Times New Roman" w:cs="Times New Roman"/>
          <w:sz w:val="24"/>
          <w:szCs w:val="24"/>
        </w:rPr>
        <w:t>розненные региональные сигналы в проверенную, структурированную и практически применимую аналитическую информацию для американских участников рынка.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CAFRI не является обычным консультационным бизнесом, инвестиционным советником или новостной платформой. </w:t>
      </w:r>
      <w:proofErr w:type="gramStart"/>
      <w:r w:rsidRPr="00923603">
        <w:rPr>
          <w:rFonts w:ascii="Times New Roman" w:hAnsi="Times New Roman" w:cs="Times New Roman"/>
          <w:sz w:val="24"/>
          <w:szCs w:val="24"/>
        </w:rPr>
        <w:t>Эт</w:t>
      </w:r>
      <w:r w:rsidRPr="00923603">
        <w:rPr>
          <w:rFonts w:ascii="Times New Roman" w:hAnsi="Times New Roman" w:cs="Times New Roman"/>
          <w:sz w:val="24"/>
          <w:szCs w:val="24"/>
        </w:rPr>
        <w:t xml:space="preserve">о профессиональная система региональной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regulatory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, основанная на практическом опыте в дипломатии, центральном банке, международной координации, финансовом регулировании и институциональном взаимодействии в Центральной Азии.</w:t>
      </w:r>
      <w:proofErr w:type="gramEnd"/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3603">
        <w:rPr>
          <w:rFonts w:ascii="Times New Roman" w:hAnsi="Times New Roman" w:cs="Times New Roman"/>
          <w:sz w:val="24"/>
          <w:szCs w:val="24"/>
        </w:rPr>
        <w:t>CAFRI LLC зарегист</w:t>
      </w:r>
      <w:r w:rsidRPr="00923603">
        <w:rPr>
          <w:rFonts w:ascii="Times New Roman" w:hAnsi="Times New Roman" w:cs="Times New Roman"/>
          <w:sz w:val="24"/>
          <w:szCs w:val="24"/>
        </w:rPr>
        <w:t>рирована как компания с ограниченной ответственностью в штате Флорида (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3603">
        <w:rPr>
          <w:rFonts w:ascii="Times New Roman" w:hAnsi="Times New Roman" w:cs="Times New Roman"/>
          <w:sz w:val="24"/>
          <w:szCs w:val="24"/>
        </w:rPr>
        <w:t>L26000301870, EIN: 42-2995831) и находится в активной операционной разработке.</w:t>
      </w:r>
      <w:proofErr w:type="gramEnd"/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2. Почему Центральная Азия — это актуально для США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Центральная Азия перестала быть периферий</w:t>
      </w:r>
      <w:r w:rsidRPr="00923603">
        <w:rPr>
          <w:rFonts w:ascii="Times New Roman" w:hAnsi="Times New Roman" w:cs="Times New Roman"/>
          <w:sz w:val="24"/>
          <w:szCs w:val="24"/>
        </w:rPr>
        <w:t xml:space="preserve">ным регионом для США. Она находится на пересечении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санкционного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давления на Россию, китайских торговых маршрутов,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Middle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Corridor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, критических минералов, евразийских финансовых потоков и сложных локальных институтов.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Официальные подтверждения национальной </w:t>
      </w:r>
      <w:r w:rsidRPr="00923603">
        <w:rPr>
          <w:rFonts w:ascii="Times New Roman" w:hAnsi="Times New Roman" w:cs="Times New Roman"/>
          <w:sz w:val="24"/>
          <w:szCs w:val="24"/>
        </w:rPr>
        <w:t>значимости региона: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Ноябрь 2025 — Саммит Белого дома с лидерами всех пяти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центральноазиатских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государств. Президент Трамп назвал регион «одним из самых важных в мире». Подписано Совместное заявление о намерениях в сфере экономического сотрудничества.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Февра</w:t>
      </w:r>
      <w:r w:rsidRPr="00923603">
        <w:rPr>
          <w:rFonts w:ascii="Times New Roman" w:hAnsi="Times New Roman" w:cs="Times New Roman"/>
          <w:sz w:val="24"/>
          <w:szCs w:val="24"/>
        </w:rPr>
        <w:t>ль 2026 — Форум B5+1 в Бишкеке при поддержке Госдепартамента США. Участие более 300 представителей, включая свыше 40 американских компаний. Приоритеты: банки и финансы, критические минералы, транспорт и логистика.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Июнь 2026 — DFC и EXIM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Bank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США запустили </w:t>
      </w:r>
      <w:r w:rsidRPr="00923603">
        <w:rPr>
          <w:rFonts w:ascii="Times New Roman" w:hAnsi="Times New Roman" w:cs="Times New Roman"/>
          <w:sz w:val="24"/>
          <w:szCs w:val="24"/>
        </w:rPr>
        <w:t>Совместную инвестиционную платформу с Узбекистаном в Ташкенте, направленную на энергетику, критические минералы и инфраструктуру.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Июнь 2026 — Первый очный Диалог C5+1 по критическим минералам в Астане. США направили исторически крупнейшую коммерческую деле</w:t>
      </w:r>
      <w:r w:rsidRPr="00923603">
        <w:rPr>
          <w:rFonts w:ascii="Times New Roman" w:hAnsi="Times New Roman" w:cs="Times New Roman"/>
          <w:sz w:val="24"/>
          <w:szCs w:val="24"/>
        </w:rPr>
        <w:t>гацию в Казахстан.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Проблема для американских участников заключается не только в доступе к информации, а в правильной институциональной и регуляторной интерпретации событий. Именно этот пробел закрывает CAFRI.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lastRenderedPageBreak/>
        <w:t>3. Информационный разрыв и ответ CAFRI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CAFRI </w:t>
      </w:r>
      <w:r w:rsidRPr="00923603">
        <w:rPr>
          <w:rFonts w:ascii="Times New Roman" w:hAnsi="Times New Roman" w:cs="Times New Roman"/>
          <w:sz w:val="24"/>
          <w:szCs w:val="24"/>
        </w:rPr>
        <w:t>решает проблему профессионального информационного разрыва: американским участникам нужна не просто новостная информация о Центральной Азии, а специализированная институциональная интерпретация рисков. Большая часть доступных материалов разрозненна, поверхн</w:t>
      </w:r>
      <w:r w:rsidRPr="00923603">
        <w:rPr>
          <w:rFonts w:ascii="Times New Roman" w:hAnsi="Times New Roman" w:cs="Times New Roman"/>
          <w:sz w:val="24"/>
          <w:szCs w:val="24"/>
        </w:rPr>
        <w:t>остна или не учитывает реальную логику работы государственных и финансовых институтов региона.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10075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5395"/>
      </w:tblGrid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Наблюдаемый разрыв</w:t>
            </w:r>
          </w:p>
        </w:tc>
        <w:tc>
          <w:tcPr>
            <w:tcW w:w="539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Ответ CAFRI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Фрагментированная публичная информация из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санкционных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списков, местных регуляторов, прессы и правовых обновлений.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Структурированная система мониторинга и экспертная интерпретация событий, релевантных для американских участников.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Крупные провайдеры охватывают Центральную Азию как один регион среди многих — как правило, без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страновой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институциональной глубины.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Сфокусированное покрытие Казахстана, Кыргызстана, Узбекистана, Таджикистана, Туркменистана и прилегающих коридоров.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Compliance-командам нужны практические </w:t>
            </w:r>
            <w:proofErr w:type="spellStart"/>
            <w:proofErr w:type="gram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риск-импликации</w:t>
            </w:r>
            <w:proofErr w:type="spellEnd"/>
            <w:proofErr w:type="gram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а не академические комментарии.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Краткие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compliance-алерты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страновые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ноты и сценарные оценки рисков.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Политические и деловые сообщества зачастую лишены локального институционального контекста.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Анализ, основанный на опыте работы в центральном банке, дипломатии, межправительственной координации и финансовом регулировании.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Риск-сигналы</w:t>
            </w:r>
            <w:proofErr w:type="spellEnd"/>
            <w:proofErr w:type="gram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могут выглядеть техническими, но иметь стратегические последствия.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Интегрированная оценка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санкционных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банковских, торговых, регуляторных и геополитических факторов.</w:t>
            </w:r>
          </w:p>
        </w:tc>
      </w:tr>
    </w:tbl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4. Операционная модель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Операционная модель CAFRI строится вокруг пяти направлений: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Санкционная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и регуляторная разведка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Анализ банковских и финансовых рисков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Трансграничная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regulatory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Мониторинг торговых коридоров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Институциональные брифинги и аналитические продукты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Такая структура позволяет запускать проект реалистично и поэтапно, без искусственного завышения м</w:t>
      </w:r>
      <w:r w:rsidRPr="00923603">
        <w:rPr>
          <w:rFonts w:ascii="Times New Roman" w:hAnsi="Times New Roman" w:cs="Times New Roman"/>
          <w:sz w:val="24"/>
          <w:szCs w:val="24"/>
        </w:rPr>
        <w:t>асштаба.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5. Продукты и аналитические решения</w:t>
      </w:r>
    </w:p>
    <w:tbl>
      <w:tblPr>
        <w:tblW w:w="10075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98"/>
        <w:gridCol w:w="1977"/>
        <w:gridCol w:w="1970"/>
        <w:gridCol w:w="3630"/>
      </w:tblGrid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Продукт</w:t>
            </w:r>
          </w:p>
        </w:tc>
        <w:tc>
          <w:tcPr>
            <w:tcW w:w="19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Аудитория</w:t>
            </w:r>
          </w:p>
        </w:tc>
        <w:tc>
          <w:tcPr>
            <w:tcW w:w="19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Периодичность</w:t>
            </w:r>
          </w:p>
        </w:tc>
        <w:tc>
          <w:tcPr>
            <w:tcW w:w="36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Практическая ценность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Sanctions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Exposure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Alert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Compliance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юридические команды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 событию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Выявление немедленной экспозиции и вопросов для внутреннего анализа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Note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Юридические фирмы, компании США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Ежемесячно / ежеквартально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Понимание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странового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регуляторного и политического риска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Banking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Brief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Банки,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fintech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юристы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Оценка корреспондентских и платёжных рисков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Corridor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Monitor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Инвесторы, логистика, аналитики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Ежеквартально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Мониторинг торговых маршрутов и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санкционно-чувствительных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коридоров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Regulatory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Change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Команды по выходу на рынок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 событию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Интерпретация новых правил и институционального поведения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Executive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Briefing</w:t>
            </w:r>
            <w:proofErr w:type="spellEnd"/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Старшие руководители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 запросу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Краткий</w:t>
            </w:r>
            <w:proofErr w:type="gram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принятие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решений-анализ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 импликациями</w:t>
            </w:r>
          </w:p>
        </w:tc>
      </w:tr>
    </w:tbl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6. Национальная значимость для США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Национальная значимость CAFRI строится не на утверждении, что один проект изменит политику США. Сильнее и реалистичнее — показать, что проект закрывает специализированный, но существенный информационный пробел в сфере санкций, финансовой прозрачности, экон</w:t>
      </w:r>
      <w:r w:rsidRPr="00923603">
        <w:rPr>
          <w:rFonts w:ascii="Times New Roman" w:hAnsi="Times New Roman" w:cs="Times New Roman"/>
          <w:sz w:val="24"/>
          <w:szCs w:val="24"/>
        </w:rPr>
        <w:t>омической безопасности, устойчивости цепочек поставок и стратегического взаимодействия США с Центральной Азией.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10075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5395"/>
      </w:tblGrid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Измерение национального интереса</w:t>
            </w:r>
          </w:p>
        </w:tc>
        <w:tc>
          <w:tcPr>
            <w:tcW w:w="539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Вклад CAFRI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Санкционный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compliance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правоприменительная осведомлённость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Специализированный мониторинг и интерпретация региональной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санкционной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экспозиции и типологий уклонения.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Целостность финансовой системы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Помощь американским участникам в понимании банковских, платёжных, корреспондентских и AML/CFT уязвимостей.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Экономическая безопасность и устойчивость цепочек поставок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Оценка перенаправления торговли, экспозиции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Corridor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регуляторных рисков, влияющих на коммерческие решения США.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Стратегическое взаимодействие с Центральной Азией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Повышение качества понимания институтов, изменений политики и регионального балансирования.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Снижение рисков для американских профессиональных сервисов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Поддержка юридических фирм, compliance-команд и компаний, оценивающих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центральноазиатских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контрагентов и транзакции.</w:t>
            </w:r>
          </w:p>
        </w:tc>
      </w:tr>
    </w:tbl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7. Методология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Методология CAFRI построена на принципах строгой аналитической дисциплины: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Иерархия источников — официальные регуляторные материалы, правительственные 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центробанковские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публикации,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репутационные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СМИ, аналитические источники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Сопоставление данных из множества источников для снижения аналитических ошибок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Институциональная интерпрет</w:t>
      </w:r>
      <w:r w:rsidRPr="00923603">
        <w:rPr>
          <w:rFonts w:ascii="Times New Roman" w:hAnsi="Times New Roman" w:cs="Times New Roman"/>
          <w:sz w:val="24"/>
          <w:szCs w:val="24"/>
        </w:rPr>
        <w:t xml:space="preserve">ация с учётом политического контекста и поведения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акторов</w:t>
      </w:r>
      <w:proofErr w:type="spellEnd"/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с прозрачным обоснованием каждой оценки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gramStart"/>
      <w:r w:rsidRPr="00923603">
        <w:rPr>
          <w:rFonts w:ascii="Times New Roman" w:hAnsi="Times New Roman" w:cs="Times New Roman"/>
          <w:sz w:val="24"/>
          <w:szCs w:val="24"/>
        </w:rPr>
        <w:t>Экспертная</w:t>
      </w:r>
      <w:proofErr w:type="gram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всех продуктов перед публикацией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Чёткое разделение между верифицированными фактами, аналитическими выводами и практическими </w:t>
      </w:r>
      <w:r w:rsidRPr="00923603">
        <w:rPr>
          <w:rFonts w:ascii="Times New Roman" w:hAnsi="Times New Roman" w:cs="Times New Roman"/>
          <w:sz w:val="24"/>
          <w:szCs w:val="24"/>
        </w:rPr>
        <w:t>рекомендациями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Это важно как для профессиональной надёжности проекта, так и для того, чтобы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endeavor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не выглядел спекулятивным в глазах регуляторов и пользователей.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8. Бизнес-модель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CAFRI функционирует как коммерчески устойчивая разведывательная платформа. Выручка от подписок, брифингов и институциональных продуктов поддерживает расширение аналитической работы — позволяет компании расти, нанимать сотрудников в США и увеличивать охват </w:t>
      </w:r>
      <w:r w:rsidRPr="00923603">
        <w:rPr>
          <w:rFonts w:ascii="Times New Roman" w:hAnsi="Times New Roman" w:cs="Times New Roman"/>
          <w:sz w:val="24"/>
          <w:szCs w:val="24"/>
        </w:rPr>
        <w:t>со временем.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Целевые сегменты пользователей: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Юридические фирмы 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sanctions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attorneys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с международной compliance-практикой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Compliance-подразделения и специалисты AML/CFT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Американские банки, финансовые институты и корреспондентские банковские команды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и команды по рискам трансграничных платежей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Американские компании, выходящие на рынки Центральной Азии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Инвесторы и институциональные аналитики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Стейкхолдеры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цепочек поставок, логистики и торговых коридоров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Политические исследователи 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tanks</w:t>
      </w:r>
      <w:proofErr w:type="spellEnd"/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9. Квали</w:t>
      </w:r>
      <w:r w:rsidRPr="00923603">
        <w:rPr>
          <w:rFonts w:ascii="Times New Roman" w:hAnsi="Times New Roman" w:cs="Times New Roman"/>
          <w:sz w:val="24"/>
          <w:szCs w:val="24"/>
        </w:rPr>
        <w:t>фикация основателя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Конкурентное преимущество CAFRI основано не на масштабе, а на аналитическом фундаменте — прямом институциональном опыте основателя внутри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центральноазиатских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регуляторных, государственных и дипломатических систем, который не может быть в</w:t>
      </w:r>
      <w:r w:rsidRPr="00923603">
        <w:rPr>
          <w:rFonts w:ascii="Times New Roman" w:hAnsi="Times New Roman" w:cs="Times New Roman"/>
          <w:sz w:val="24"/>
          <w:szCs w:val="24"/>
        </w:rPr>
        <w:t>оспроизведён внешними исследователями или коммерчески собранными командами.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10075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00"/>
        <w:gridCol w:w="6275"/>
      </w:tblGrid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Направление опыта</w:t>
            </w:r>
          </w:p>
        </w:tc>
        <w:tc>
          <w:tcPr>
            <w:tcW w:w="62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Релевантность для CAFRI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Национальный банк Кыргызской Республики (2020–2024): советник Председателя, начальник Службы протокола, начальник Отдела международного сотрудничества</w:t>
            </w:r>
          </w:p>
        </w:tc>
        <w:tc>
          <w:tcPr>
            <w:tcW w:w="6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Прямое участие в 40+ международных встречах и переговорах с МВФ, Всемирным банком, иностранными центральн</w:t>
            </w: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ыми банками. Непосредственное знание того, как центральные банки Центральной Азии получают, интерпретируют и реагируют на международные регуляторные сигналы.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Дипломатическая служба: Посольство КР в Бельгии, Франции, Нидерландах и Люксембурге (2012–2016)</w:t>
            </w:r>
          </w:p>
        </w:tc>
        <w:tc>
          <w:tcPr>
            <w:tcW w:w="6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Прямое взаимодействие с институтами ЕС, структурами НАТО и международными финансовыми организациями в Брюсселе. Понимание европейской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санкционной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архитектуры и институциональной динамики многосторонних финансовых организаций.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Аппарат Правительства КР (2007–2011): участие в межгосударственных переговорах по делимитации границ с Узбекистаном, Казахстаном, Таджикистаном и Китаем</w:t>
            </w:r>
          </w:p>
        </w:tc>
        <w:tc>
          <w:tcPr>
            <w:tcW w:w="6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Понимание того, как постсоветские государства управляют конкурирующими территориальными, экономическими</w:t>
            </w: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геополитическими интересами через формальные институциональные процессы.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МИД КР: Департамент восточных стран, Секретариат министра, дипломатическая и консульская служба (2003–2016)</w:t>
            </w:r>
          </w:p>
        </w:tc>
        <w:tc>
          <w:tcPr>
            <w:tcW w:w="6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Практическое понимание дипломатических процессов, работы с иностранными властями и международного институционального представительства.</w:t>
            </w:r>
          </w:p>
        </w:tc>
      </w:tr>
      <w:tr w:rsidR="00610982" w:rsidRPr="00923603" w:rsidTr="0092360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Международные программы подготовки (2023):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Korea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Banking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Institute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(финансовое развитие для высокопоставленных чиновников и представителей центральных банков),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Banque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France</w:t>
            </w:r>
            <w:proofErr w:type="spellEnd"/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(международные отношения и международная экономика)</w:t>
            </w:r>
          </w:p>
        </w:tc>
        <w:tc>
          <w:tcPr>
            <w:tcW w:w="6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10982" w:rsidRPr="00923603" w:rsidRDefault="00923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Подтверждение профессиональ</w:t>
            </w:r>
            <w:r w:rsidRPr="00923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ного статуса на международном уровне в области финансового регулирования и международного сотрудничества.</w:t>
            </w:r>
          </w:p>
        </w:tc>
      </w:tr>
    </w:tbl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10. Ключевые источники, подтверждающие актуальность проекта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Следующие официальные источники подтверждают, что тематика CAFRI непосредственно связана с актуальными интересами США: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sz w:val="24"/>
          <w:szCs w:val="24"/>
          <w:lang w:val="en-US"/>
        </w:rPr>
        <w:t>U.S. Department of the Treasury, "Treasury Disrupts Russia's Sanctions Evasion Schemes," January 2025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  <w:lang w:val="en-US"/>
        </w:rPr>
        <w:t>FinCEN</w:t>
      </w:r>
      <w:proofErr w:type="spellEnd"/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and Bureau of Industry and S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>ecurity, "</w:t>
      </w:r>
      <w:proofErr w:type="spellStart"/>
      <w:r w:rsidRPr="00923603">
        <w:rPr>
          <w:rFonts w:ascii="Times New Roman" w:hAnsi="Times New Roman" w:cs="Times New Roman"/>
          <w:sz w:val="24"/>
          <w:szCs w:val="24"/>
          <w:lang w:val="en-US"/>
        </w:rPr>
        <w:t>FinCEN</w:t>
      </w:r>
      <w:proofErr w:type="spellEnd"/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and BIS Alert: Suspected Evasion of Russian Export Controls and Sanctions," </w:t>
      </w:r>
      <w:r w:rsidRPr="00923603">
        <w:rPr>
          <w:rFonts w:ascii="Times New Roman" w:hAnsi="Times New Roman" w:cs="Times New Roman"/>
          <w:sz w:val="24"/>
          <w:szCs w:val="24"/>
        </w:rPr>
        <w:t>обновлённые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03">
        <w:rPr>
          <w:rFonts w:ascii="Times New Roman" w:hAnsi="Times New Roman" w:cs="Times New Roman"/>
          <w:sz w:val="24"/>
          <w:szCs w:val="24"/>
        </w:rPr>
        <w:t>материалы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2024–2025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sz w:val="24"/>
          <w:szCs w:val="24"/>
          <w:lang w:val="en-US"/>
        </w:rPr>
        <w:t>U.S. Department of State, Joint Statement of Intent on Economic Cooperation (C5+1), November 2025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sz w:val="24"/>
          <w:szCs w:val="24"/>
          <w:lang w:val="en-US"/>
        </w:rPr>
        <w:lastRenderedPageBreak/>
        <w:t>U.S. Department of State, C5+1 pl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>atform materials and joint economic cooperation statements, 2025–2026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U.S. DFC </w:t>
      </w:r>
      <w:r w:rsidRPr="00923603">
        <w:rPr>
          <w:rFonts w:ascii="Times New Roman" w:hAnsi="Times New Roman" w:cs="Times New Roman"/>
          <w:sz w:val="24"/>
          <w:szCs w:val="24"/>
        </w:rPr>
        <w:t>и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EXIM Bank, </w:t>
      </w:r>
      <w:r w:rsidRPr="00923603">
        <w:rPr>
          <w:rFonts w:ascii="Times New Roman" w:hAnsi="Times New Roman" w:cs="Times New Roman"/>
          <w:sz w:val="24"/>
          <w:szCs w:val="24"/>
        </w:rPr>
        <w:t>пресс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23603">
        <w:rPr>
          <w:rFonts w:ascii="Times New Roman" w:hAnsi="Times New Roman" w:cs="Times New Roman"/>
          <w:sz w:val="24"/>
          <w:szCs w:val="24"/>
        </w:rPr>
        <w:t>релиз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03">
        <w:rPr>
          <w:rFonts w:ascii="Times New Roman" w:hAnsi="Times New Roman" w:cs="Times New Roman"/>
          <w:sz w:val="24"/>
          <w:szCs w:val="24"/>
        </w:rPr>
        <w:t>о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03">
        <w:rPr>
          <w:rFonts w:ascii="Times New Roman" w:hAnsi="Times New Roman" w:cs="Times New Roman"/>
          <w:sz w:val="24"/>
          <w:szCs w:val="24"/>
        </w:rPr>
        <w:t>запуске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 xml:space="preserve"> U.S.–Uzbekistan Joint Investment Platform, June 2026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sz w:val="24"/>
          <w:szCs w:val="24"/>
          <w:lang w:val="en-US"/>
        </w:rPr>
        <w:t>U.S. Department of State, 2025 Investment Climate Statements: Kyrgyz Republic, Kazakhstan</w:t>
      </w:r>
      <w:r w:rsidRPr="00923603">
        <w:rPr>
          <w:rFonts w:ascii="Times New Roman" w:hAnsi="Times New Roman" w:cs="Times New Roman"/>
          <w:sz w:val="24"/>
          <w:szCs w:val="24"/>
          <w:lang w:val="en-US"/>
        </w:rPr>
        <w:t>, Uzbekistan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U.S.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Bureau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Industry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: материалы о национальной безопасности и экспортном контроле</w:t>
      </w:r>
    </w:p>
    <w:p w:rsidR="00610982" w:rsidRPr="00923603" w:rsidRDefault="00923603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23603">
        <w:rPr>
          <w:rFonts w:ascii="Times New Roman" w:hAnsi="Times New Roman" w:cs="Times New Roman"/>
          <w:sz w:val="24"/>
          <w:szCs w:val="24"/>
        </w:rPr>
        <w:t>Reuters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Eurasianet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и другие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репутационные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СМИ: репортажи о санкциях, перенаправлении торговли и схемах уклонения в Центр</w:t>
      </w:r>
      <w:r w:rsidRPr="00923603">
        <w:rPr>
          <w:rFonts w:ascii="Times New Roman" w:hAnsi="Times New Roman" w:cs="Times New Roman"/>
          <w:sz w:val="24"/>
          <w:szCs w:val="24"/>
        </w:rPr>
        <w:t>альной Азии (2023–2026)</w:t>
      </w:r>
    </w:p>
    <w:p w:rsidR="00610982" w:rsidRPr="00923603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Style w:val="Heading10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11. Итоговое позиционирование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 xml:space="preserve">CAFRI — это сфокусированный, реалистичный и профессионально обоснованный проект. Он решает конкретную проблему, важную для США: нехватку специализированной институциональной аналитики по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санкционным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, регуляторным, банковским и геополитическим рискам Центра</w:t>
      </w:r>
      <w:r w:rsidRPr="00923603">
        <w:rPr>
          <w:rFonts w:ascii="Times New Roman" w:hAnsi="Times New Roman" w:cs="Times New Roman"/>
          <w:sz w:val="24"/>
          <w:szCs w:val="24"/>
        </w:rPr>
        <w:t>льной Азии.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Сильная позиция CAFRI заключается не в том, что основатель является предпринимателем в общем смысле, а в том, что он обладает редким практическим знанием финансовых, государственных и дипломатических институтов Центральной Азии — и способен при</w:t>
      </w:r>
      <w:r w:rsidRPr="00923603">
        <w:rPr>
          <w:rFonts w:ascii="Times New Roman" w:hAnsi="Times New Roman" w:cs="Times New Roman"/>
          <w:sz w:val="24"/>
          <w:szCs w:val="24"/>
        </w:rPr>
        <w:t xml:space="preserve">менить это знание для решения актуальной для США задачи в сфере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sanctions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compliance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regulatory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>.</w:t>
      </w:r>
    </w:p>
    <w:p w:rsidR="00610982" w:rsidRPr="00923603" w:rsidRDefault="00923603">
      <w:pPr>
        <w:spacing w:before="100" w:after="160"/>
        <w:jc w:val="both"/>
        <w:rPr>
          <w:rFonts w:ascii="Times New Roman" w:hAnsi="Times New Roman" w:cs="Times New Roman"/>
          <w:sz w:val="24"/>
          <w:szCs w:val="24"/>
        </w:rPr>
      </w:pPr>
      <w:r w:rsidRPr="00923603">
        <w:rPr>
          <w:rFonts w:ascii="Times New Roman" w:hAnsi="Times New Roman" w:cs="Times New Roman"/>
          <w:sz w:val="24"/>
          <w:szCs w:val="24"/>
        </w:rPr>
        <w:t>Проект напрямую связан с реальным опытом и может быть поэтапно реализован через конкретные аналитические продукты, професси</w:t>
      </w:r>
      <w:r w:rsidRPr="00923603">
        <w:rPr>
          <w:rFonts w:ascii="Times New Roman" w:hAnsi="Times New Roman" w:cs="Times New Roman"/>
          <w:sz w:val="24"/>
          <w:szCs w:val="24"/>
        </w:rPr>
        <w:t xml:space="preserve">ональный </w:t>
      </w:r>
      <w:proofErr w:type="spellStart"/>
      <w:r w:rsidRPr="00923603">
        <w:rPr>
          <w:rFonts w:ascii="Times New Roman" w:hAnsi="Times New Roman" w:cs="Times New Roman"/>
          <w:sz w:val="24"/>
          <w:szCs w:val="24"/>
        </w:rPr>
        <w:t>outreach</w:t>
      </w:r>
      <w:proofErr w:type="spellEnd"/>
      <w:r w:rsidRPr="00923603">
        <w:rPr>
          <w:rFonts w:ascii="Times New Roman" w:hAnsi="Times New Roman" w:cs="Times New Roman"/>
          <w:sz w:val="24"/>
          <w:szCs w:val="24"/>
        </w:rPr>
        <w:t xml:space="preserve"> и обратную связь от пользователей.</w:t>
      </w:r>
    </w:p>
    <w:p w:rsidR="00610982" w:rsidRDefault="0061098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23603" w:rsidRPr="00923603" w:rsidRDefault="00923603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610982" w:rsidRPr="00923603" w:rsidRDefault="00923603">
      <w:pPr>
        <w:pBdr>
          <w:top w:val="single" w:sz="4" w:space="1" w:color="1F4E79"/>
        </w:pBdr>
        <w:spacing w:before="320"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3603">
        <w:rPr>
          <w:rFonts w:ascii="Times New Roman" w:hAnsi="Times New Roman" w:cs="Times New Roman"/>
          <w:i/>
          <w:iCs/>
          <w:color w:val="595959"/>
          <w:sz w:val="24"/>
          <w:szCs w:val="24"/>
          <w:lang w:val="en-US"/>
        </w:rPr>
        <w:t xml:space="preserve">CAFRI </w:t>
      </w:r>
      <w:proofErr w:type="gramStart"/>
      <w:r w:rsidRPr="00923603">
        <w:rPr>
          <w:rFonts w:ascii="Times New Roman" w:hAnsi="Times New Roman" w:cs="Times New Roman"/>
          <w:i/>
          <w:iCs/>
          <w:color w:val="595959"/>
          <w:sz w:val="24"/>
          <w:szCs w:val="24"/>
          <w:lang w:val="en-US"/>
        </w:rPr>
        <w:t>LLC  |</w:t>
      </w:r>
      <w:proofErr w:type="gramEnd"/>
      <w:r w:rsidRPr="00923603">
        <w:rPr>
          <w:rFonts w:ascii="Times New Roman" w:hAnsi="Times New Roman" w:cs="Times New Roman"/>
          <w:i/>
          <w:iCs/>
          <w:color w:val="595959"/>
          <w:sz w:val="24"/>
          <w:szCs w:val="24"/>
          <w:lang w:val="en-US"/>
        </w:rPr>
        <w:t xml:space="preserve">  Central Asia Financial &amp; Regulatory Intelligence  |  St. Petersburg, Florida, USA</w:t>
      </w:r>
    </w:p>
    <w:sectPr w:rsidR="00610982" w:rsidRPr="00923603" w:rsidSect="00923603">
      <w:pgSz w:w="12240" w:h="15840"/>
      <w:pgMar w:top="851" w:right="1041" w:bottom="993" w:left="113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D07668"/>
    <w:multiLevelType w:val="hybridMultilevel"/>
    <w:tmpl w:val="A3020D9C"/>
    <w:lvl w:ilvl="0" w:tplc="7B2A81E6">
      <w:start w:val="1"/>
      <w:numFmt w:val="bullet"/>
      <w:lvlText w:val="•"/>
      <w:lvlJc w:val="left"/>
      <w:pPr>
        <w:ind w:left="720" w:hanging="360"/>
      </w:pPr>
    </w:lvl>
    <w:lvl w:ilvl="1" w:tplc="E8AC93F6">
      <w:numFmt w:val="decimal"/>
      <w:lvlText w:val=""/>
      <w:lvlJc w:val="left"/>
    </w:lvl>
    <w:lvl w:ilvl="2" w:tplc="F342C38A">
      <w:numFmt w:val="decimal"/>
      <w:lvlText w:val=""/>
      <w:lvlJc w:val="left"/>
    </w:lvl>
    <w:lvl w:ilvl="3" w:tplc="F766939A">
      <w:numFmt w:val="decimal"/>
      <w:lvlText w:val=""/>
      <w:lvlJc w:val="left"/>
    </w:lvl>
    <w:lvl w:ilvl="4" w:tplc="0DEED174">
      <w:numFmt w:val="decimal"/>
      <w:lvlText w:val=""/>
      <w:lvlJc w:val="left"/>
    </w:lvl>
    <w:lvl w:ilvl="5" w:tplc="D1BCD562">
      <w:numFmt w:val="decimal"/>
      <w:lvlText w:val=""/>
      <w:lvlJc w:val="left"/>
    </w:lvl>
    <w:lvl w:ilvl="6" w:tplc="9D4866E4">
      <w:numFmt w:val="decimal"/>
      <w:lvlText w:val=""/>
      <w:lvlJc w:val="left"/>
    </w:lvl>
    <w:lvl w:ilvl="7" w:tplc="975049A8">
      <w:numFmt w:val="decimal"/>
      <w:lvlText w:val=""/>
      <w:lvlJc w:val="left"/>
    </w:lvl>
    <w:lvl w:ilvl="8" w:tplc="29B43F56">
      <w:numFmt w:val="decimal"/>
      <w:lvlText w:val=""/>
      <w:lvlJc w:val="left"/>
    </w:lvl>
  </w:abstractNum>
  <w:abstractNum w:abstractNumId="1">
    <w:nsid w:val="656B7C32"/>
    <w:multiLevelType w:val="hybridMultilevel"/>
    <w:tmpl w:val="E1201080"/>
    <w:lvl w:ilvl="0" w:tplc="6866906A">
      <w:start w:val="1"/>
      <w:numFmt w:val="bullet"/>
      <w:lvlText w:val="●"/>
      <w:lvlJc w:val="left"/>
      <w:pPr>
        <w:ind w:left="720" w:hanging="360"/>
      </w:pPr>
    </w:lvl>
    <w:lvl w:ilvl="1" w:tplc="97DA30AC">
      <w:start w:val="1"/>
      <w:numFmt w:val="bullet"/>
      <w:lvlText w:val="○"/>
      <w:lvlJc w:val="left"/>
      <w:pPr>
        <w:ind w:left="1440" w:hanging="360"/>
      </w:pPr>
    </w:lvl>
    <w:lvl w:ilvl="2" w:tplc="9E8AB888">
      <w:start w:val="1"/>
      <w:numFmt w:val="bullet"/>
      <w:lvlText w:val="■"/>
      <w:lvlJc w:val="left"/>
      <w:pPr>
        <w:ind w:left="2160" w:hanging="360"/>
      </w:pPr>
    </w:lvl>
    <w:lvl w:ilvl="3" w:tplc="EB98C376">
      <w:start w:val="1"/>
      <w:numFmt w:val="bullet"/>
      <w:lvlText w:val="●"/>
      <w:lvlJc w:val="left"/>
      <w:pPr>
        <w:ind w:left="2880" w:hanging="360"/>
      </w:pPr>
    </w:lvl>
    <w:lvl w:ilvl="4" w:tplc="3392AE08">
      <w:start w:val="1"/>
      <w:numFmt w:val="bullet"/>
      <w:lvlText w:val="○"/>
      <w:lvlJc w:val="left"/>
      <w:pPr>
        <w:ind w:left="3600" w:hanging="360"/>
      </w:pPr>
    </w:lvl>
    <w:lvl w:ilvl="5" w:tplc="EB2E07B8">
      <w:start w:val="1"/>
      <w:numFmt w:val="bullet"/>
      <w:lvlText w:val="■"/>
      <w:lvlJc w:val="left"/>
      <w:pPr>
        <w:ind w:left="4320" w:hanging="360"/>
      </w:pPr>
    </w:lvl>
    <w:lvl w:ilvl="6" w:tplc="8AE4BE38">
      <w:start w:val="1"/>
      <w:numFmt w:val="bullet"/>
      <w:lvlText w:val="●"/>
      <w:lvlJc w:val="left"/>
      <w:pPr>
        <w:ind w:left="5040" w:hanging="360"/>
      </w:pPr>
    </w:lvl>
    <w:lvl w:ilvl="7" w:tplc="E1F40510">
      <w:start w:val="1"/>
      <w:numFmt w:val="bullet"/>
      <w:lvlText w:val="●"/>
      <w:lvlJc w:val="left"/>
      <w:pPr>
        <w:ind w:left="5760" w:hanging="360"/>
      </w:pPr>
    </w:lvl>
    <w:lvl w:ilvl="8" w:tplc="91F620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proofState w:spelling="clean" w:grammar="clean"/>
  <w:defaultTabStop w:val="708"/>
  <w:characterSpacingControl w:val="doNotCompress"/>
  <w:compat/>
  <w:rsids>
    <w:rsidRoot w:val="00610982"/>
    <w:rsid w:val="00610982"/>
    <w:rsid w:val="00923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610982"/>
    <w:rPr>
      <w:sz w:val="56"/>
      <w:szCs w:val="56"/>
    </w:rPr>
  </w:style>
  <w:style w:type="paragraph" w:customStyle="1" w:styleId="Heading1">
    <w:name w:val="Heading 1"/>
    <w:qFormat/>
    <w:rsid w:val="00610982"/>
    <w:rPr>
      <w:color w:val="2E74B5"/>
      <w:sz w:val="32"/>
      <w:szCs w:val="32"/>
    </w:rPr>
  </w:style>
  <w:style w:type="paragraph" w:customStyle="1" w:styleId="Heading2">
    <w:name w:val="Heading 2"/>
    <w:qFormat/>
    <w:rsid w:val="00610982"/>
    <w:rPr>
      <w:color w:val="2E74B5"/>
      <w:sz w:val="26"/>
      <w:szCs w:val="26"/>
    </w:rPr>
  </w:style>
  <w:style w:type="paragraph" w:customStyle="1" w:styleId="Heading3">
    <w:name w:val="Heading 3"/>
    <w:qFormat/>
    <w:rsid w:val="00610982"/>
    <w:rPr>
      <w:color w:val="1F4D78"/>
      <w:sz w:val="24"/>
      <w:szCs w:val="24"/>
    </w:rPr>
  </w:style>
  <w:style w:type="paragraph" w:customStyle="1" w:styleId="Heading4">
    <w:name w:val="Heading 4"/>
    <w:qFormat/>
    <w:rsid w:val="00610982"/>
    <w:rPr>
      <w:i/>
      <w:iCs/>
      <w:color w:val="2E74B5"/>
    </w:rPr>
  </w:style>
  <w:style w:type="paragraph" w:customStyle="1" w:styleId="Heading5">
    <w:name w:val="Heading 5"/>
    <w:qFormat/>
    <w:rsid w:val="00610982"/>
    <w:rPr>
      <w:color w:val="2E74B5"/>
    </w:rPr>
  </w:style>
  <w:style w:type="paragraph" w:customStyle="1" w:styleId="Heading6">
    <w:name w:val="Heading 6"/>
    <w:qFormat/>
    <w:rsid w:val="00610982"/>
    <w:rPr>
      <w:color w:val="1F4D78"/>
    </w:rPr>
  </w:style>
  <w:style w:type="paragraph" w:customStyle="1" w:styleId="1">
    <w:name w:val="Строгий1"/>
    <w:qFormat/>
    <w:rsid w:val="00610982"/>
    <w:rPr>
      <w:b/>
      <w:bCs/>
    </w:rPr>
  </w:style>
  <w:style w:type="paragraph" w:styleId="a4">
    <w:name w:val="List Paragraph"/>
    <w:qFormat/>
    <w:rsid w:val="00610982"/>
  </w:style>
  <w:style w:type="character" w:styleId="a5">
    <w:name w:val="Hyperlink"/>
    <w:uiPriority w:val="99"/>
    <w:unhideWhenUsed/>
    <w:rsid w:val="00610982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610982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610982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610982"/>
    <w:rPr>
      <w:sz w:val="20"/>
      <w:szCs w:val="20"/>
    </w:rPr>
  </w:style>
  <w:style w:type="character" w:styleId="a9">
    <w:name w:val="endnote reference"/>
    <w:uiPriority w:val="99"/>
    <w:semiHidden/>
    <w:unhideWhenUsed/>
    <w:rsid w:val="00610982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610982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610982"/>
    <w:rPr>
      <w:sz w:val="20"/>
      <w:szCs w:val="20"/>
    </w:rPr>
  </w:style>
  <w:style w:type="paragraph" w:customStyle="1" w:styleId="Heading10">
    <w:name w:val="Heading 1"/>
    <w:qFormat/>
    <w:rsid w:val="00610982"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customStyle="1" w:styleId="Heading20">
    <w:name w:val="Heading 2"/>
    <w:qFormat/>
    <w:rsid w:val="00610982"/>
    <w:pPr>
      <w:spacing w:before="240" w:after="120"/>
      <w:outlineLvl w:val="1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anuar12561@gmail.com</cp:lastModifiedBy>
  <cp:revision>2</cp:revision>
  <dcterms:created xsi:type="dcterms:W3CDTF">2026-06-22T19:11:00Z</dcterms:created>
  <dcterms:modified xsi:type="dcterms:W3CDTF">2026-06-22T19:11:00Z</dcterms:modified>
</cp:coreProperties>
</file>