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r>
        <w:t xml:space="preserve"> For the next service period, the escort must also confirm the accessible entrance, identify temporary obstructions and record an alternative route before the operative arrives. The dispatcher records that confirmation with the job reference.</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r>
              <w:t xml:space="preserve"> including a documented comparison with the portable reference instrument, a second reading after stabilisation, a recorded ambient-temperature check and confirmation by the site escort</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r>
              <w:t>120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