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numPr>
          <w:ilvl w:val="0"/>
          <w:numId w:val="60"/>
        </w:numPr>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numPr>
          <w:ilvl w:val="0"/>
          <w:numId w:val="60"/>
        </w:numPr>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p>
    <w:p>
      <w:pPr>
        <w:numPr>
          <w:ilvl w:val="0"/>
          <w:numId w:val="60"/>
        </w:numPr>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numPr>
          <w:ilvl w:val="0"/>
          <w:numId w:val="60"/>
        </w:numPr>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numPr>
          <w:ilvl w:val="0"/>
          <w:numId w:val="60"/>
        </w:numPr>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numPr>
          <w:ilvl w:val="0"/>
          <w:numId w:val="60"/>
        </w:numPr>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numPr>
          <w:ilvl w:val="0"/>
          <w:numId w:val="60"/>
        </w:numPr>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numPr>
          <w:ilvl w:val="0"/>
          <w:numId w:val="60"/>
        </w:numPr>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45,360.00</w:t>
            </w:r>
          </w:p>
        </w:tc>
      </w:tr>
    </w:tbl>
    <w:p/>
    <w:p>
      <w:pPr>
        <w:pStyle w:val="Heading2"/>
      </w:pPr>
      <w:r>
        <w:t>Charge rules</w:t>
      </w:r>
    </w:p>
    <w:p>
      <w:r>
        <w:t>A routine call-out outside the base scope is GBP 145.00 per authorised attendance. The first 45 minutes are included; subsequent time is GBP 22.50 per completed 15-minute block.</w:t>
      </w:r>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pPr>
              <w:spacing w:after="100"/>
            </w:pPr>
            <w:r>
              <w:rPr>
                <w:sz w:val="18"/>
              </w:rPr>
              <w:t>60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