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Facilities monitoring</w:t>
      </w:r>
      <w:r>
        <w:br/>
      </w:r>
      <w:r>
        <w:t>and response agreement</w:t>
      </w:r>
    </w:p>
    <w:p>
      <w:pPr>
        <w:pStyle w:val="Subtitle"/>
      </w:pPr>
      <w:r>
        <w:t>Procurement reference MCE-26-041  |  Revision 2.1</w:t>
      </w:r>
    </w:p>
    <w:p>
      <w:pPr>
        <w:pStyle w:val="PartyLine"/>
      </w:pPr>
      <w:r>
        <w:t>MERIDIAN CIVIC ESTATES  AND  HARBORLIGHT FIELD SERVICES</w:t>
      </w:r>
    </w:p>
    <w:p>
      <w:r>
        <w:t>An editable working agreement for monitoring occupied public buildings, responding to equipment alerts and documenting maintenance outcomes. This issued copy incorporates the negotiated winter-access arrangements.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/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Contract particulars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Agreed position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Client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Meridian Civic Estates (MCE)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Supplier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Harborlight Field Services Ltd (HFS)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Service term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1 July 2026 to 30 June 2027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Sites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Northgate Library; Canal House; Eastbank Depot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Base fee, excluding tax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GBP 37,800.00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Mobilisation milestone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29 June 2026, 17:00 local time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Document precedence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Signed change order; clauses; schedules; explanatory figures</w:t>
            </w:r>
          </w:p>
        </w:tc>
      </w:tr>
    </w:tbl>
    <w:p>
      <w:pPr>
        <w:pStyle w:val="Heading2"/>
        <w:spacing w:before="448"/>
      </w:pPr>
      <w:r>
        <w:t>Using this agreement</w:t>
      </w:r>
    </w:p>
    <w:p>
      <w:r>
        <w:t>Clauses 1-8 set the delivery obligations. Schedules A-C define prices, response windows and evidence requirements. Appendix D contains the acceptance form and Appendix E records the approved change procedure.</w:t>
      </w:r>
    </w:p>
    <w:p>
      <w:r>
        <w:t xml:space="preserve">Navigation: scope and access (page </w:t>
      </w:r>
      <w:r>
        <w:fldChar w:fldCharType="begin"/>
      </w:r>
      <w:r>
        <w:instrText xml:space="preserve"> PAGEREF Sec_Scope \h </w:instrText>
      </w:r>
      <w:r>
        <w:fldChar w:fldCharType="separate"/>
      </w:r>
      <w:r>
        <w:t xml:space="preserve">2</w:t>
      </w:r>
      <w:r>
        <w:fldChar w:fldCharType="end"/>
      </w:r>
      <w:r>
        <w:t xml:space="preserve">); operational responsibilities (page </w:t>
      </w:r>
      <w:r>
        <w:fldChar w:fldCharType="begin"/>
      </w:r>
      <w:r>
        <w:instrText xml:space="preserve"> PAGEREF Sec_Operations \h </w:instrText>
      </w:r>
      <w:r>
        <w:fldChar w:fldCharType="separate"/>
      </w:r>
      <w:r>
        <w:t xml:space="preserve">3</w:t>
      </w:r>
      <w:r>
        <w:fldChar w:fldCharType="end"/>
      </w:r>
      <w:r>
        <w:t xml:space="preserve">); Schedule A, charges (page </w:t>
      </w:r>
      <w:r>
        <w:fldChar w:fldCharType="begin"/>
      </w:r>
      <w:r>
        <w:instrText xml:space="preserve"> PAGEREF Sch_A \h </w:instrText>
      </w:r>
      <w:r>
        <w:fldChar w:fldCharType="separate"/>
      </w:r>
      <w:r>
        <w:t xml:space="preserve">4</w:t>
      </w:r>
      <w:r>
        <w:fldChar w:fldCharType="end"/>
      </w:r>
      <w:r>
        <w:t xml:space="preserve">); Schedule B, service windows (page </w:t>
      </w:r>
      <w:r>
        <w:fldChar w:fldCharType="begin"/>
      </w:r>
      <w:r>
        <w:instrText xml:space="preserve"> PAGEREF Sch_B \h </w:instrText>
      </w:r>
      <w:r>
        <w:fldChar w:fldCharType="separate"/>
      </w:r>
      <w:r>
        <w:t xml:space="preserve">5</w:t>
      </w:r>
      <w:r>
        <w:fldChar w:fldCharType="end"/>
      </w:r>
      <w:r>
        <w:t xml:space="preserve">); Schedule C, evidence (page </w:t>
      </w:r>
      <w:r>
        <w:fldChar w:fldCharType="begin"/>
      </w:r>
      <w:r>
        <w:instrText xml:space="preserve"> PAGEREF Sch_C \h </w:instrText>
      </w:r>
      <w:r>
        <w:fldChar w:fldCharType="separate"/>
      </w:r>
      <w:r>
        <w:t xml:space="preserve">6</w:t>
      </w:r>
      <w:r>
        <w:fldChar w:fldCharType="end"/>
      </w:r>
      <w:r>
        <w:t xml:space="preserve">); Appendix D, acceptance (page </w:t>
      </w:r>
      <w:r>
        <w:fldChar w:fldCharType="begin"/>
      </w:r>
      <w:r>
        <w:instrText xml:space="preserve"> PAGEREF App_D \h </w:instrText>
      </w:r>
      <w:r>
        <w:fldChar w:fldCharType="separate"/>
      </w:r>
      <w:r>
        <w:t xml:space="preserve">7</w:t>
      </w:r>
      <w:r>
        <w:fldChar w:fldCharType="end"/>
      </w:r>
      <w:r>
        <w:t xml:space="preserve">); Appendix E, changes and execution (page </w:t>
      </w:r>
      <w:r>
        <w:fldChar w:fldCharType="begin"/>
      </w:r>
      <w:r>
        <w:instrText xml:space="preserve"> PAGEREF App_E \h </w:instrText>
      </w:r>
      <w:r>
        <w:fldChar w:fldCharType="separate"/>
      </w:r>
      <w:r>
        <w:t xml:space="preserve">8</w:t>
      </w:r>
      <w:r>
        <w:fldChar w:fldCharType="end"/>
      </w:r>
      <w:r>
        <w:t>).</w:t>
      </w:r>
    </w:p>
    <w:p>
      <w:pPr>
        <w:pStyle w:val="Heading2"/>
      </w:pPr>
      <w:r>
        <w:t>Controlled-copy notice</w:t>
      </w:r>
    </w:p>
    <w:p>
      <w:r>
        <w:t>All organisations, contacts and operational records in this agreement are fictional. Blank signature fields are intentional. A blank field is not evidence of approval.</w:t>
      </w:r>
    </w:p>
    <w:p>
      <w:pPr>
        <w:pStyle w:val="Heading1"/>
        <w:pageBreakBefore/>
      </w:pPr>
      <w:bookmarkStart w:id="100" w:name="Sec_Scope"/>
      <w:r>
        <w:t>1  Scope, access and delivery</w:t>
      </w:r>
      <w:bookmarkEnd w:id="100"/>
    </w:p>
    <w:p>
      <w:pPr>
        <w:pStyle w:val="Clause"/>
      </w:pPr>
      <w:r>
        <w:rPr>
          <w:b/>
        </w:rPr>
        <w:t xml:space="preserve">Covered assets. </w:t>
      </w:r>
      <w:r>
        <w:t xml:space="preserve">The supplier shall monitor the listed sensors, inspect alert histories and issue one monthly service record for each site. Physical replacement of plant is excluded unless separately authorised under clause </w:t>
      </w:r>
      <w:r>
        <w:fldChar w:fldCharType="begin"/>
      </w:r>
      <w:r>
        <w:instrText xml:space="preserve"> REF Clause_Changes \n \h </w:instrText>
      </w:r>
      <w:r>
        <w:fldChar w:fldCharType="separate"/>
      </w:r>
      <w:r>
        <w:t xml:space="preserve">8</w:t>
      </w:r>
      <w:r>
        <w:fldChar w:fldCharType="end"/>
      </w:r>
      <w:r>
        <w:t>.</w:t>
      </w:r>
    </w:p>
    <w:p>
      <w:pPr>
        <w:pStyle w:val="Clause"/>
      </w:pPr>
      <w:r>
        <w:rPr>
          <w:b/>
        </w:rPr>
        <w:t xml:space="preserve">Access readiness. </w:t>
      </w:r>
      <w:r>
        <w:t>The client shall provide a named escort and safe access during the agreed service window. An unsuccessful visit caused by denied access is rescheduled once without a second call-out charge; the original response clock is paused only for the documented access delay.</w:t>
      </w:r>
    </w:p>
    <w:p>
      <w:pPr>
        <w:pStyle w:val="Clause"/>
      </w:pPr>
      <w:r>
        <w:rPr>
          <w:b/>
        </w:rPr>
        <w:t xml:space="preserve">Priority assessment. </w:t>
      </w:r>
      <w:r>
        <w:t>Priority is determined by operational impact, not by the number of alerts. A fire-system interface alert is escalated immediately to the client duty officer; this agreement does not replace emergency services.</w:t>
      </w:r>
    </w:p>
    <w:p>
      <w:pPr>
        <w:pStyle w:val="Clause"/>
      </w:pPr>
      <w:r>
        <w:rPr>
          <w:b/>
        </w:rPr>
        <w:t xml:space="preserve">Completion evidence. </w:t>
      </w:r>
      <w:r>
        <w:t>A job is complete only when the service record identifies the asset, arrival time, action taken and verification reading. A photograph without an asset reference is insufficient.</w:t>
      </w:r>
    </w:p>
    <w:p>
      <w:pPr>
        <w:pStyle w:val="Heading2"/>
      </w:pPr>
      <w:r>
        <w:t>Definitions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/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Term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Meaning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Acknowledgement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A human response confirming ownership of the incident.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Attendance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A qualified operative reaches the nominated site reception.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Restoration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The asset is returned to service or a client-approved safe workaround is active.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Business day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Monday-Friday, excluding the public holidays stated in Schedule B.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Service record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One auditable record per job, including any linked follow-up visit.</w:t>
            </w:r>
          </w:p>
        </w:tc>
      </w:tr>
    </w:tbl>
    <w:p>
      <w:pPr>
        <w:spacing w:before="388"/>
      </w:pPr>
      <w:r>
        <w:t xml:space="preserve">An acknowledgement is not attendance. Meeting an acknowledgement target does not stop the attendance clock. </w:t>
      </w:r>
      <w:hyperlink w:anchor="Sch_B" w:history="1">
        <w:r>
          <w:t xml:space="preserve">Schedule B</w:t>
        </w:r>
      </w:hyperlink>
      <w:r>
        <w:t xml:space="preserve"> defines the separate targets.</w:t>
      </w:r>
    </w:p>
    <w:p>
      <w:pPr>
        <w:pStyle w:val="Heading2"/>
      </w:pPr>
      <w:r>
        <w:t>Boundary example</w:t>
      </w:r>
    </w:p>
    <w:p>
      <w:r>
        <w:t>If a critical alert arrives at 16:50 and the operative arrives at 18:10, attendance is 80 elapsed minutes. It is not measured from the next business day. A separate routine request received at the same time follows the routine window.</w:t>
      </w:r>
    </w:p>
    <w:p>
      <w:pPr>
        <w:pStyle w:val="Heading1"/>
        <w:pageBreakBefore/>
      </w:pPr>
      <w:bookmarkStart w:id="101" w:name="Sec_Operations"/>
      <w:r>
        <w:t>2  Operational responsibilities</w:t>
      </w:r>
      <w:bookmarkEnd w:id="101"/>
    </w:p>
    <w:p>
      <w:pPr>
        <w:sectPr>
          <w:headerReference w:type="default" r:id="rId10"/>
          <w:footerReference w:type="default" r:id="rId11"/>
          <w:pgSz w:w="11906" w:h="16838"/>
          <w:pgMar w:top="979" w:right="1037" w:bottom="1037" w:left="1037" w:header="432" w:footer="432" w:gutter="0"/>
          <w:cols w:space="720"/>
          <w:docGrid w:linePitch="360"/>
        </w:sectPr>
      </w:pPr>
    </w:p>
    <w:p>
      <w:pPr>
        <w:pStyle w:val="Heading2"/>
      </w:pPr>
      <w:r>
        <w:t>Supplier obligations</w:t>
      </w:r>
    </w:p>
    <w:p>
      <w:pPr>
        <w:pStyle w:val="Clause"/>
      </w:pPr>
      <w:r>
        <w:rPr>
          <w:b/>
        </w:rPr>
        <w:t xml:space="preserve">Competence and cover. </w:t>
      </w:r>
      <w:r>
        <w:t>HFS shall maintain an on-call roster and provide replacement cover when an assigned operative becomes unavailable. Subcontracting does not transfer responsibility for evidence or response times.</w:t>
      </w:r>
    </w:p>
    <w:p>
      <w:r>
        <w:t>Each operative carries a current site induction record. Remote advice may support an attendance but cannot replace an expressly required physical inspection.</w:t>
      </w:r>
    </w:p>
    <w:p>
      <w:pPr>
        <w:pStyle w:val="Heading2"/>
      </w:pPr>
      <w:r>
        <w:t>Client obligations</w:t>
      </w:r>
    </w:p>
    <w:p>
      <w:pPr>
        <w:pStyle w:val="Clause"/>
      </w:pPr>
      <w:r>
        <w:rPr>
          <w:b/>
        </w:rPr>
        <w:t xml:space="preserve">Site information. </w:t>
      </w:r>
      <w:r>
        <w:t>MCE shall maintain the access register, nominate a duty officer and disclose planned closures. The supplier must confirm receipt of a closure notice.</w:t>
      </w:r>
    </w:p>
    <w:p>
      <w:r>
        <w:t>Known closures are listed against a site, not inferred from another site's timetable. The library and depot do not share a public-entry policy.</w:t>
      </w:r>
    </w:p>
    <w:p>
      <w:pPr>
        <w:pStyle w:val="Heading2"/>
        <w:spacing w:before="446"/>
      </w:pPr>
      <w:r>
        <w:br w:type="column"/>
      </w:r>
      <w:r>
        <w:t>Joint review</w:t>
      </w:r>
    </w:p>
    <w:p>
      <w:pPr>
        <w:pStyle w:val="Clause"/>
      </w:pPr>
      <w:r>
        <w:rPr>
          <w:b/>
        </w:rPr>
        <w:t xml:space="preserve">Monthly review. </w:t>
      </w:r>
      <w:r>
        <w:t>Both parties shall reconcile open jobs, disputed charges and repeat alerts by the fifth business day of the following month. A disputed charge is held outside the undisputed monthly amount.</w:t>
      </w:r>
    </w:p>
    <w:p>
      <w:r>
        <w:t>The review pack includes a list of unresolved items with named owners. Silence after circulation does not constitute acceptance of an unresolved charge.</w:t>
      </w:r>
    </w:p>
    <w:p>
      <w:pPr>
        <w:pStyle w:val="Heading2"/>
      </w:pPr>
      <w:r>
        <w:t>Change control</w:t>
      </w:r>
    </w:p>
    <w:p>
      <w:pPr>
        <w:pStyle w:val="Clause"/>
      </w:pPr>
      <w:bookmarkStart w:id="102" w:name="Clause_Changes"/>
      <w:r>
        <w:rPr>
          <w:b/>
        </w:rPr>
        <w:t xml:space="preserve">Authorised changes. </w:t>
      </w:r>
      <w:r>
        <w:t xml:space="preserve">Only the named commercial signatories may vary scope or price. An operative's service note is not a purchase order. Use the process in </w:t>
      </w:r>
      <w:hyperlink w:anchor="App_E" w:history="1">
        <w:r>
          <w:t xml:space="preserve">Appendix E</w:t>
        </w:r>
      </w:hyperlink>
      <w:r>
        <w:t xml:space="preserve"> before undertaking chargeable additional work.</w:t>
      </w:r>
      <w:bookmarkEnd w:id="102"/>
    </w:p>
    <w:p>
      <w:r>
        <w:t>Urgent safety action may proceed to make an asset safe, but permanent replacement still requires separate written approval. Record the boundary between the two.</w:t>
      </w:r>
    </w:p>
    <w:p>
      <w:pPr>
        <w:pStyle w:val="Heading2"/>
      </w:pPr>
      <w:r>
        <w:t>Escalation contacts</w:t>
      </w:r>
    </w:p>
    <w:p>
      <w:r>
        <w:t>Client duty desk: civic-duty@example.invalid</w:t>
      </w:r>
      <w:r>
        <w:br/>
      </w:r>
      <w:r>
        <w:t>Supplier dispatcher: dispatch@example.invalid</w:t>
      </w:r>
      <w:r>
        <w:br/>
      </w:r>
      <w:r>
        <w:t>Commercial review: procurement@example.invalid</w:t>
      </w:r>
    </w:p>
    <w:p>
      <w:pPr>
        <w:sectPr>
          <w:type w:val="continuous"/>
          <w:pgSz w:w="11906" w:h="16838"/>
          <w:pgMar w:top="979" w:right="1037" w:bottom="1037" w:left="1037" w:header="432" w:footer="432" w:gutter="0"/>
          <w:cols w:num="2" w:space="408"/>
          <w:docGrid w:linePitch="360"/>
        </w:sectPr>
      </w:pPr>
    </w:p>
    <w:p>
      <w:pPr>
        <w:pStyle w:val="Heading1"/>
      </w:pPr>
      <w:bookmarkStart w:id="103" w:name="Sch_A"/>
      <w:r>
        <w:t>Schedule A  Charges and payment</w:t>
      </w:r>
      <w:bookmarkEnd w:id="103"/>
    </w:p>
    <w:p>
      <w:r>
        <w:t>All amounts are in GBP and exclude tax unless explicitly stated. Quantities are contractual units, not forecasts. The credit is deducted before tax.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1966"/>
        <w:gridCol w:w="1966"/>
        <w:gridCol w:w="1966"/>
        <w:gridCol w:w="1966"/>
        <w:gridCol w:w="1966"/>
      </w:tblGrid>
      <w:tr>
        <w:trPr>
          <w:tblHeader/>
          <w:cantSplit/>
        </w:trPr>
        <w:tc>
          <w:tcPr>
            <w:tcW w:type="dxa" w:w="1966"/>
          </w:tcPr>
          <w:p>
            <w:pPr>
              <w:pStyle w:val="TableText"/>
            </w:pPr>
            <w:r>
              <w:t>Category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Service / item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Qty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Unit price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Line total</w:t>
            </w:r>
          </w:p>
        </w:tc>
      </w:tr>
      <w:tr>
        <w:trPr>
          <w:cantSplit/>
        </w:trPr>
        <w:tc>
          <w:tcPr>
            <w:tcW w:type="dxa" w:w="1966"/>
            <w:vMerge w:val="restart"/>
          </w:tcPr>
          <w:p>
            <w:pPr>
              <w:pStyle w:val="TableText"/>
            </w:pPr>
            <w:r>
              <w:rPr>
                <w:sz w:val="20"/>
              </w:rPr>
              <w:t>Recurring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Monthly monitoring - three sites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2,400.00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28,800.00</w:t>
            </w:r>
          </w:p>
        </w:tc>
      </w:tr>
      <w:tr>
        <w:trPr>
          <w:cantSplit/>
        </w:trPr>
        <w:tc>
          <w:tcPr>
            <w:tcW w:type="dxa" w:w="1966"/>
            <w:vMerge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  <w:tc>
          <w:tcPr>
            <w:tcW w:type="dxa" w:w="1966"/>
          </w:tcPr>
          <w:p>
            <w:pPr>
              <w:pStyle w:val="TableText"/>
            </w:pPr>
            <w:r>
              <w:t>Remote sensor calibration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750.00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4,500.00</w:t>
            </w:r>
          </w:p>
        </w:tc>
      </w:tr>
      <w:tr>
        <w:trPr>
          <w:cantSplit/>
        </w:trPr>
        <w:tc>
          <w:tcPr>
            <w:tcW w:type="dxa" w:w="1966"/>
          </w:tcPr>
          <w:p>
            <w:pPr>
              <w:pStyle w:val="TableText"/>
            </w:pPr>
            <w:r>
              <w:t>Mobilisation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Site onboarding and induction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1,800.00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5,400.00</w:t>
            </w:r>
          </w:p>
        </w:tc>
      </w:tr>
      <w:tr>
        <w:trPr>
          <w:cantSplit/>
        </w:trPr>
        <w:tc>
          <w:tcPr>
            <w:tcW w:type="dxa" w:w="1966"/>
          </w:tcPr>
          <w:p>
            <w:pPr>
              <w:pStyle w:val="TableText"/>
            </w:pPr>
            <w:r>
              <w:t>Adjustment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Transition credit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(900.00)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(900.00)</w:t>
            </w:r>
          </w:p>
        </w:tc>
      </w:tr>
      <w:tr>
        <w:trPr>
          <w:cantSplit/>
        </w:trPr>
        <w:tc>
          <w:tcPr>
            <w:tcW w:type="dxa" w:w="1966"/>
            <w:vMerge w:val="restart"/>
          </w:tcPr>
          <w:p>
            <w:pPr>
              <w:pStyle w:val="TableText"/>
            </w:pPr>
            <w:r>
              <w:rPr>
                <w:sz w:val="20"/>
              </w:rPr>
              <w:t>Summary</w:t>
            </w:r>
          </w:p>
        </w:tc>
        <w:tc>
          <w:tcPr>
            <w:tcW w:type="dxa" w:w="1966"/>
          </w:tcPr>
          <w:p>
            <w:pPr>
              <w:pStyle w:val="TableText"/>
            </w:pPr>
            <w:r>
              <w:t>Net contract value</w:t>
            </w:r>
          </w:p>
        </w:tc>
        <w:tc>
          <w:tcPr>
            <w:tcW w:type="dxa" w:w="196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  <w:tc>
          <w:tcPr>
            <w:tcW w:type="dxa" w:w="196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  <w:tc>
          <w:tcPr>
            <w:tcW w:type="dxa" w:w="1966"/>
          </w:tcPr>
          <w:p>
            <w:pPr>
              <w:pStyle w:val="TableText"/>
            </w:pPr>
            <w:r>
              <w:t>37,800.00</w:t>
            </w:r>
          </w:p>
        </w:tc>
      </w:tr>
      <w:tr>
        <w:trPr>
          <w:cantSplit/>
        </w:trPr>
        <w:tc>
          <w:tcPr>
            <w:tcW w:type="dxa" w:w="1966"/>
            <w:vMerge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  <w:tc>
          <w:tcPr>
            <w:tcW w:type="dxa" w:w="1966"/>
          </w:tcPr>
          <w:p>
            <w:pPr>
              <w:pStyle w:val="TableText"/>
            </w:pPr>
            <w:r>
              <w:t>VAT at 20%</w:t>
            </w:r>
          </w:p>
        </w:tc>
        <w:tc>
          <w:tcPr>
            <w:tcW w:type="dxa" w:w="196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  <w:tc>
          <w:tcPr>
            <w:tcW w:type="dxa" w:w="196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  <w:tc>
          <w:tcPr>
            <w:tcW w:type="dxa" w:w="1966"/>
          </w:tcPr>
          <w:p>
            <w:pPr>
              <w:pStyle w:val="TableText"/>
            </w:pPr>
            <w:r>
              <w:t>7,560.00</w:t>
            </w:r>
          </w:p>
        </w:tc>
      </w:tr>
      <w:tr>
        <w:trPr>
          <w:cantSplit/>
        </w:trPr>
        <w:tc>
          <w:tcPr>
            <w:tcW w:type="dxa" w:w="1966"/>
            <w:vMerge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  <w:tc>
          <w:tcPr>
            <w:tcW w:type="dxa" w:w="1966"/>
          </w:tcPr>
          <w:p>
            <w:pPr>
              <w:pStyle w:val="TableText"/>
            </w:pPr>
            <w:r>
              <w:t>Total including VAT</w:t>
            </w:r>
          </w:p>
        </w:tc>
        <w:tc>
          <w:tcPr>
            <w:tcW w:type="dxa" w:w="196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  <w:tc>
          <w:tcPr>
            <w:tcW w:type="dxa" w:w="196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  <w:tc>
          <w:tcPr>
            <w:tcW w:type="dxa" w:w="1966"/>
          </w:tcPr>
          <w:p>
            <w:pPr>
              <w:pStyle w:val="TableText"/>
            </w:pPr>
            <w:r>
              <w:t>45,360.00</w:t>
            </w:r>
          </w:p>
        </w:tc>
      </w:tr>
    </w:tbl>
    <w:p>
      <w:pPr>
        <w:pStyle w:val="Heading2"/>
        <w:spacing w:before="448"/>
      </w:pPr>
      <w:r>
        <w:t>Charge rules</w:t>
      </w:r>
    </w:p>
    <w:p>
      <w:r>
        <w:t>A routine call-out outside the base scope is GBP 145.00 per authorised attendance. The first 45 minutes are included; subsequent time is GBP 22.50 per completed 15-minute block.</w:t>
      </w:r>
      <w:r>
        <w:rPr>
          <w:rStyle w:val="FootnoteReference"/>
        </w:rPr>
        <w:footnoteReference w:id="1"/>
      </w:r>
    </w:p>
    <w:p>
      <w:r>
        <w:t>Travel within the three named sites is included. Materials require an itemised approval and are charged at evidenced cost without a handling uplift.</w:t>
      </w:r>
    </w:p>
    <w:p>
      <w:pPr>
        <w:pStyle w:val="Heading2"/>
      </w:pPr>
      <w:r>
        <w:t>Invoice example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/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Entry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Amount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Base monthly monitoring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2,400.00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One authorised call-out, 75 minutes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190.00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Net invoice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2,590.00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VAT at 20%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518.00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Payable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3,108.00</w:t>
            </w:r>
          </w:p>
        </w:tc>
      </w:tr>
    </w:tbl>
    <w:p>
      <w:pPr>
        <w:spacing w:before="388"/>
      </w:pPr>
      <w:r>
        <w:t>Payment is due 30 calendar days after receipt of a valid invoice. A credit must remain a deduction; parentheses do not indicate an optional amount.</w:t>
      </w:r>
    </w:p>
    <w:p>
      <w:pPr>
        <w:sectPr>
          <w:pgSz w:w="11906" w:h="16838"/>
          <w:pgMar w:top="979" w:right="1037" w:bottom="1037" w:left="1037" w:header="432" w:footer="432" w:gutter="0"/>
          <w:cols w:num="1" w:space="720"/>
          <w:docGrid w:linePitch="360"/>
        </w:sectPr>
      </w:pPr>
    </w:p>
    <w:p>
      <w:pPr>
        <w:pStyle w:val="Heading1"/>
      </w:pPr>
      <w:bookmarkStart w:id="104" w:name="Sch_B"/>
      <w:r>
        <w:t>Schedule B  Service windows and response targets</w:t>
      </w:r>
      <w:bookmarkEnd w:id="104"/>
    </w:p>
    <w:p>
      <w:r>
        <w:t>Targets are measured separately. Critical incidents use elapsed time at all sites. Routine work follows the applicable site window. All times are local.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/>
          <w:cantSplit/>
        </w:trPr>
        <w:tc>
          <w:tcPr>
            <w:tcW w:type="dxa" w:w="2109"/>
          </w:tcPr>
          <w:p>
            <w:pPr>
              <w:pStyle w:val="TableText"/>
            </w:pPr>
            <w:r>
              <w:t>Site / coverage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Window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Critical: acknowledge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Critical: attend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Routine: acknowledge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Routine: attend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Exception</w:t>
            </w:r>
          </w:p>
        </w:tc>
      </w:tr>
      <w:tr>
        <w:trPr>
          <w:cantSplit/>
        </w:trPr>
        <w:tc>
          <w:tcPr>
            <w:tcW w:type="dxa" w:w="2109"/>
          </w:tcPr>
          <w:p>
            <w:pPr>
              <w:pStyle w:val="TableText"/>
            </w:pPr>
            <w:r>
              <w:t>Northgate Library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Mon-Sat 08:00-20:00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15 min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90 min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2 service hours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Next service day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Public desk escort required</w:t>
            </w:r>
          </w:p>
        </w:tc>
      </w:tr>
      <w:tr>
        <w:trPr>
          <w:cantSplit/>
        </w:trPr>
        <w:tc>
          <w:tcPr>
            <w:tcW w:type="dxa" w:w="2109"/>
          </w:tcPr>
          <w:p>
            <w:pPr>
              <w:pStyle w:val="TableText"/>
            </w:pPr>
            <w:r>
              <w:t>Canal House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Mon-Fri 07:00-19:00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15 min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120 min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4 service hours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Within 2 service days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Loading bay closes 16:00</w:t>
            </w:r>
          </w:p>
        </w:tc>
      </w:tr>
      <w:tr>
        <w:trPr>
          <w:cantSplit/>
        </w:trPr>
        <w:tc>
          <w:tcPr>
            <w:tcW w:type="dxa" w:w="2109"/>
          </w:tcPr>
          <w:p>
            <w:pPr>
              <w:pStyle w:val="TableText"/>
            </w:pPr>
            <w:r>
              <w:t>Eastbank Depot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Mon-Sun 06:00-22:00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10 min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60 min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1 service hour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Same service day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Vehicle gate code via duty desk</w:t>
            </w:r>
          </w:p>
        </w:tc>
      </w:tr>
      <w:tr>
        <w:trPr>
          <w:cantSplit/>
        </w:trPr>
        <w:tc>
          <w:tcPr>
            <w:tcW w:type="dxa" w:w="2109"/>
          </w:tcPr>
          <w:p>
            <w:pPr>
              <w:pStyle w:val="TableText"/>
            </w:pPr>
            <w:r>
              <w:t>All sites: critical cover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24 hours, every day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As above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As above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Not applicable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Not applicable</w:t>
            </w:r>
          </w:p>
        </w:tc>
        <w:tc>
          <w:tcPr>
            <w:tcW w:type="dxa" w:w="2109"/>
          </w:tcPr>
          <w:p>
            <w:pPr>
              <w:pStyle w:val="TableText"/>
            </w:pPr>
            <w:r>
              <w:t>No holiday suspension</w:t>
            </w:r>
          </w:p>
        </w:tc>
      </w:tr>
    </w:tbl>
    <w:p>
      <w:pPr>
        <w:pStyle w:val="Heading2"/>
        <w:spacing w:before="448"/>
      </w:pPr>
      <w:r>
        <w:t>Planned exceptions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3691"/>
        <w:gridCol w:w="3691"/>
        <w:gridCol w:w="3691"/>
        <w:gridCol w:w="3691"/>
      </w:tblGrid>
      <w:tr>
        <w:trPr>
          <w:tblHeader/>
          <w:cantSplit/>
        </w:trPr>
        <w:tc>
          <w:tcPr>
            <w:tcW w:type="dxa" w:w="3691"/>
          </w:tcPr>
          <w:p>
            <w:pPr>
              <w:pStyle w:val="TableText"/>
            </w:pPr>
            <w:r>
              <w:t>Date</w:t>
            </w:r>
          </w:p>
        </w:tc>
        <w:tc>
          <w:tcPr>
            <w:tcW w:type="dxa" w:w="3691"/>
          </w:tcPr>
          <w:p>
            <w:pPr>
              <w:pStyle w:val="TableText"/>
            </w:pPr>
            <w:r>
              <w:t>Site</w:t>
            </w:r>
          </w:p>
        </w:tc>
        <w:tc>
          <w:tcPr>
            <w:tcW w:type="dxa" w:w="3691"/>
          </w:tcPr>
          <w:p>
            <w:pPr>
              <w:pStyle w:val="TableText"/>
            </w:pPr>
            <w:r>
              <w:t>Effect on routine service</w:t>
            </w:r>
          </w:p>
        </w:tc>
        <w:tc>
          <w:tcPr>
            <w:tcW w:type="dxa" w:w="3691"/>
          </w:tcPr>
          <w:p>
            <w:pPr>
              <w:pStyle w:val="TableText"/>
            </w:pPr>
            <w:r>
              <w:t>Critical service</w:t>
            </w:r>
          </w:p>
        </w:tc>
      </w:tr>
      <w:tr>
        <w:trPr>
          <w:cantSplit/>
        </w:trPr>
        <w:tc>
          <w:tcPr>
            <w:tcW w:type="dxa" w:w="3691"/>
          </w:tcPr>
          <w:p>
            <w:pPr>
              <w:pStyle w:val="TableText"/>
            </w:pPr>
            <w:r>
              <w:t>31 August 2026</w:t>
            </w:r>
          </w:p>
        </w:tc>
        <w:tc>
          <w:tcPr>
            <w:tcW w:type="dxa" w:w="3691"/>
          </w:tcPr>
          <w:p>
            <w:pPr>
              <w:pStyle w:val="TableText"/>
            </w:pPr>
            <w:r>
              <w:t>Northgate Library; Canal House</w:t>
            </w:r>
          </w:p>
        </w:tc>
        <w:tc>
          <w:tcPr>
            <w:tcW w:type="dxa" w:w="3691"/>
          </w:tcPr>
          <w:p>
            <w:pPr>
              <w:pStyle w:val="TableText"/>
            </w:pPr>
            <w:r>
              <w:t>Closed; routine clock pauses</w:t>
            </w:r>
          </w:p>
        </w:tc>
        <w:tc>
          <w:tcPr>
            <w:tcW w:type="dxa" w:w="3691"/>
          </w:tcPr>
          <w:p>
            <w:pPr>
              <w:pStyle w:val="TableText"/>
            </w:pPr>
            <w:r>
              <w:t>Unchanged</w:t>
            </w:r>
          </w:p>
        </w:tc>
      </w:tr>
      <w:tr>
        <w:trPr>
          <w:cantSplit/>
        </w:trPr>
        <w:tc>
          <w:tcPr>
            <w:tcW w:type="dxa" w:w="3691"/>
          </w:tcPr>
          <w:p>
            <w:pPr>
              <w:pStyle w:val="TableText"/>
            </w:pPr>
            <w:r>
              <w:t>24 December 2026</w:t>
            </w:r>
          </w:p>
        </w:tc>
        <w:tc>
          <w:tcPr>
            <w:tcW w:type="dxa" w:w="3691"/>
          </w:tcPr>
          <w:p>
            <w:pPr>
              <w:pStyle w:val="TableText"/>
            </w:pPr>
            <w:r>
              <w:t>Northgate Library</w:t>
            </w:r>
          </w:p>
        </w:tc>
        <w:tc>
          <w:tcPr>
            <w:tcW w:type="dxa" w:w="3691"/>
          </w:tcPr>
          <w:p>
            <w:pPr>
              <w:pStyle w:val="TableText"/>
            </w:pPr>
            <w:r>
              <w:t>Window ends 14:00</w:t>
            </w:r>
          </w:p>
        </w:tc>
        <w:tc>
          <w:tcPr>
            <w:tcW w:type="dxa" w:w="3691"/>
          </w:tcPr>
          <w:p>
            <w:pPr>
              <w:pStyle w:val="TableText"/>
            </w:pPr>
            <w:r>
              <w:t>Unchanged</w:t>
            </w:r>
          </w:p>
        </w:tc>
      </w:tr>
      <w:tr>
        <w:trPr>
          <w:cantSplit/>
        </w:trPr>
        <w:tc>
          <w:tcPr>
            <w:tcW w:type="dxa" w:w="3691"/>
          </w:tcPr>
          <w:p>
            <w:pPr>
              <w:pStyle w:val="TableText"/>
            </w:pPr>
            <w:r>
              <w:t>25 December 2026</w:t>
            </w:r>
          </w:p>
        </w:tc>
        <w:tc>
          <w:tcPr>
            <w:tcW w:type="dxa" w:w="3691"/>
          </w:tcPr>
          <w:p>
            <w:pPr>
              <w:pStyle w:val="TableText"/>
            </w:pPr>
            <w:r>
              <w:t>All three sites</w:t>
            </w:r>
          </w:p>
        </w:tc>
        <w:tc>
          <w:tcPr>
            <w:tcW w:type="dxa" w:w="3691"/>
          </w:tcPr>
          <w:p>
            <w:pPr>
              <w:pStyle w:val="TableText"/>
            </w:pPr>
            <w:r>
              <w:t>Closed; routine clock pauses</w:t>
            </w:r>
          </w:p>
        </w:tc>
        <w:tc>
          <w:tcPr>
            <w:tcW w:type="dxa" w:w="3691"/>
          </w:tcPr>
          <w:p>
            <w:pPr>
              <w:pStyle w:val="TableText"/>
            </w:pPr>
            <w:r>
              <w:t>Unchanged</w:t>
            </w:r>
          </w:p>
        </w:tc>
      </w:tr>
      <w:tr>
        <w:trPr>
          <w:cantSplit/>
        </w:trPr>
        <w:tc>
          <w:tcPr>
            <w:tcW w:type="dxa" w:w="3691"/>
          </w:tcPr>
          <w:p>
            <w:pPr>
              <w:pStyle w:val="TableText"/>
            </w:pPr>
            <w:r>
              <w:t>26 December 2026</w:t>
            </w:r>
          </w:p>
        </w:tc>
        <w:tc>
          <w:tcPr>
            <w:tcW w:type="dxa" w:w="3691"/>
          </w:tcPr>
          <w:p>
            <w:pPr>
              <w:pStyle w:val="TableText"/>
            </w:pPr>
            <w:r>
              <w:t>Eastbank Depot</w:t>
            </w:r>
          </w:p>
        </w:tc>
        <w:tc>
          <w:tcPr>
            <w:tcW w:type="dxa" w:w="3691"/>
          </w:tcPr>
          <w:p>
            <w:pPr>
              <w:pStyle w:val="TableText"/>
            </w:pPr>
            <w:r>
              <w:t>Window 08:00-16:00</w:t>
            </w:r>
          </w:p>
        </w:tc>
        <w:tc>
          <w:tcPr>
            <w:tcW w:type="dxa" w:w="3691"/>
          </w:tcPr>
          <w:p>
            <w:pPr>
              <w:pStyle w:val="TableText"/>
            </w:pPr>
            <w:r>
              <w:t>Unchanged</w:t>
            </w:r>
          </w:p>
        </w:tc>
      </w:tr>
    </w:tbl>
    <w:p>
      <w:pPr>
        <w:spacing w:before="388"/>
      </w:pPr>
      <w:r>
        <w:t>Example: a routine Canal House request received Friday at 18:30 has 30 service minutes accrued by 19:00. Its remaining acknowledgement allowance resumes in the next open window. This example does not change the critical targets.</w:t>
      </w:r>
    </w:p>
    <w:p>
      <w:pPr>
        <w:sectPr>
          <w:pgSz w:w="16838" w:h="11906" w:orient="landscape"/>
          <w:pgMar w:top="979" w:right="1037" w:bottom="1037" w:left="1037" w:header="432" w:footer="432" w:gutter="0"/>
          <w:cols w:num="1" w:space="720"/>
          <w:docGrid w:linePitch="360"/>
        </w:sectPr>
      </w:pPr>
    </w:p>
    <w:p>
      <w:pPr>
        <w:pStyle w:val="Heading1"/>
      </w:pPr>
      <w:bookmarkStart w:id="105" w:name="Sch_C"/>
      <w:r>
        <w:t>Schedule C  Evidence and service review</w:t>
      </w:r>
      <w:bookmarkEnd w:id="105"/>
    </w:p>
    <w:p>
      <w:r>
        <w:t>Each record must connect the reported condition to the action and the verified outcome. A closed status without evidence is reopened for review.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/>
          <w:cantSplit/>
        </w:trPr>
        <w:tc>
          <w:tcPr>
            <w:tcW w:type="dxa" w:w="3277"/>
          </w:tcPr>
          <w:p>
            <w:pPr>
              <w:pStyle w:val="TableText"/>
            </w:pPr>
            <w:r>
              <w:t>Stage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Required evidence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Accountable party</w:t>
            </w:r>
          </w:p>
        </w:tc>
      </w:tr>
      <w:tr>
        <w:trPr>
          <w:cantSplit/>
        </w:trPr>
        <w:tc>
          <w:tcPr>
            <w:tcW w:type="dxa" w:w="3277"/>
          </w:tcPr>
          <w:p>
            <w:pPr>
              <w:pStyle w:val="TableText"/>
            </w:pPr>
            <w:r>
              <w:t>Receive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Timestamp; reporter; site; asset; assessed priority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Dispatcher</w:t>
            </w:r>
          </w:p>
        </w:tc>
      </w:tr>
      <w:tr>
        <w:trPr>
          <w:cantSplit/>
        </w:trPr>
        <w:tc>
          <w:tcPr>
            <w:tcW w:type="dxa" w:w="3277"/>
          </w:tcPr>
          <w:p>
            <w:pPr>
              <w:pStyle w:val="TableText"/>
            </w:pPr>
            <w:r>
              <w:t>Attend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Arrival and departure; escort; access delay if any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Operative</w:t>
            </w:r>
          </w:p>
        </w:tc>
      </w:tr>
      <w:tr>
        <w:trPr>
          <w:cantSplit/>
        </w:trPr>
        <w:tc>
          <w:tcPr>
            <w:tcW w:type="dxa" w:w="3277"/>
          </w:tcPr>
          <w:p>
            <w:pPr>
              <w:pStyle w:val="TableText"/>
            </w:pPr>
            <w:r>
              <w:t>Verify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Reading before/after; test method; workaround limitations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Operative</w:t>
            </w:r>
          </w:p>
        </w:tc>
      </w:tr>
      <w:tr>
        <w:trPr>
          <w:cantSplit/>
        </w:trPr>
        <w:tc>
          <w:tcPr>
            <w:tcW w:type="dxa" w:w="3277"/>
          </w:tcPr>
          <w:p>
            <w:pPr>
              <w:pStyle w:val="TableText"/>
            </w:pPr>
            <w:r>
              <w:t>Review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Acceptance decision; exceptions; follow-up owner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Client reviewer</w:t>
            </w:r>
          </w:p>
        </w:tc>
      </w:tr>
    </w:tbl>
    <w:p>
      <w:pPr>
        <w:pStyle w:val="Heading2"/>
        <w:spacing w:before="448"/>
      </w:pPr>
      <w:bookmarkStart w:id="106" w:name="Figure_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>. Evidence handover</w:t>
      </w:r>
      <w:bookmarkEnd w:id="106"/>
    </w:p>
    <w:p>
      <w:pPr>
        <w:pStyle w:val="Figure"/>
      </w:pPr>
      <w:r>
        <w:drawing>
          <wp:inline xmlns:a="http://schemas.openxmlformats.org/drawingml/2006/main" xmlns:pic="http://schemas.openxmlformats.org/drawingml/2006/picture">
            <wp:extent cx="6126479" cy="1276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79" cy="127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8"/>
      </w:pPr>
      <w:r>
        <w:t>The arrows represent the evidence handover, not a guarantee that each stage is accepted. A reviewer can return a record to verification.</w:t>
      </w:r>
    </w:p>
    <w:p>
      <w:pPr>
        <w:pStyle w:val="Heading2"/>
        <w:spacing w:before="168"/>
      </w:pPr>
      <w:bookmarkStart w:id="107" w:name="Figure_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2</w:t>
      </w:r>
      <w:r>
        <w:fldChar w:fldCharType="end"/>
      </w:r>
      <w:r>
        <w:t>. Illustrative monthly outcomes</w:t>
      </w:r>
      <w:bookmarkEnd w:id="107"/>
    </w:p>
    <w:p>
      <w:pPr>
        <w:pStyle w:val="Figure"/>
      </w:pPr>
      <w:r>
        <w:drawing>
          <wp:inline xmlns:a="http://schemas.openxmlformats.org/drawingml/2006/main" xmlns:pic="http://schemas.openxmlformats.org/drawingml/2006/picture">
            <wp:extent cx="6126479" cy="170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79" cy="170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8"/>
      </w:pPr>
      <w:r>
        <w:t>Illustration only: 51 records, of which 42 are accepted, 6 returned and 3 open. Returned records are not accepted completions.</w:t>
      </w:r>
    </w:p>
    <w:p>
      <w:pPr>
        <w:pStyle w:val="Heading1"/>
        <w:pageBreakBefore/>
      </w:pPr>
      <w:bookmarkStart w:id="108" w:name="App_D"/>
      <w:r>
        <w:t>Appendix D  Acceptance record</w:t>
      </w:r>
      <w:bookmarkEnd w:id="108"/>
    </w:p>
    <w:p>
      <w:r>
        <w:t>Complete one record for each service job. Leave an unused field blank rather than inserting a fabricated value. This form is part of the editable agreement.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/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Field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Entry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Job reference / site</w:t>
            </w:r>
          </w:p>
        </w:tc>
        <w:tc>
          <w:tcPr>
            <w:tcW w:type="dxa" w:w="491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Asset reference / priority</w:t>
            </w:r>
          </w:p>
        </w:tc>
        <w:tc>
          <w:tcPr>
            <w:tcW w:type="dxa" w:w="491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Reported / attended / completed</w:t>
            </w:r>
          </w:p>
        </w:tc>
        <w:tc>
          <w:tcPr>
            <w:tcW w:type="dxa" w:w="491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Access delay and evidence</w:t>
            </w:r>
          </w:p>
        </w:tc>
        <w:tc>
          <w:tcPr>
            <w:tcW w:type="dxa" w:w="491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Action and verification reading</w:t>
            </w:r>
          </w:p>
        </w:tc>
        <w:tc>
          <w:tcPr>
            <w:tcW w:type="dxa" w:w="491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Workaround and expiry, if used</w:t>
            </w:r>
          </w:p>
        </w:tc>
        <w:tc>
          <w:tcPr>
            <w:tcW w:type="dxa" w:w="491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Evidence file references</w:t>
            </w:r>
          </w:p>
        </w:tc>
        <w:tc>
          <w:tcPr>
            <w:tcW w:type="dxa" w:w="491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Follow-up owner / due date</w:t>
            </w:r>
          </w:p>
        </w:tc>
        <w:tc>
          <w:tcPr>
            <w:tcW w:type="dxa" w:w="491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</w:tr>
    </w:tbl>
    <w:p>
      <w:pPr>
        <w:pStyle w:val="Heading2"/>
        <w:spacing w:before="448"/>
      </w:pPr>
      <w:r>
        <w:t>Reviewer checklist</w:t>
      </w:r>
    </w:p>
    <w:p>
      <w:r>
        <w:t>[ ] The asset and site match the original report.</w:t>
      </w:r>
    </w:p>
    <w:p>
      <w:r>
        <w:t>[ ] The acknowledgement and attendance targets were assessed separately.</w:t>
      </w:r>
    </w:p>
    <w:p>
      <w:r>
        <w:t>[ ] The verification reading supports restoration or the stated workaround.</w:t>
      </w:r>
    </w:p>
    <w:p>
      <w:r>
        <w:t xml:space="preserve">[ ] Any additional charge has an </w:t>
      </w:r>
      <w:hyperlink w:anchor="App_E" w:history="1">
        <w:r>
          <w:t xml:space="preserve">Appendix E</w:t>
        </w:r>
      </w:hyperlink>
      <w:r>
        <w:t xml:space="preserve"> approval reference.</w:t>
      </w:r>
    </w:p>
    <w:p>
      <w:r>
        <w:t>[ ] Outstanding work has an owner and a due date.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/>
          <w:cantSplit/>
        </w:trPr>
        <w:tc>
          <w:tcPr>
            <w:tcW w:type="dxa" w:w="3277"/>
          </w:tcPr>
          <w:p>
            <w:pPr>
              <w:pStyle w:val="TableText"/>
            </w:pPr>
            <w:r>
              <w:t>Decision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Reviewer / date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Reason or condition</w:t>
            </w:r>
          </w:p>
        </w:tc>
      </w:tr>
      <w:tr>
        <w:trPr>
          <w:cantSplit/>
        </w:trPr>
        <w:tc>
          <w:tcPr>
            <w:tcW w:type="dxa" w:w="3277"/>
          </w:tcPr>
          <w:p>
            <w:pPr>
              <w:pStyle w:val="TableText"/>
            </w:pPr>
            <w:r>
              <w:t>Accept / Return / Hold</w:t>
            </w:r>
          </w:p>
        </w:tc>
        <w:tc>
          <w:tcPr>
            <w:tcW w:type="dxa" w:w="3277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  <w:tc>
          <w:tcPr>
            <w:tcW w:type="dxa" w:w="3277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</w:tr>
    </w:tbl>
    <w:p>
      <w:pPr>
        <w:pStyle w:val="Heading2"/>
        <w:spacing w:before="448"/>
      </w:pPr>
      <w:r>
        <w:t>Acceptance boundary</w:t>
      </w:r>
    </w:p>
    <w:p>
      <w:r>
        <w:t>Acceptance of a service record confirms the documented work, not a waiver of unrelated defects. A conditional acceptance must state its condition. A signature without a selected decision is incomplete.</w:t>
      </w:r>
    </w:p>
    <w:p>
      <w:pPr>
        <w:pStyle w:val="Heading1"/>
        <w:pageBreakBefore/>
      </w:pPr>
      <w:bookmarkStart w:id="109" w:name="App_E"/>
      <w:r>
        <w:t>Appendix E  Changes and execution</w:t>
      </w:r>
      <w:bookmarkEnd w:id="109"/>
    </w:p>
    <w:p>
      <w:pPr>
        <w:pStyle w:val="Heading2"/>
      </w:pPr>
      <w:r>
        <w:t>Change procedure</w:t>
      </w:r>
    </w:p>
    <w:p>
      <w:r>
        <w:t>REQUEST  Describe the proposed scope, reason, affected assets and proposed date.</w:t>
      </w:r>
    </w:p>
    <w:p>
      <w:r>
        <w:t xml:space="preserve">ASSESS  Record the net price, tax, service impact and any change to </w:t>
      </w:r>
      <w:hyperlink w:anchor="Sch_B" w:history="1">
        <w:r>
          <w:t xml:space="preserve">Schedule B</w:t>
        </w:r>
      </w:hyperlink>
      <w:r>
        <w:t>.</w:t>
      </w:r>
    </w:p>
    <w:p>
      <w:r>
        <w:t>AUTHORISE  Obtain both commercial signatories before chargeable work starts.</w:t>
      </w:r>
    </w:p>
    <w:p>
      <w:r>
        <w:t>RECORD  Assign a change reference and attach the agreed scope to the service record.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/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Change field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Agreed detail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Change reference</w:t>
            </w:r>
          </w:p>
        </w:tc>
        <w:tc>
          <w:tcPr>
            <w:tcW w:type="dxa" w:w="491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Description and exclusions</w:t>
            </w:r>
          </w:p>
        </w:tc>
        <w:tc>
          <w:tcPr>
            <w:tcW w:type="dxa" w:w="491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Net / tax / total</w:t>
            </w:r>
          </w:p>
        </w:tc>
        <w:tc>
          <w:tcPr>
            <w:tcW w:type="dxa" w:w="491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Effective date and service impact</w:t>
            </w:r>
          </w:p>
        </w:tc>
        <w:tc>
          <w:tcPr>
            <w:tcW w:type="dxa" w:w="491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Client approval / supplier approval</w:t>
            </w:r>
          </w:p>
        </w:tc>
        <w:tc>
          <w:tcPr>
            <w:tcW w:type="dxa" w:w="4916"/>
          </w:tcPr>
          <w:p>
            <w:pPr>
              <w:pStyle w:val="TableText"/>
              <w:rPr>
                <w:sz w:val="20"/>
                <w:szCs w:val="20"/>
              </w:rPr>
            </w:pPr>
          </w:p>
        </w:tc>
      </w:tr>
    </w:tbl>
    <w:p>
      <w:pPr>
        <w:pStyle w:val="Heading2"/>
        <w:spacing w:before="448"/>
      </w:pPr>
      <w:r>
        <w:t>Execution</w:t>
      </w:r>
    </w:p>
    <w:p>
      <w:r>
        <w:t xml:space="preserve">The parties agree to the clauses and schedules in revision 2.1 of MCE-26-041. The authority in clause </w:t>
      </w:r>
      <w:r>
        <w:fldChar w:fldCharType="begin"/>
      </w:r>
      <w:r>
        <w:instrText xml:space="preserve"> REF Clause_Changes \n \h </w:instrText>
      </w:r>
      <w:r>
        <w:fldChar w:fldCharType="separate"/>
      </w:r>
      <w:r>
        <w:t xml:space="preserve">8</w:t>
      </w:r>
      <w:r>
        <w:fldChar w:fldCharType="end"/>
      </w:r>
      <w:r>
        <w:t xml:space="preserve"> does not permit an unsigned form to change the price.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/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For Meridian Civic Estates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For Harborlight Field Services Ltd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Name: ________________________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Name: ________________________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Role: _________________________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Role: _________________________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Signature: _____________________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Signature: _____________________</w:t>
            </w:r>
          </w:p>
        </w:tc>
      </w:tr>
      <w:tr>
        <w:trPr>
          <w:cantSplit/>
        </w:trPr>
        <w:tc>
          <w:tcPr>
            <w:tcW w:type="dxa" w:w="4916"/>
          </w:tcPr>
          <w:p>
            <w:pPr>
              <w:pStyle w:val="TableText"/>
            </w:pPr>
            <w:r>
              <w:t>Date: _________________________</w:t>
            </w:r>
          </w:p>
        </w:tc>
        <w:tc>
          <w:tcPr>
            <w:tcW w:type="dxa" w:w="4916"/>
          </w:tcPr>
          <w:p>
            <w:pPr>
              <w:pStyle w:val="TableText"/>
            </w:pPr>
            <w:r>
              <w:t>Date: _________________________</w:t>
            </w:r>
          </w:p>
        </w:tc>
      </w:tr>
    </w:tbl>
    <w:p>
      <w:pPr>
        <w:pStyle w:val="Heading2"/>
        <w:spacing w:before="448"/>
      </w:pPr>
      <w:r>
        <w:t>Document history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/>
          <w:cantSplit/>
        </w:trPr>
        <w:tc>
          <w:tcPr>
            <w:tcW w:type="dxa" w:w="3277"/>
          </w:tcPr>
          <w:p>
            <w:pPr>
              <w:pStyle w:val="TableText"/>
            </w:pPr>
            <w:r>
              <w:t>Revision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Date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Summary</w:t>
            </w:r>
          </w:p>
        </w:tc>
      </w:tr>
      <w:tr>
        <w:trPr>
          <w:cantSplit/>
        </w:trPr>
        <w:tc>
          <w:tcPr>
            <w:tcW w:type="dxa" w:w="3277"/>
          </w:tcPr>
          <w:p>
            <w:pPr>
              <w:pStyle w:val="TableText"/>
            </w:pPr>
            <w:r>
              <w:t>1.0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2 June 2026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Initial commercial draft</w:t>
            </w:r>
          </w:p>
        </w:tc>
      </w:tr>
      <w:tr>
        <w:trPr>
          <w:cantSplit/>
        </w:trPr>
        <w:tc>
          <w:tcPr>
            <w:tcW w:type="dxa" w:w="3277"/>
          </w:tcPr>
          <w:p>
            <w:pPr>
              <w:pStyle w:val="TableText"/>
            </w:pPr>
            <w:r>
              <w:t>2.0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12 June 2026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Added site-specific routine windows</w:t>
            </w:r>
          </w:p>
        </w:tc>
      </w:tr>
      <w:tr>
        <w:trPr>
          <w:cantSplit/>
        </w:trPr>
        <w:tc>
          <w:tcPr>
            <w:tcW w:type="dxa" w:w="3277"/>
          </w:tcPr>
          <w:p>
            <w:pPr>
              <w:pStyle w:val="TableText"/>
            </w:pPr>
            <w:r>
              <w:t>2.1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18 June 2026</w:t>
            </w:r>
          </w:p>
        </w:tc>
        <w:tc>
          <w:tcPr>
            <w:tcW w:type="dxa" w:w="3277"/>
          </w:tcPr>
          <w:p>
            <w:pPr>
              <w:pStyle w:val="TableText"/>
            </w:pPr>
            <w:r>
              <w:t>Clarified winter access and evidence acceptance</w:t>
            </w:r>
          </w:p>
        </w:tc>
      </w:tr>
    </w:tbl>
    <w:p>
      <w:pPr>
        <w:pStyle w:val="Caption"/>
        <w:spacing w:before="360"/>
      </w:pPr>
      <w:r>
        <w:t>END OF AGREEMENT</w:t>
      </w:r>
    </w:p>
    <w:sectPr w:rsidR="00FC693F" w:rsidRPr="0006063C" w:rsidSect="00034616">
      <w:pgSz w:w="11906" w:h="16838"/>
      <w:pgMar w:top="979" w:right="1037" w:bottom="1037" w:left="1037" w:header="432" w:footer="432" w:gutter="0"/>
      <w:cols w:num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3720" w:val="left"/>
      </w:tabs>
    </w:pPr>
    <w:r>
      <w:t>MCE-26-041  |  Issued 18 June 2026</w:t>
      <w:tab/>
      <w:t xml:space="preserve">Agreement  /  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 xml:space="preserve">1</w: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footnoteRef/>
      </w:r>
      <w:r>
        <w:t xml:space="preserve">Only complete 15-minute blocks after the included 45 minutes are billable; 59 minutes incurs no additional block.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MERIDIAN CIVIC ESTATES  /  PROCUREMENT SERVICES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decimal"/>
      <w:pStyle w:val="Clause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59" w:lineRule="auto"/>
    </w:pPr>
    <w:rPr>
      <w:rFonts w:ascii="Liberation Sans" w:hAnsi="Liberation Sans" w:cs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Liberation Sans" w:hAnsi="Liberation Sans" w:cs="Liberation Sans" w:eastAsia="Liberation Sans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Liberation Sans" w:hAnsi="Liberation Sans" w:cs="Liberation Sans" w:eastAsia="Liberation Sans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240" w:lineRule="auto"/>
      <w:outlineLvl w:val="0"/>
    </w:pPr>
    <w:rPr>
      <w:rFonts w:ascii="DejaVu Sans" w:hAnsi="DejaVu Sans" w:cs="DejaVu Sans" w:eastAsia="DejaVu Sans"/>
      <w:b/>
      <w:bCs/>
      <w:color w:val="173B55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24" w:line="240" w:lineRule="auto"/>
      <w:outlineLvl w:val="1"/>
    </w:pPr>
    <w:rPr>
      <w:rFonts w:ascii="DejaVu Sans" w:hAnsi="DejaVu Sans" w:cs="DejaVu Sans" w:eastAsia="DejaVu Sans"/>
      <w:b/>
      <w:bCs/>
      <w:color w:val="173B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="DejaVu Sans" w:hAnsi="DejaVu Sans" w:cs="DejaVu Sans" w:eastAsia="DejaVu Sans"/>
      <w:b w:val="0"/>
      <w:i w:val="0"/>
      <w:color w:val="173B5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40" w:lineRule="auto"/>
    </w:pPr>
    <w:rPr>
      <w:rFonts w:ascii="DejaVu Sans" w:hAnsi="DejaVu Sans" w:cs="DejaVu Sans" w:eastAsia="DejaVu Sans"/>
      <w:b w:val="0"/>
      <w:i/>
      <w:iCs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before="0" w:after="200"/>
    </w:pPr>
    <w:rPr>
      <w:rFonts w:ascii="Liberation Sans" w:hAnsi="Liberation Sans" w:cs="Liberation Sans" w:eastAsia="Liberation Sans"/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tyLine">
    <w:name w:val="Party Line"/>
    <w:basedOn w:val="Normal"/>
    <w:pPr>
      <w:keepNext/>
      <w:spacing w:before="222" w:after="224" w:line="240" w:lineRule="auto"/>
    </w:pPr>
    <w:rPr>
      <w:rFonts w:ascii="DejaVu Sans" w:hAnsi="DejaVu Sans" w:cs="DejaVu Sans" w:eastAsia="DejaVu Sans"/>
      <w:b/>
      <w:color w:val="173B55"/>
      <w:sz w:val="26"/>
    </w:rPr>
  </w:style>
  <w:style w:type="paragraph" w:customStyle="1" w:styleId="TableText">
    <w:name w:val="Table Text"/>
    <w:basedOn w:val="Normal"/>
    <w:pPr>
      <w:spacing w:before="0" w:after="103" w:line="259" w:lineRule="auto"/>
    </w:pPr>
    <w:rPr>
      <w:sz w:val="18"/>
    </w:rPr>
  </w:style>
  <w:style w:type="paragraph" w:customStyle="1" w:styleId="Clause">
    <w:name w:val="Clause"/>
    <w:basedOn w:val="Normal"/>
    <w:pPr>
      <w:numPr>
        <w:numId w:val="90"/>
      </w:numPr>
    </w:pPr>
  </w:style>
  <w:style w:type="paragraph" w:customStyle="1" w:styleId="Figure">
    <w:name w:val="Figure"/>
    <w:basedOn w:val="Normal"/>
    <w:pPr>
      <w:keepNext/>
      <w:spacing w:before="120" w:after="152" w:line="240" w:lineRule="auto"/>
      <w:jc w:val="center"/>
    </w:pPr>
  </w:style>
  <w:style w:type="paragraph" w:customStyle="1" w:styleId="FootnoteText">
    <w:name w:val="Footnote Text"/>
    <w:basedOn w:val="Normal"/>
    <w:pPr>
      <w:spacing w:before="0" w:after="0" w:line="259" w:lineRule="auto"/>
    </w:pPr>
  </w:style>
  <w:style w:type="character" w:customStyle="1" w:styleId="FootnoteReference">
    <w:name w:val="Footnote Reference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Facilities monitoring and response agreement</dc:title>
  <dc:subject>Procurement reference MCE-26-041, Revision 2.1</dc:subject>
  <dc:creator>Meridian Civic Estates - Procurement Services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