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r>
      <w:r>
        <w:br/>
      </w:r>
      <w:r>
        <w:t>and response agreement</w:t>
      </w:r>
    </w:p>
    <w:p>
      <w:pPr>
        <w:pStyle w:val="Subtitle"/>
      </w:pPr>
      <w:r>
        <w:t>Procurement reference MCE-26-041  |  Revision 2.1</w:t>
      </w:r>
    </w:p>
    <w:p>
      <w:pPr>
        <w:pStyle w:val="PartyLine"/>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Contract particulars</w:t>
            </w:r>
          </w:p>
        </w:tc>
        <w:tc>
          <w:tcPr>
            <w:tcW w:type="dxa" w:w="4916"/>
          </w:tcPr>
          <w:p>
            <w:pPr>
              <w:pStyle w:val="TableText"/>
            </w:pPr>
            <w:r>
              <w:t>Agreed position</w:t>
            </w:r>
          </w:p>
        </w:tc>
      </w:tr>
      <w:tr>
        <w:trPr>
          <w:cantSplit/>
        </w:trPr>
        <w:tc>
          <w:tcPr>
            <w:tcW w:type="dxa" w:w="4916"/>
          </w:tcPr>
          <w:p>
            <w:pPr>
              <w:pStyle w:val="TableText"/>
            </w:pPr>
            <w:r>
              <w:t>Client</w:t>
            </w:r>
          </w:p>
        </w:tc>
        <w:tc>
          <w:tcPr>
            <w:tcW w:type="dxa" w:w="4916"/>
          </w:tcPr>
          <w:p>
            <w:pPr>
              <w:pStyle w:val="TableText"/>
            </w:pPr>
            <w:r>
              <w:t>Meridian Civic Estates (MCE)</w:t>
            </w:r>
          </w:p>
        </w:tc>
      </w:tr>
      <w:tr>
        <w:trPr>
          <w:cantSplit/>
        </w:trPr>
        <w:tc>
          <w:tcPr>
            <w:tcW w:type="dxa" w:w="4916"/>
          </w:tcPr>
          <w:p>
            <w:pPr>
              <w:pStyle w:val="TableText"/>
            </w:pPr>
            <w:r>
              <w:t>Supplier</w:t>
            </w:r>
          </w:p>
        </w:tc>
        <w:tc>
          <w:tcPr>
            <w:tcW w:type="dxa" w:w="4916"/>
          </w:tcPr>
          <w:p>
            <w:pPr>
              <w:pStyle w:val="TableText"/>
            </w:pPr>
            <w:r>
              <w:t>Harborlight Field Services Ltd (HFS)</w:t>
            </w:r>
          </w:p>
        </w:tc>
      </w:tr>
      <w:tr>
        <w:trPr>
          <w:cantSplit/>
        </w:trPr>
        <w:tc>
          <w:tcPr>
            <w:tcW w:type="dxa" w:w="4916"/>
          </w:tcPr>
          <w:p>
            <w:pPr>
              <w:pStyle w:val="TableText"/>
            </w:pPr>
            <w:r>
              <w:t>Service term</w:t>
            </w:r>
          </w:p>
        </w:tc>
        <w:tc>
          <w:tcPr>
            <w:tcW w:type="dxa" w:w="4916"/>
          </w:tcPr>
          <w:p>
            <w:pPr>
              <w:pStyle w:val="TableText"/>
            </w:pPr>
            <w:r>
              <w:t>1 July 2026 to 30 June 2027</w:t>
            </w:r>
          </w:p>
        </w:tc>
      </w:tr>
      <w:tr>
        <w:trPr>
          <w:cantSplit/>
        </w:trPr>
        <w:tc>
          <w:tcPr>
            <w:tcW w:type="dxa" w:w="4916"/>
          </w:tcPr>
          <w:p>
            <w:pPr>
              <w:pStyle w:val="TableText"/>
            </w:pPr>
            <w:r>
              <w:t>Sites</w:t>
            </w:r>
          </w:p>
        </w:tc>
        <w:tc>
          <w:tcPr>
            <w:tcW w:type="dxa" w:w="4916"/>
          </w:tcPr>
          <w:p>
            <w:pPr>
              <w:pStyle w:val="TableText"/>
            </w:pPr>
            <w:r>
              <w:t>Northgate Library; Canal House; Eastbank Depot</w:t>
            </w:r>
          </w:p>
        </w:tc>
      </w:tr>
      <w:tr>
        <w:trPr>
          <w:cantSplit/>
        </w:trPr>
        <w:tc>
          <w:tcPr>
            <w:tcW w:type="dxa" w:w="4916"/>
          </w:tcPr>
          <w:p>
            <w:pPr>
              <w:pStyle w:val="TableText"/>
            </w:pPr>
            <w:r>
              <w:t>Base fee, excluding tax</w:t>
            </w:r>
          </w:p>
        </w:tc>
        <w:tc>
          <w:tcPr>
            <w:tcW w:type="dxa" w:w="4916"/>
          </w:tcPr>
          <w:p>
            <w:pPr>
              <w:pStyle w:val="TableText"/>
            </w:pPr>
            <w:r>
              <w:t>GBP 37,800.00</w:t>
            </w:r>
          </w:p>
        </w:tc>
      </w:tr>
      <w:tr>
        <w:trPr>
          <w:cantSplit/>
        </w:trPr>
        <w:tc>
          <w:tcPr>
            <w:tcW w:type="dxa" w:w="4916"/>
          </w:tcPr>
          <w:p>
            <w:pPr>
              <w:pStyle w:val="TableText"/>
            </w:pPr>
            <w:r>
              <w:t>Mobilisation milestone</w:t>
            </w:r>
          </w:p>
        </w:tc>
        <w:tc>
          <w:tcPr>
            <w:tcW w:type="dxa" w:w="4916"/>
          </w:tcPr>
          <w:p>
            <w:pPr>
              <w:pStyle w:val="TableText"/>
            </w:pPr>
            <w:r>
              <w:t>29 June 2026, 17:00 local time</w:t>
            </w:r>
          </w:p>
        </w:tc>
      </w:tr>
      <w:tr>
        <w:trPr>
          <w:cantSplit/>
        </w:trPr>
        <w:tc>
          <w:tcPr>
            <w:tcW w:type="dxa" w:w="4916"/>
          </w:tcPr>
          <w:p>
            <w:pPr>
              <w:pStyle w:val="TableText"/>
            </w:pPr>
            <w:r>
              <w:t>Document precedence</w:t>
            </w:r>
          </w:p>
        </w:tc>
        <w:tc>
          <w:tcPr>
            <w:tcW w:type="dxa" w:w="4916"/>
          </w:tcPr>
          <w:p>
            <w:pPr>
              <w:pStyle w:val="TableText"/>
            </w:pPr>
            <w:r>
              <w:t>Signed change order; clauses; schedules; explanatory figures</w:t>
            </w:r>
          </w:p>
        </w:tc>
      </w:tr>
    </w:tbl>
    <w:p>
      <w:pPr>
        <w:pStyle w:val="Heading2"/>
        <w:spacing w:before="448"/>
      </w:pPr>
      <w:r>
        <w:t>Using this agreement</w:t>
      </w:r>
    </w:p>
    <w:p>
      <w:r>
        <w:t>Clauses 1-8 set the delivery obligations. Schedules A-C define prices, response windows and evidence requirements. Appendix D contains the acceptance form and Appendix E records the approved change procedure.</w:t>
      </w:r>
    </w:p>
    <w:p>
      <w:r>
        <w:t xml:space="preserve">Navigation: scope and access (page </w:t>
      </w:r>
      <w:r>
        <w:fldChar w:fldCharType="begin"/>
      </w:r>
      <w:r>
        <w:instrText xml:space="preserve"> PAGEREF Sec_Scope \h </w:instrText>
      </w:r>
      <w:r>
        <w:fldChar w:fldCharType="separate"/>
      </w:r>
      <w:r>
        <w:t xml:space="preserve">2</w:t>
      </w:r>
      <w:r>
        <w:fldChar w:fldCharType="end"/>
      </w:r>
      <w:r>
        <w:t xml:space="preserve">); operational responsibilities (page </w:t>
      </w:r>
      <w:r>
        <w:fldChar w:fldCharType="begin"/>
      </w:r>
      <w:r>
        <w:instrText xml:space="preserve"> PAGEREF Sec_Operations \h </w:instrText>
      </w:r>
      <w:r>
        <w:fldChar w:fldCharType="separate"/>
      </w:r>
      <w:r>
        <w:t xml:space="preserve">3</w:t>
      </w:r>
      <w:r>
        <w:fldChar w:fldCharType="end"/>
      </w:r>
      <w:r>
        <w:t xml:space="preserve">); Schedule A, charges (page </w:t>
      </w:r>
      <w:r>
        <w:fldChar w:fldCharType="begin"/>
      </w:r>
      <w:r>
        <w:instrText xml:space="preserve"> PAGEREF Sch_A \h </w:instrText>
      </w:r>
      <w:r>
        <w:fldChar w:fldCharType="separate"/>
      </w:r>
      <w:r>
        <w:t xml:space="preserve">4</w:t>
      </w:r>
      <w:r>
        <w:fldChar w:fldCharType="end"/>
      </w:r>
      <w:r>
        <w:t xml:space="preserve">); Schedule B, service windows (page </w:t>
      </w:r>
      <w:r>
        <w:fldChar w:fldCharType="begin"/>
      </w:r>
      <w:r>
        <w:instrText xml:space="preserve"> PAGEREF Sch_B \h </w:instrText>
      </w:r>
      <w:r>
        <w:fldChar w:fldCharType="separate"/>
      </w:r>
      <w:r>
        <w:t xml:space="preserve">5</w:t>
      </w:r>
      <w:r>
        <w:fldChar w:fldCharType="end"/>
      </w:r>
      <w:r>
        <w:t xml:space="preserve">); Schedule C, evidence (page </w:t>
      </w:r>
      <w:r>
        <w:fldChar w:fldCharType="begin"/>
      </w:r>
      <w:r>
        <w:instrText xml:space="preserve"> PAGEREF Sch_C \h </w:instrText>
      </w:r>
      <w:r>
        <w:fldChar w:fldCharType="separate"/>
      </w:r>
      <w:r>
        <w:t xml:space="preserve">6</w:t>
      </w:r>
      <w:r>
        <w:fldChar w:fldCharType="end"/>
      </w:r>
      <w:r>
        <w:t xml:space="preserve">); Appendix D, acceptance (page </w:t>
      </w:r>
      <w:r>
        <w:fldChar w:fldCharType="begin"/>
      </w:r>
      <w:r>
        <w:instrText xml:space="preserve"> PAGEREF App_D \h </w:instrText>
      </w:r>
      <w:r>
        <w:fldChar w:fldCharType="separate"/>
      </w:r>
      <w:r>
        <w:t xml:space="preserve">7</w:t>
      </w:r>
      <w:r>
        <w:fldChar w:fldCharType="end"/>
      </w:r>
      <w:r>
        <w:t xml:space="preserve">); Appendix E, changes and execution (page </w:t>
      </w:r>
      <w:r>
        <w:fldChar w:fldCharType="begin"/>
      </w:r>
      <w:r>
        <w:instrText xml:space="preserve"> PAGEREF App_E \h </w:instrText>
      </w:r>
      <w:r>
        <w:fldChar w:fldCharType="separate"/>
      </w:r>
      <w:r>
        <w:t xml:space="preserve">8</w:t>
      </w:r>
      <w:r>
        <w:fldChar w:fldCharType="end"/>
      </w:r>
      <w:r>
        <w:t>).</w:t>
      </w:r>
    </w:p>
    <w:p>
      <w:pPr>
        <w:pStyle w:val="Heading2"/>
      </w:pPr>
      <w:r>
        <w:t>Controlled-copy notice</w:t>
      </w:r>
    </w:p>
    <w:p>
      <w:r>
        <w:t>All organisations, contacts and operational records in this agreement are fictional. Blank signature fields are intentional. A blank field is not evidence of approval.</w:t>
      </w:r>
    </w:p>
    <w:p>
      <w:pPr>
        <w:pStyle w:val="Heading1"/>
        <w:pageBreakBefore/>
      </w:pPr>
      <w:bookmarkStart w:id="100" w:name="Sec_Scope"/>
      <w:r>
        <w:t>1  Scope, access and delivery</w:t>
      </w:r>
      <w:bookmarkEnd w:id="100"/>
    </w:p>
    <w:p>
      <w:pPr>
        <w:pStyle w:val="Clause"/>
      </w:pPr>
      <w:r>
        <w:rPr>
          <w:b/>
        </w:rPr>
        <w:t xml:space="preserve">Covered assets. </w:t>
      </w:r>
      <w:r>
        <w:t xml:space="preserve">The supplier shall monitor the listed sensors, inspect alert histories and issue one monthly service record for each site. Physical replacement of plant is excluded unless separately authorised under clause </w:t>
      </w:r>
      <w:r>
        <w:fldChar w:fldCharType="begin"/>
      </w:r>
      <w:r>
        <w:instrText xml:space="preserve"> REF Clause_Changes \n \h </w:instrText>
      </w:r>
      <w:r>
        <w:fldChar w:fldCharType="separate"/>
      </w:r>
      <w:r>
        <w:t xml:space="preserve">8</w:t>
      </w:r>
      <w:r>
        <w:fldChar w:fldCharType="end"/>
      </w:r>
      <w:r>
        <w:t>.</w:t>
      </w:r>
    </w:p>
    <w:p>
      <w:pPr>
        <w:pStyle w:val="Clause"/>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pStyle w:val="Clause"/>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pStyle w:val="Clause"/>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Term</w:t>
            </w:r>
          </w:p>
        </w:tc>
        <w:tc>
          <w:tcPr>
            <w:tcW w:type="dxa" w:w="4916"/>
          </w:tcPr>
          <w:p>
            <w:pPr>
              <w:pStyle w:val="TableText"/>
            </w:pPr>
            <w:r>
              <w:t>Meaning</w:t>
            </w:r>
          </w:p>
        </w:tc>
      </w:tr>
      <w:tr>
        <w:trPr>
          <w:cantSplit/>
        </w:trPr>
        <w:tc>
          <w:tcPr>
            <w:tcW w:type="dxa" w:w="4916"/>
          </w:tcPr>
          <w:p>
            <w:pPr>
              <w:pStyle w:val="TableText"/>
            </w:pPr>
            <w:r>
              <w:t>Acknowledgement</w:t>
            </w:r>
          </w:p>
        </w:tc>
        <w:tc>
          <w:tcPr>
            <w:tcW w:type="dxa" w:w="4916"/>
          </w:tcPr>
          <w:p>
            <w:pPr>
              <w:pStyle w:val="TableText"/>
            </w:pPr>
            <w:r>
              <w:t>A human response confirming ownership of the incident.</w:t>
            </w:r>
          </w:p>
        </w:tc>
      </w:tr>
      <w:tr>
        <w:trPr>
          <w:cantSplit/>
        </w:trPr>
        <w:tc>
          <w:tcPr>
            <w:tcW w:type="dxa" w:w="4916"/>
          </w:tcPr>
          <w:p>
            <w:pPr>
              <w:pStyle w:val="TableText"/>
            </w:pPr>
            <w:r>
              <w:t>Attendance</w:t>
            </w:r>
          </w:p>
        </w:tc>
        <w:tc>
          <w:tcPr>
            <w:tcW w:type="dxa" w:w="4916"/>
          </w:tcPr>
          <w:p>
            <w:pPr>
              <w:pStyle w:val="TableText"/>
            </w:pPr>
            <w:r>
              <w:t>A qualified operative reaches the nominated site reception.</w:t>
            </w:r>
          </w:p>
        </w:tc>
      </w:tr>
      <w:tr>
        <w:trPr>
          <w:cantSplit/>
        </w:trPr>
        <w:tc>
          <w:tcPr>
            <w:tcW w:type="dxa" w:w="4916"/>
          </w:tcPr>
          <w:p>
            <w:pPr>
              <w:pStyle w:val="TableText"/>
            </w:pPr>
            <w:r>
              <w:t>Restoration</w:t>
            </w:r>
          </w:p>
        </w:tc>
        <w:tc>
          <w:tcPr>
            <w:tcW w:type="dxa" w:w="4916"/>
          </w:tcPr>
          <w:p>
            <w:pPr>
              <w:pStyle w:val="TableText"/>
            </w:pPr>
            <w:r>
              <w:t>The asset is returned to service or a client-approved safe workaround is active.</w:t>
            </w:r>
          </w:p>
        </w:tc>
      </w:tr>
      <w:tr>
        <w:trPr>
          <w:cantSplit/>
        </w:trPr>
        <w:tc>
          <w:tcPr>
            <w:tcW w:type="dxa" w:w="4916"/>
          </w:tcPr>
          <w:p>
            <w:pPr>
              <w:pStyle w:val="TableText"/>
            </w:pPr>
            <w:r>
              <w:t>Business day</w:t>
            </w:r>
          </w:p>
        </w:tc>
        <w:tc>
          <w:tcPr>
            <w:tcW w:type="dxa" w:w="4916"/>
          </w:tcPr>
          <w:p>
            <w:pPr>
              <w:pStyle w:val="TableText"/>
            </w:pPr>
            <w:r>
              <w:t>Monday-Friday, excluding the public holidays stated in Schedule B.</w:t>
            </w:r>
          </w:p>
        </w:tc>
      </w:tr>
      <w:tr>
        <w:trPr>
          <w:cantSplit/>
        </w:trPr>
        <w:tc>
          <w:tcPr>
            <w:tcW w:type="dxa" w:w="4916"/>
          </w:tcPr>
          <w:p>
            <w:pPr>
              <w:pStyle w:val="TableText"/>
            </w:pPr>
            <w:r>
              <w:t>Service record</w:t>
            </w:r>
          </w:p>
        </w:tc>
        <w:tc>
          <w:tcPr>
            <w:tcW w:type="dxa" w:w="4916"/>
          </w:tcPr>
          <w:p>
            <w:pPr>
              <w:pStyle w:val="TableText"/>
            </w:pPr>
            <w:r>
              <w:t>One auditable record per job, including any linked follow-up visit.</w:t>
            </w:r>
          </w:p>
        </w:tc>
      </w:tr>
    </w:tbl>
    <w:p>
      <w:pPr>
        <w:spacing w:before="388"/>
      </w:pPr>
      <w:r>
        <w:t xml:space="preserve">An acknowledgement is not attendance. Meeting an acknowledgement target does not stop the attendance clock. </w:t>
      </w:r>
      <w:hyperlink w:anchor="Sch_B" w:history="1">
        <w:r>
          <w:t xml:space="preserve">Schedule B</w:t>
        </w:r>
      </w:hyperlink>
      <w:r>
        <w:t xml:space="preserve">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pPr>
        <w:pStyle w:val="Heading1"/>
        <w:pageBreakBefore/>
      </w:pPr>
      <w:bookmarkStart w:id="101" w:name="Sec_Operations"/>
      <w:r>
        <w:t>2  Operational responsibilities</w:t>
      </w:r>
      <w:bookmarkEnd w:id="101"/>
    </w:p>
    <w:p>
      <w:pPr>
        <w:sectPr>
          <w:headerReference w:type="default" r:id="rId10"/>
          <w:footerReference w:type="default" r:id="rId11"/>
          <w:pgSz w:w="11906" w:h="16838"/>
          <w:pgMar w:top="979" w:right="1037" w:bottom="1037" w:left="1037" w:header="432" w:footer="432" w:gutter="0"/>
          <w:cols w:space="720"/>
          <w:docGrid w:linePitch="360"/>
        </w:sectPr>
      </w:pPr>
    </w:p>
    <w:p>
      <w:pPr>
        <w:pStyle w:val="Heading2"/>
      </w:pPr>
      <w:r>
        <w:t>Supplier obligations</w:t>
      </w:r>
    </w:p>
    <w:p>
      <w:pPr>
        <w:pStyle w:val="Clause"/>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pStyle w:val="Clause"/>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pPr>
        <w:pStyle w:val="Heading2"/>
        <w:spacing w:before="446"/>
      </w:pPr>
      <w:r>
        <w:br w:type="column"/>
      </w:r>
      <w:r>
        <w:t>Joint review</w:t>
      </w:r>
    </w:p>
    <w:p>
      <w:pPr>
        <w:pStyle w:val="Clause"/>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pStyle w:val="Clause"/>
      </w:pPr>
      <w:bookmarkStart w:id="102" w:name="Clause_Changes"/>
      <w:r>
        <w:rPr>
          <w:b/>
        </w:rPr>
        <w:t xml:space="preserve">Authorised changes. </w:t>
      </w:r>
      <w:r>
        <w:t xml:space="preserve">Only the named commercial signatories may vary scope or price. An operative's service note is not a purchase order. Use the process in </w:t>
      </w:r>
      <w:hyperlink w:anchor="App_E" w:history="1">
        <w:r>
          <w:t xml:space="preserve">Appendix E</w:t>
        </w:r>
      </w:hyperlink>
      <w:r>
        <w:t xml:space="preserve"> before undertaking chargeable additional work.</w:t>
      </w:r>
      <w:bookmarkEnd w:id="102"/>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r>
      <w:r>
        <w:br/>
      </w:r>
      <w:r>
        <w:t>Supplier dispatcher: dispatch@example.invalid</w:t>
      </w:r>
      <w:r>
        <w:br/>
      </w:r>
      <w:r>
        <w:t>Commercial review: procurement@example.invalid</w:t>
      </w:r>
    </w:p>
    <w:p>
      <w:pPr>
        <w:sectPr>
          <w:type w:val="continuous"/>
          <w:pgSz w:w="11906" w:h="16838"/>
          <w:pgMar w:top="979" w:right="1037" w:bottom="1037" w:left="1037" w:header="432" w:footer="432" w:gutter="0"/>
          <w:cols w:num="2" w:space="408"/>
          <w:docGrid w:linePitch="360"/>
        </w:sectPr>
      </w:pPr>
    </w:p>
    <w:p>
      <w:pPr>
        <w:pStyle w:val="Heading1"/>
      </w:pPr>
      <w:bookmarkStart w:id="103" w:name="Sch_A"/>
      <w:r>
        <w:t>Schedule A  Charges and payment</w:t>
      </w:r>
      <w:bookmarkEnd w:id="103"/>
    </w:p>
    <w:p>
      <w:r>
        <w:t>All amounts are in GBP and exclude tax unless explicitly stated. Quantities are contractual units, not forecasts. The credit is deducted before tax.</w:t>
      </w:r>
    </w:p>
    <w:tbl>
      <w:tblPr>
        <w:tblStyle w:val="LightShading-Accent1"/>
        <w:tblW w:type="auto" w:w="0"/>
        <w:jc w:val="left"/>
        <w:tblLook w:firstColumn="1" w:firstRow="1" w:lastColumn="0" w:lastRow="0" w:noHBand="0" w:noVBand="1" w:val="04A0"/>
      </w:tblPr>
      <w:tblGrid>
        <w:gridCol w:w="1966"/>
        <w:gridCol w:w="1966"/>
        <w:gridCol w:w="1966"/>
        <w:gridCol w:w="1966"/>
        <w:gridCol w:w="1966"/>
      </w:tblGrid>
      <w:tr>
        <w:trPr>
          <w:tblHeader/>
          <w:cantSplit/>
        </w:trPr>
        <w:tc>
          <w:tcPr>
            <w:tcW w:type="dxa" w:w="1966"/>
          </w:tcPr>
          <w:p>
            <w:pPr>
              <w:pStyle w:val="TableText"/>
            </w:pPr>
            <w:r>
              <w:t>Category</w:t>
            </w:r>
          </w:p>
        </w:tc>
        <w:tc>
          <w:tcPr>
            <w:tcW w:type="dxa" w:w="1966"/>
          </w:tcPr>
          <w:p>
            <w:pPr>
              <w:pStyle w:val="TableText"/>
            </w:pPr>
            <w:r>
              <w:t>Service / item</w:t>
            </w:r>
          </w:p>
        </w:tc>
        <w:tc>
          <w:tcPr>
            <w:tcW w:type="dxa" w:w="1966"/>
          </w:tcPr>
          <w:p>
            <w:pPr>
              <w:pStyle w:val="TableText"/>
            </w:pPr>
            <w:r>
              <w:t>Qty</w:t>
            </w:r>
          </w:p>
        </w:tc>
        <w:tc>
          <w:tcPr>
            <w:tcW w:type="dxa" w:w="1966"/>
          </w:tcPr>
          <w:p>
            <w:pPr>
              <w:pStyle w:val="TableText"/>
            </w:pPr>
            <w:r>
              <w:t>Unit price</w:t>
            </w:r>
          </w:p>
        </w:tc>
        <w:tc>
          <w:tcPr>
            <w:tcW w:type="dxa" w:w="1966"/>
          </w:tcPr>
          <w:p>
            <w:pPr>
              <w:pStyle w:val="TableText"/>
            </w:pPr>
            <w:r>
              <w:t>Line total</w:t>
            </w:r>
          </w:p>
        </w:tc>
      </w:tr>
      <w:tr>
        <w:trPr>
          <w:cantSplit/>
        </w:trPr>
        <w:tc>
          <w:tcPr>
            <w:tcW w:type="dxa" w:w="1966"/>
            <w:vMerge w:val="restart"/>
          </w:tcPr>
          <w:p>
            <w:pPr>
              <w:pStyle w:val="TableText"/>
            </w:pPr>
            <w:r>
              <w:rPr>
                <w:sz w:val="20"/>
              </w:rPr>
              <w:t>Recurring</w:t>
            </w:r>
          </w:p>
        </w:tc>
        <w:tc>
          <w:tcPr>
            <w:tcW w:type="dxa" w:w="1966"/>
          </w:tcPr>
          <w:p>
            <w:pPr>
              <w:pStyle w:val="TableText"/>
            </w:pPr>
            <w:r>
              <w:t>Monthly monitoring - three sites</w:t>
            </w:r>
          </w:p>
        </w:tc>
        <w:tc>
          <w:tcPr>
            <w:tcW w:type="dxa" w:w="1966"/>
          </w:tcPr>
          <w:p>
            <w:pPr>
              <w:pStyle w:val="TableText"/>
            </w:pPr>
            <w:r>
              <w:t>12</w:t>
            </w:r>
          </w:p>
        </w:tc>
        <w:tc>
          <w:tcPr>
            <w:tcW w:type="dxa" w:w="1966"/>
          </w:tcPr>
          <w:p>
            <w:pPr>
              <w:pStyle w:val="TableText"/>
            </w:pPr>
            <w:r>
              <w:t>2,400.00</w:t>
            </w:r>
          </w:p>
        </w:tc>
        <w:tc>
          <w:tcPr>
            <w:tcW w:type="dxa" w:w="1966"/>
          </w:tcPr>
          <w:p>
            <w:pPr>
              <w:pStyle w:val="TableText"/>
            </w:pPr>
            <w:r>
              <w:t>28,800.00</w:t>
            </w:r>
          </w:p>
        </w:tc>
      </w:tr>
      <w:tr>
        <w:trPr>
          <w:cantSplit/>
        </w:trPr>
        <w:tc>
          <w:tcPr>
            <w:tcW w:type="dxa" w:w="1966"/>
            <w:vMerge/>
          </w:tcPr>
          <w:p>
            <w:pPr>
              <w:pStyle w:val="TableText"/>
              <w:rPr>
                <w:sz w:val="20"/>
                <w:szCs w:val="20"/>
              </w:rPr>
            </w:pPr>
          </w:p>
        </w:tc>
        <w:tc>
          <w:tcPr>
            <w:tcW w:type="dxa" w:w="1966"/>
          </w:tcPr>
          <w:p>
            <w:pPr>
              <w:pStyle w:val="TableText"/>
            </w:pPr>
            <w:r>
              <w:t>Remote sensor calibration</w:t>
            </w:r>
            <w:r>
              <w:t xml:space="preserve"> including a documented comparison with the portable reference instrument, a second reading after stabilisation, a recorded ambient-temperature check and confirmation by the site escort</w:t>
            </w:r>
          </w:p>
        </w:tc>
        <w:tc>
          <w:tcPr>
            <w:tcW w:type="dxa" w:w="1966"/>
          </w:tcPr>
          <w:p>
            <w:pPr>
              <w:pStyle w:val="TableText"/>
            </w:pPr>
            <w:r>
              <w:t>6</w:t>
            </w:r>
          </w:p>
        </w:tc>
        <w:tc>
          <w:tcPr>
            <w:tcW w:type="dxa" w:w="1966"/>
          </w:tcPr>
          <w:p>
            <w:pPr>
              <w:pStyle w:val="TableText"/>
            </w:pPr>
            <w:r>
              <w:t>750.00</w:t>
            </w:r>
          </w:p>
        </w:tc>
        <w:tc>
          <w:tcPr>
            <w:tcW w:type="dxa" w:w="1966"/>
          </w:tcPr>
          <w:p>
            <w:pPr>
              <w:pStyle w:val="TableText"/>
            </w:pPr>
            <w:r>
              <w:t>4,500.00</w:t>
            </w:r>
          </w:p>
        </w:tc>
      </w:tr>
      <w:tr>
        <w:trPr>
          <w:cantSplit/>
        </w:trPr>
        <w:tc>
          <w:tcPr>
            <w:tcW w:type="dxa" w:w="1966"/>
          </w:tcPr>
          <w:p>
            <w:pPr>
              <w:pStyle w:val="TableText"/>
            </w:pPr>
            <w:r>
              <w:t>Mobilisation</w:t>
            </w:r>
          </w:p>
        </w:tc>
        <w:tc>
          <w:tcPr>
            <w:tcW w:type="dxa" w:w="1966"/>
          </w:tcPr>
          <w:p>
            <w:pPr>
              <w:pStyle w:val="TableText"/>
            </w:pPr>
            <w:r>
              <w:t>Site onboarding and induction</w:t>
            </w:r>
          </w:p>
        </w:tc>
        <w:tc>
          <w:tcPr>
            <w:tcW w:type="dxa" w:w="1966"/>
          </w:tcPr>
          <w:p>
            <w:pPr>
              <w:pStyle w:val="TableText"/>
            </w:pPr>
            <w:r>
              <w:t>3</w:t>
            </w:r>
          </w:p>
        </w:tc>
        <w:tc>
          <w:tcPr>
            <w:tcW w:type="dxa" w:w="1966"/>
          </w:tcPr>
          <w:p>
            <w:pPr>
              <w:pStyle w:val="TableText"/>
            </w:pPr>
            <w:r>
              <w:t>1,800.00</w:t>
            </w:r>
          </w:p>
        </w:tc>
        <w:tc>
          <w:tcPr>
            <w:tcW w:type="dxa" w:w="1966"/>
          </w:tcPr>
          <w:p>
            <w:pPr>
              <w:pStyle w:val="TableText"/>
            </w:pPr>
            <w:r>
              <w:t>5,400.00</w:t>
            </w:r>
          </w:p>
        </w:tc>
      </w:tr>
      <w:tr>
        <w:trPr>
          <w:cantSplit/>
        </w:trPr>
        <w:tc>
          <w:tcPr>
            <w:tcW w:type="dxa" w:w="1966"/>
          </w:tcPr>
          <w:p>
            <w:pPr>
              <w:pStyle w:val="TableText"/>
            </w:pPr>
            <w:r>
              <w:t>Adjustment</w:t>
            </w:r>
          </w:p>
        </w:tc>
        <w:tc>
          <w:tcPr>
            <w:tcW w:type="dxa" w:w="1966"/>
          </w:tcPr>
          <w:p>
            <w:pPr>
              <w:pStyle w:val="TableText"/>
            </w:pPr>
            <w:r>
              <w:t>Transition credit</w:t>
            </w:r>
          </w:p>
        </w:tc>
        <w:tc>
          <w:tcPr>
            <w:tcW w:type="dxa" w:w="1966"/>
          </w:tcPr>
          <w:p>
            <w:pPr>
              <w:pStyle w:val="TableText"/>
            </w:pPr>
            <w:r>
              <w:t>1</w:t>
            </w:r>
          </w:p>
        </w:tc>
        <w:tc>
          <w:tcPr>
            <w:tcW w:type="dxa" w:w="1966"/>
          </w:tcPr>
          <w:p>
            <w:pPr>
              <w:pStyle w:val="TableText"/>
            </w:pPr>
            <w:r>
              <w:t>(900.00)</w:t>
            </w:r>
          </w:p>
        </w:tc>
        <w:tc>
          <w:tcPr>
            <w:tcW w:type="dxa" w:w="1966"/>
          </w:tcPr>
          <w:p>
            <w:pPr>
              <w:pStyle w:val="TableText"/>
            </w:pPr>
            <w:r>
              <w:t>(900.00)</w:t>
            </w:r>
          </w:p>
        </w:tc>
      </w:tr>
      <w:tr>
        <w:trPr>
          <w:cantSplit/>
        </w:trPr>
        <w:tc>
          <w:tcPr>
            <w:tcW w:type="dxa" w:w="1966"/>
            <w:vMerge w:val="restart"/>
          </w:tcPr>
          <w:p>
            <w:pPr>
              <w:pStyle w:val="TableText"/>
            </w:pPr>
            <w:r>
              <w:rPr>
                <w:sz w:val="20"/>
              </w:rPr>
              <w:t>Summary</w:t>
            </w:r>
          </w:p>
        </w:tc>
        <w:tc>
          <w:tcPr>
            <w:tcW w:type="dxa" w:w="1966"/>
          </w:tcPr>
          <w:p>
            <w:pPr>
              <w:pStyle w:val="TableText"/>
            </w:pPr>
            <w:r>
              <w:t>Net contract value</w:t>
            </w:r>
          </w:p>
        </w:tc>
        <w:tc>
          <w:tcPr>
            <w:tcW w:type="dxa" w:w="1966"/>
          </w:tcPr>
          <w:p>
            <w:pPr>
              <w:pStyle w:val="TableText"/>
              <w:rPr>
                <w:sz w:val="20"/>
                <w:szCs w:val="20"/>
              </w:rPr>
            </w:pPr>
          </w:p>
        </w:tc>
        <w:tc>
          <w:tcPr>
            <w:tcW w:type="dxa" w:w="1966"/>
          </w:tcPr>
          <w:p>
            <w:pPr>
              <w:pStyle w:val="TableText"/>
              <w:rPr>
                <w:sz w:val="20"/>
                <w:szCs w:val="20"/>
              </w:rPr>
            </w:pPr>
          </w:p>
        </w:tc>
        <w:tc>
          <w:tcPr>
            <w:tcW w:type="dxa" w:w="1966"/>
          </w:tcPr>
          <w:p>
            <w:pPr>
              <w:pStyle w:val="TableText"/>
            </w:pPr>
            <w:r>
              <w:t>37,800.00</w:t>
            </w:r>
          </w:p>
        </w:tc>
      </w:tr>
      <w:tr>
        <w:trPr>
          <w:cantSplit/>
        </w:trPr>
        <w:tc>
          <w:tcPr>
            <w:tcW w:type="dxa" w:w="1966"/>
            <w:vMerge/>
          </w:tcPr>
          <w:p>
            <w:pPr>
              <w:pStyle w:val="TableText"/>
              <w:rPr>
                <w:sz w:val="20"/>
                <w:szCs w:val="20"/>
              </w:rPr>
            </w:pPr>
          </w:p>
        </w:tc>
        <w:tc>
          <w:tcPr>
            <w:tcW w:type="dxa" w:w="1966"/>
          </w:tcPr>
          <w:p>
            <w:pPr>
              <w:pStyle w:val="TableText"/>
            </w:pPr>
            <w:r>
              <w:t>VAT at 20%</w:t>
            </w:r>
          </w:p>
        </w:tc>
        <w:tc>
          <w:tcPr>
            <w:tcW w:type="dxa" w:w="1966"/>
          </w:tcPr>
          <w:p>
            <w:pPr>
              <w:pStyle w:val="TableText"/>
              <w:rPr>
                <w:sz w:val="20"/>
                <w:szCs w:val="20"/>
              </w:rPr>
            </w:pPr>
          </w:p>
        </w:tc>
        <w:tc>
          <w:tcPr>
            <w:tcW w:type="dxa" w:w="1966"/>
          </w:tcPr>
          <w:p>
            <w:pPr>
              <w:pStyle w:val="TableText"/>
              <w:rPr>
                <w:sz w:val="20"/>
                <w:szCs w:val="20"/>
              </w:rPr>
            </w:pPr>
          </w:p>
        </w:tc>
        <w:tc>
          <w:tcPr>
            <w:tcW w:type="dxa" w:w="1966"/>
          </w:tcPr>
          <w:p>
            <w:pPr>
              <w:pStyle w:val="TableText"/>
            </w:pPr>
            <w:r>
              <w:t>7,560.00</w:t>
            </w:r>
          </w:p>
        </w:tc>
      </w:tr>
      <w:tr>
        <w:trPr>
          <w:cantSplit/>
        </w:trPr>
        <w:tc>
          <w:tcPr>
            <w:tcW w:type="dxa" w:w="1966"/>
            <w:vMerge/>
          </w:tcPr>
          <w:p>
            <w:pPr>
              <w:pStyle w:val="TableText"/>
              <w:rPr>
                <w:sz w:val="20"/>
                <w:szCs w:val="20"/>
              </w:rPr>
            </w:pPr>
          </w:p>
        </w:tc>
        <w:tc>
          <w:tcPr>
            <w:tcW w:type="dxa" w:w="1966"/>
          </w:tcPr>
          <w:p>
            <w:pPr>
              <w:pStyle w:val="TableText"/>
            </w:pPr>
            <w:r>
              <w:t>Total including VAT</w:t>
            </w:r>
          </w:p>
        </w:tc>
        <w:tc>
          <w:tcPr>
            <w:tcW w:type="dxa" w:w="1966"/>
          </w:tcPr>
          <w:p>
            <w:pPr>
              <w:pStyle w:val="TableText"/>
              <w:rPr>
                <w:sz w:val="20"/>
                <w:szCs w:val="20"/>
              </w:rPr>
            </w:pPr>
          </w:p>
        </w:tc>
        <w:tc>
          <w:tcPr>
            <w:tcW w:type="dxa" w:w="1966"/>
          </w:tcPr>
          <w:p>
            <w:pPr>
              <w:pStyle w:val="TableText"/>
              <w:rPr>
                <w:sz w:val="20"/>
                <w:szCs w:val="20"/>
              </w:rPr>
            </w:pPr>
          </w:p>
        </w:tc>
        <w:tc>
          <w:tcPr>
            <w:tcW w:type="dxa" w:w="1966"/>
          </w:tcPr>
          <w:p>
            <w:pPr>
              <w:pStyle w:val="TableText"/>
            </w:pPr>
            <w:r>
              <w:t>45,360.00</w:t>
            </w:r>
          </w:p>
        </w:tc>
      </w:tr>
    </w:tbl>
    <w:p>
      <w:pPr>
        <w:pStyle w:val="Heading2"/>
        <w:spacing w:before="448"/>
      </w:pPr>
      <w:r>
        <w:t>Charge rules</w:t>
      </w:r>
    </w:p>
    <w:p>
      <w:r>
        <w:t>A routine call-out outside the base scope is GBP 145.00 per authorised attendance. The first 45 minutes are included; subsequent time is GBP 22.50 per completed 15-minute block.</w:t>
      </w:r>
      <w:r>
        <w:rPr>
          <w:rStyle w:val="FootnoteReference"/>
        </w:rP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Entry</w:t>
            </w:r>
          </w:p>
        </w:tc>
        <w:tc>
          <w:tcPr>
            <w:tcW w:type="dxa" w:w="4916"/>
          </w:tcPr>
          <w:p>
            <w:pPr>
              <w:pStyle w:val="TableText"/>
            </w:pPr>
            <w:r>
              <w:t>Amount</w:t>
            </w:r>
          </w:p>
        </w:tc>
      </w:tr>
      <w:tr>
        <w:trPr>
          <w:cantSplit/>
        </w:trPr>
        <w:tc>
          <w:tcPr>
            <w:tcW w:type="dxa" w:w="4916"/>
          </w:tcPr>
          <w:p>
            <w:pPr>
              <w:pStyle w:val="TableText"/>
            </w:pPr>
            <w:r>
              <w:t>Base monthly monitoring</w:t>
            </w:r>
          </w:p>
        </w:tc>
        <w:tc>
          <w:tcPr>
            <w:tcW w:type="dxa" w:w="4916"/>
          </w:tcPr>
          <w:p>
            <w:pPr>
              <w:pStyle w:val="TableText"/>
            </w:pPr>
            <w:r>
              <w:t>2,400.00</w:t>
            </w:r>
          </w:p>
        </w:tc>
      </w:tr>
      <w:tr>
        <w:trPr>
          <w:cantSplit/>
        </w:trPr>
        <w:tc>
          <w:tcPr>
            <w:tcW w:type="dxa" w:w="4916"/>
          </w:tcPr>
          <w:p>
            <w:pPr>
              <w:pStyle w:val="TableText"/>
            </w:pPr>
            <w:r>
              <w:t>One authorised call-out, 75 minutes</w:t>
            </w:r>
          </w:p>
        </w:tc>
        <w:tc>
          <w:tcPr>
            <w:tcW w:type="dxa" w:w="4916"/>
          </w:tcPr>
          <w:p>
            <w:pPr>
              <w:pStyle w:val="TableText"/>
            </w:pPr>
            <w:r>
              <w:t>190.00</w:t>
            </w:r>
          </w:p>
        </w:tc>
      </w:tr>
      <w:tr>
        <w:trPr>
          <w:cantSplit/>
        </w:trPr>
        <w:tc>
          <w:tcPr>
            <w:tcW w:type="dxa" w:w="4916"/>
          </w:tcPr>
          <w:p>
            <w:pPr>
              <w:pStyle w:val="TableText"/>
            </w:pPr>
            <w:r>
              <w:t>Net invoice</w:t>
            </w:r>
          </w:p>
        </w:tc>
        <w:tc>
          <w:tcPr>
            <w:tcW w:type="dxa" w:w="4916"/>
          </w:tcPr>
          <w:p>
            <w:pPr>
              <w:pStyle w:val="TableText"/>
            </w:pPr>
            <w:r>
              <w:t>2,590.00</w:t>
            </w:r>
          </w:p>
        </w:tc>
      </w:tr>
      <w:tr>
        <w:trPr>
          <w:cantSplit/>
        </w:trPr>
        <w:tc>
          <w:tcPr>
            <w:tcW w:type="dxa" w:w="4916"/>
          </w:tcPr>
          <w:p>
            <w:pPr>
              <w:pStyle w:val="TableText"/>
            </w:pPr>
            <w:r>
              <w:t>VAT at 20%</w:t>
            </w:r>
          </w:p>
        </w:tc>
        <w:tc>
          <w:tcPr>
            <w:tcW w:type="dxa" w:w="4916"/>
          </w:tcPr>
          <w:p>
            <w:pPr>
              <w:pStyle w:val="TableText"/>
            </w:pPr>
            <w:r>
              <w:t>518.00</w:t>
            </w:r>
          </w:p>
        </w:tc>
      </w:tr>
      <w:tr>
        <w:trPr>
          <w:cantSplit/>
        </w:trPr>
        <w:tc>
          <w:tcPr>
            <w:tcW w:type="dxa" w:w="4916"/>
          </w:tcPr>
          <w:p>
            <w:pPr>
              <w:pStyle w:val="TableText"/>
            </w:pPr>
            <w:r>
              <w:t>Payable</w:t>
            </w:r>
          </w:p>
        </w:tc>
        <w:tc>
          <w:tcPr>
            <w:tcW w:type="dxa" w:w="4916"/>
          </w:tcPr>
          <w:p>
            <w:pPr>
              <w:pStyle w:val="TableText"/>
            </w:pPr>
            <w:r>
              <w:t>3,108.00</w:t>
            </w:r>
          </w:p>
        </w:tc>
      </w:tr>
    </w:tbl>
    <w:p>
      <w:pPr>
        <w:spacing w:before="388"/>
      </w:pPr>
      <w:r>
        <w:t>Payment is due 30 calendar days after receipt of a valid invoice. A credit must remain a deduction; parentheses do not indicate an optional amount.</w:t>
      </w:r>
    </w:p>
    <w:p>
      <w:pPr>
        <w:sectPr>
          <w:pgSz w:w="11906" w:h="16838"/>
          <w:pgMar w:top="979" w:right="1037" w:bottom="1037" w:left="1037" w:header="432" w:footer="432" w:gutter="0"/>
          <w:cols w:num="1" w:space="720"/>
          <w:docGrid w:linePitch="360"/>
        </w:sectPr>
      </w:pPr>
    </w:p>
    <w:p>
      <w:pPr>
        <w:pStyle w:val="Heading1"/>
      </w:pPr>
      <w:bookmarkStart w:id="104" w:name="Sch_B"/>
      <w:r>
        <w:t>Schedule B  Service windows and response targets</w:t>
      </w:r>
      <w:bookmarkEnd w:id="104"/>
    </w:p>
    <w:p>
      <w:r>
        <w:t>Targets are measured separately. Critical incidents use elapsed time at all sites. Routine work follows the applicable site window. All times are local.</w:t>
      </w:r>
    </w:p>
    <w:tbl>
      <w:tblPr>
        <w:tblStyle w:val="LightShading-Accent1"/>
        <w:tblW w:type="auto" w:w="0"/>
        <w:jc w:val="left"/>
        <w:tblLook w:firstColumn="1" w:firstRow="1" w:lastColumn="0" w:lastRow="0" w:noHBand="0" w:noVBand="1" w:val="04A0"/>
      </w:tblPr>
      <w:tblGrid>
        <w:gridCol w:w="2109"/>
        <w:gridCol w:w="2109"/>
        <w:gridCol w:w="2109"/>
        <w:gridCol w:w="2109"/>
        <w:gridCol w:w="2109"/>
        <w:gridCol w:w="2109"/>
        <w:gridCol w:w="2109"/>
      </w:tblGrid>
      <w:tr>
        <w:trPr>
          <w:tblHeader/>
          <w:cantSplit/>
        </w:trPr>
        <w:tc>
          <w:tcPr>
            <w:tcW w:type="dxa" w:w="2109"/>
          </w:tcPr>
          <w:p>
            <w:pPr>
              <w:pStyle w:val="TableText"/>
            </w:pPr>
            <w:r>
              <w:t>Site / coverage</w:t>
            </w:r>
          </w:p>
        </w:tc>
        <w:tc>
          <w:tcPr>
            <w:tcW w:type="dxa" w:w="2109"/>
          </w:tcPr>
          <w:p>
            <w:pPr>
              <w:pStyle w:val="TableText"/>
            </w:pPr>
            <w:r>
              <w:t>Window</w:t>
            </w:r>
          </w:p>
        </w:tc>
        <w:tc>
          <w:tcPr>
            <w:tcW w:type="dxa" w:w="2109"/>
          </w:tcPr>
          <w:p>
            <w:pPr>
              <w:pStyle w:val="TableText"/>
            </w:pPr>
            <w:r>
              <w:t>Critical: acknowledge</w:t>
            </w:r>
          </w:p>
        </w:tc>
        <w:tc>
          <w:tcPr>
            <w:tcW w:type="dxa" w:w="2109"/>
          </w:tcPr>
          <w:p>
            <w:pPr>
              <w:pStyle w:val="TableText"/>
            </w:pPr>
            <w:r>
              <w:t>Critical: attend</w:t>
            </w:r>
          </w:p>
        </w:tc>
        <w:tc>
          <w:tcPr>
            <w:tcW w:type="dxa" w:w="2109"/>
          </w:tcPr>
          <w:p>
            <w:pPr>
              <w:pStyle w:val="TableText"/>
            </w:pPr>
            <w:r>
              <w:t>Routine: acknowledge</w:t>
            </w:r>
          </w:p>
        </w:tc>
        <w:tc>
          <w:tcPr>
            <w:tcW w:type="dxa" w:w="2109"/>
          </w:tcPr>
          <w:p>
            <w:pPr>
              <w:pStyle w:val="TableText"/>
            </w:pPr>
            <w:r>
              <w:t>Routine: attend</w:t>
            </w:r>
          </w:p>
        </w:tc>
        <w:tc>
          <w:tcPr>
            <w:tcW w:type="dxa" w:w="2109"/>
          </w:tcPr>
          <w:p>
            <w:pPr>
              <w:pStyle w:val="TableText"/>
            </w:pPr>
            <w:r>
              <w:t>Exception</w:t>
            </w:r>
          </w:p>
        </w:tc>
      </w:tr>
      <w:tr>
        <w:trPr>
          <w:cantSplit/>
        </w:trPr>
        <w:tc>
          <w:tcPr>
            <w:tcW w:type="dxa" w:w="2109"/>
          </w:tcPr>
          <w:p>
            <w:pPr>
              <w:pStyle w:val="TableText"/>
            </w:pPr>
            <w:r>
              <w:t>Northgate Library</w:t>
            </w:r>
          </w:p>
        </w:tc>
        <w:tc>
          <w:tcPr>
            <w:tcW w:type="dxa" w:w="2109"/>
          </w:tcPr>
          <w:p>
            <w:pPr>
              <w:pStyle w:val="TableText"/>
            </w:pPr>
            <w:r>
              <w:t>Mon-Sat 08:00-20:00</w:t>
            </w:r>
          </w:p>
        </w:tc>
        <w:tc>
          <w:tcPr>
            <w:tcW w:type="dxa" w:w="2109"/>
          </w:tcPr>
          <w:p>
            <w:pPr>
              <w:pStyle w:val="TableText"/>
            </w:pPr>
            <w:r>
              <w:t>15 min</w:t>
            </w:r>
          </w:p>
        </w:tc>
        <w:tc>
          <w:tcPr>
            <w:tcW w:type="dxa" w:w="2109"/>
          </w:tcPr>
          <w:p>
            <w:pPr>
              <w:pStyle w:val="TableText"/>
            </w:pPr>
            <w:r>
              <w:t>90 min</w:t>
            </w:r>
          </w:p>
        </w:tc>
        <w:tc>
          <w:tcPr>
            <w:tcW w:type="dxa" w:w="2109"/>
          </w:tcPr>
          <w:p>
            <w:pPr>
              <w:pStyle w:val="TableText"/>
            </w:pPr>
            <w:r>
              <w:t>2 service hours</w:t>
            </w:r>
          </w:p>
        </w:tc>
        <w:tc>
          <w:tcPr>
            <w:tcW w:type="dxa" w:w="2109"/>
          </w:tcPr>
          <w:p>
            <w:pPr>
              <w:pStyle w:val="TableText"/>
            </w:pPr>
            <w:r>
              <w:t>Next service day</w:t>
            </w:r>
          </w:p>
        </w:tc>
        <w:tc>
          <w:tcPr>
            <w:tcW w:type="dxa" w:w="2109"/>
          </w:tcPr>
          <w:p>
            <w:pPr>
              <w:pStyle w:val="TableText"/>
            </w:pPr>
            <w:r>
              <w:t>Public desk escort required</w:t>
            </w:r>
          </w:p>
        </w:tc>
      </w:tr>
      <w:tr>
        <w:trPr>
          <w:cantSplit/>
        </w:trPr>
        <w:tc>
          <w:tcPr>
            <w:tcW w:type="dxa" w:w="2109"/>
          </w:tcPr>
          <w:p>
            <w:pPr>
              <w:pStyle w:val="TableText"/>
            </w:pPr>
            <w:r>
              <w:t>Canal House</w:t>
            </w:r>
          </w:p>
        </w:tc>
        <w:tc>
          <w:tcPr>
            <w:tcW w:type="dxa" w:w="2109"/>
          </w:tcPr>
          <w:p>
            <w:pPr>
              <w:pStyle w:val="TableText"/>
            </w:pPr>
            <w:r>
              <w:t>Mon-Fri 07:00-19:00</w:t>
            </w:r>
          </w:p>
        </w:tc>
        <w:tc>
          <w:tcPr>
            <w:tcW w:type="dxa" w:w="2109"/>
          </w:tcPr>
          <w:p>
            <w:pPr>
              <w:pStyle w:val="TableText"/>
            </w:pPr>
            <w:r>
              <w:t>15 min</w:t>
            </w:r>
          </w:p>
        </w:tc>
        <w:tc>
          <w:tcPr>
            <w:tcW w:type="dxa" w:w="2109"/>
          </w:tcPr>
          <w:p>
            <w:pPr>
              <w:pStyle w:val="TableText"/>
            </w:pPr>
            <w:r>
              <w:t>120 min</w:t>
            </w:r>
          </w:p>
        </w:tc>
        <w:tc>
          <w:tcPr>
            <w:tcW w:type="dxa" w:w="2109"/>
          </w:tcPr>
          <w:p>
            <w:pPr>
              <w:pStyle w:val="TableText"/>
            </w:pPr>
            <w:r>
              <w:t>4 service hours</w:t>
            </w:r>
          </w:p>
        </w:tc>
        <w:tc>
          <w:tcPr>
            <w:tcW w:type="dxa" w:w="2109"/>
          </w:tcPr>
          <w:p>
            <w:pPr>
              <w:pStyle w:val="TableText"/>
            </w:pPr>
            <w:r>
              <w:t>Within 2 service days</w:t>
            </w:r>
          </w:p>
        </w:tc>
        <w:tc>
          <w:tcPr>
            <w:tcW w:type="dxa" w:w="2109"/>
          </w:tcPr>
          <w:p>
            <w:pPr>
              <w:pStyle w:val="TableText"/>
            </w:pPr>
            <w:r>
              <w:t>Loading bay closes 16:00</w:t>
            </w:r>
          </w:p>
        </w:tc>
      </w:tr>
      <w:tr>
        <w:trPr>
          <w:cantSplit/>
        </w:trPr>
        <w:tc>
          <w:tcPr>
            <w:tcW w:type="dxa" w:w="2109"/>
          </w:tcPr>
          <w:p>
            <w:pPr>
              <w:pStyle w:val="TableText"/>
            </w:pPr>
            <w:r>
              <w:t>Eastbank Depot</w:t>
            </w:r>
          </w:p>
        </w:tc>
        <w:tc>
          <w:tcPr>
            <w:tcW w:type="dxa" w:w="2109"/>
          </w:tcPr>
          <w:p>
            <w:pPr>
              <w:pStyle w:val="TableText"/>
            </w:pPr>
            <w:r>
              <w:t>Mon-Sun 06:00-22:00</w:t>
            </w:r>
          </w:p>
        </w:tc>
        <w:tc>
          <w:tcPr>
            <w:tcW w:type="dxa" w:w="2109"/>
          </w:tcPr>
          <w:p>
            <w:pPr>
              <w:pStyle w:val="TableText"/>
            </w:pPr>
            <w:r>
              <w:t>10 min</w:t>
            </w:r>
          </w:p>
        </w:tc>
        <w:tc>
          <w:tcPr>
            <w:tcW w:type="dxa" w:w="2109"/>
          </w:tcPr>
          <w:p>
            <w:pPr>
              <w:pStyle w:val="TableText"/>
            </w:pPr>
            <w:r>
              <w:t>60 min</w:t>
            </w:r>
          </w:p>
        </w:tc>
        <w:tc>
          <w:tcPr>
            <w:tcW w:type="dxa" w:w="2109"/>
          </w:tcPr>
          <w:p>
            <w:pPr>
              <w:pStyle w:val="TableText"/>
            </w:pPr>
            <w:r>
              <w:t>1 service hour</w:t>
            </w:r>
          </w:p>
        </w:tc>
        <w:tc>
          <w:tcPr>
            <w:tcW w:type="dxa" w:w="2109"/>
          </w:tcPr>
          <w:p>
            <w:pPr>
              <w:pStyle w:val="TableText"/>
            </w:pPr>
            <w:r>
              <w:t>Same service day</w:t>
            </w:r>
          </w:p>
        </w:tc>
        <w:tc>
          <w:tcPr>
            <w:tcW w:type="dxa" w:w="2109"/>
          </w:tcPr>
          <w:p>
            <w:pPr>
              <w:pStyle w:val="TableText"/>
            </w:pPr>
            <w:r>
              <w:t>Vehicle gate code via duty desk</w:t>
            </w:r>
          </w:p>
        </w:tc>
      </w:tr>
      <w:tr>
        <w:trPr>
          <w:cantSplit/>
        </w:trPr>
        <w:tc>
          <w:tcPr>
            <w:tcW w:type="dxa" w:w="2109"/>
          </w:tcPr>
          <w:p>
            <w:pPr>
              <w:pStyle w:val="TableText"/>
            </w:pPr>
            <w:r>
              <w:t>All sites: critical cover</w:t>
            </w:r>
          </w:p>
        </w:tc>
        <w:tc>
          <w:tcPr>
            <w:tcW w:type="dxa" w:w="2109"/>
          </w:tcPr>
          <w:p>
            <w:pPr>
              <w:pStyle w:val="TableText"/>
            </w:pPr>
            <w:r>
              <w:t>24 hours, every day</w:t>
            </w:r>
          </w:p>
        </w:tc>
        <w:tc>
          <w:tcPr>
            <w:tcW w:type="dxa" w:w="2109"/>
          </w:tcPr>
          <w:p>
            <w:pPr>
              <w:pStyle w:val="TableText"/>
            </w:pPr>
            <w:r>
              <w:t>As above</w:t>
            </w:r>
          </w:p>
        </w:tc>
        <w:tc>
          <w:tcPr>
            <w:tcW w:type="dxa" w:w="2109"/>
          </w:tcPr>
          <w:p>
            <w:pPr>
              <w:pStyle w:val="TableText"/>
            </w:pPr>
            <w:r>
              <w:t>As above</w:t>
            </w:r>
          </w:p>
        </w:tc>
        <w:tc>
          <w:tcPr>
            <w:tcW w:type="dxa" w:w="2109"/>
          </w:tcPr>
          <w:p>
            <w:pPr>
              <w:pStyle w:val="TableText"/>
            </w:pPr>
            <w:r>
              <w:t>Not applicable</w:t>
            </w:r>
          </w:p>
        </w:tc>
        <w:tc>
          <w:tcPr>
            <w:tcW w:type="dxa" w:w="2109"/>
          </w:tcPr>
          <w:p>
            <w:pPr>
              <w:pStyle w:val="TableText"/>
            </w:pPr>
            <w:r>
              <w:t>Not applicable</w:t>
            </w:r>
          </w:p>
        </w:tc>
        <w:tc>
          <w:tcPr>
            <w:tcW w:type="dxa" w:w="2109"/>
          </w:tcPr>
          <w:p>
            <w:pPr>
              <w:pStyle w:val="TableText"/>
            </w:pPr>
            <w:r>
              <w:t>No holiday suspension</w:t>
            </w:r>
          </w:p>
        </w:tc>
      </w:tr>
    </w:tbl>
    <w:p>
      <w:pPr>
        <w:pStyle w:val="Heading2"/>
        <w:spacing w:before="448"/>
      </w:pPr>
      <w:r>
        <w:t>Planned exceptions</w:t>
      </w:r>
    </w:p>
    <w:tbl>
      <w:tblPr>
        <w:tblStyle w:val="LightShading-Accent1"/>
        <w:tblW w:type="auto" w:w="0"/>
        <w:jc w:val="left"/>
        <w:tblLook w:firstColumn="1" w:firstRow="1" w:lastColumn="0" w:lastRow="0" w:noHBand="0" w:noVBand="1" w:val="04A0"/>
      </w:tblPr>
      <w:tblGrid>
        <w:gridCol w:w="3691"/>
        <w:gridCol w:w="3691"/>
        <w:gridCol w:w="3691"/>
        <w:gridCol w:w="3691"/>
      </w:tblGrid>
      <w:tr>
        <w:trPr>
          <w:tblHeader/>
          <w:cantSplit/>
        </w:trPr>
        <w:tc>
          <w:tcPr>
            <w:tcW w:type="dxa" w:w="3691"/>
          </w:tcPr>
          <w:p>
            <w:pPr>
              <w:pStyle w:val="TableText"/>
            </w:pPr>
            <w:r>
              <w:t>Date</w:t>
            </w:r>
          </w:p>
        </w:tc>
        <w:tc>
          <w:tcPr>
            <w:tcW w:type="dxa" w:w="3691"/>
          </w:tcPr>
          <w:p>
            <w:pPr>
              <w:pStyle w:val="TableText"/>
            </w:pPr>
            <w:r>
              <w:t>Site</w:t>
            </w:r>
          </w:p>
        </w:tc>
        <w:tc>
          <w:tcPr>
            <w:tcW w:type="dxa" w:w="3691"/>
          </w:tcPr>
          <w:p>
            <w:pPr>
              <w:pStyle w:val="TableText"/>
            </w:pPr>
            <w:r>
              <w:t>Effect on routine service</w:t>
            </w:r>
          </w:p>
        </w:tc>
        <w:tc>
          <w:tcPr>
            <w:tcW w:type="dxa" w:w="3691"/>
          </w:tcPr>
          <w:p>
            <w:pPr>
              <w:pStyle w:val="TableText"/>
            </w:pPr>
            <w:r>
              <w:t>Critical service</w:t>
            </w:r>
          </w:p>
        </w:tc>
      </w:tr>
      <w:tr>
        <w:trPr>
          <w:cantSplit/>
        </w:trPr>
        <w:tc>
          <w:tcPr>
            <w:tcW w:type="dxa" w:w="3691"/>
          </w:tcPr>
          <w:p>
            <w:pPr>
              <w:pStyle w:val="TableText"/>
            </w:pPr>
            <w:r>
              <w:t>31 August 2026</w:t>
            </w:r>
          </w:p>
        </w:tc>
        <w:tc>
          <w:tcPr>
            <w:tcW w:type="dxa" w:w="3691"/>
          </w:tcPr>
          <w:p>
            <w:pPr>
              <w:pStyle w:val="TableText"/>
            </w:pPr>
            <w:r>
              <w:t>Northgate Library; Canal House</w:t>
            </w:r>
          </w:p>
        </w:tc>
        <w:tc>
          <w:tcPr>
            <w:tcW w:type="dxa" w:w="3691"/>
          </w:tcPr>
          <w:p>
            <w:pPr>
              <w:pStyle w:val="TableText"/>
            </w:pPr>
            <w:r>
              <w:t>Closed; routine clock pauses</w:t>
            </w:r>
          </w:p>
        </w:tc>
        <w:tc>
          <w:tcPr>
            <w:tcW w:type="dxa" w:w="3691"/>
          </w:tcPr>
          <w:p>
            <w:pPr>
              <w:pStyle w:val="TableText"/>
            </w:pPr>
            <w:r>
              <w:t>Unchanged</w:t>
            </w:r>
          </w:p>
        </w:tc>
      </w:tr>
      <w:tr>
        <w:trPr>
          <w:cantSplit/>
        </w:trPr>
        <w:tc>
          <w:tcPr>
            <w:tcW w:type="dxa" w:w="3691"/>
          </w:tcPr>
          <w:p>
            <w:pPr>
              <w:pStyle w:val="TableText"/>
            </w:pPr>
            <w:r>
              <w:t>24 December 2026</w:t>
            </w:r>
          </w:p>
        </w:tc>
        <w:tc>
          <w:tcPr>
            <w:tcW w:type="dxa" w:w="3691"/>
          </w:tcPr>
          <w:p>
            <w:pPr>
              <w:pStyle w:val="TableText"/>
            </w:pPr>
            <w:r>
              <w:t>Northgate Library</w:t>
            </w:r>
          </w:p>
        </w:tc>
        <w:tc>
          <w:tcPr>
            <w:tcW w:type="dxa" w:w="3691"/>
          </w:tcPr>
          <w:p>
            <w:pPr>
              <w:pStyle w:val="TableText"/>
            </w:pPr>
            <w:r>
              <w:t>Window ends 14:00</w:t>
            </w:r>
          </w:p>
        </w:tc>
        <w:tc>
          <w:tcPr>
            <w:tcW w:type="dxa" w:w="3691"/>
          </w:tcPr>
          <w:p>
            <w:pPr>
              <w:pStyle w:val="TableText"/>
            </w:pPr>
            <w:r>
              <w:t>Unchanged</w:t>
            </w:r>
          </w:p>
        </w:tc>
      </w:tr>
      <w:tr>
        <w:trPr>
          <w:cantSplit/>
        </w:trPr>
        <w:tc>
          <w:tcPr>
            <w:tcW w:type="dxa" w:w="3691"/>
          </w:tcPr>
          <w:p>
            <w:pPr>
              <w:pStyle w:val="TableText"/>
            </w:pPr>
            <w:r>
              <w:t>25 December 2026</w:t>
            </w:r>
          </w:p>
        </w:tc>
        <w:tc>
          <w:tcPr>
            <w:tcW w:type="dxa" w:w="3691"/>
          </w:tcPr>
          <w:p>
            <w:pPr>
              <w:pStyle w:val="TableText"/>
            </w:pPr>
            <w:r>
              <w:t>All three sites</w:t>
            </w:r>
          </w:p>
        </w:tc>
        <w:tc>
          <w:tcPr>
            <w:tcW w:type="dxa" w:w="3691"/>
          </w:tcPr>
          <w:p>
            <w:pPr>
              <w:pStyle w:val="TableText"/>
            </w:pPr>
            <w:r>
              <w:t>Closed; routine clock pauses</w:t>
            </w:r>
          </w:p>
        </w:tc>
        <w:tc>
          <w:tcPr>
            <w:tcW w:type="dxa" w:w="3691"/>
          </w:tcPr>
          <w:p>
            <w:pPr>
              <w:pStyle w:val="TableText"/>
            </w:pPr>
            <w:r>
              <w:t>Unchanged</w:t>
            </w:r>
          </w:p>
        </w:tc>
      </w:tr>
      <w:tr>
        <w:trPr>
          <w:cantSplit/>
        </w:trPr>
        <w:tc>
          <w:tcPr>
            <w:tcW w:type="dxa" w:w="3691"/>
          </w:tcPr>
          <w:p>
            <w:pPr>
              <w:pStyle w:val="TableText"/>
            </w:pPr>
            <w:r>
              <w:t>26 December 2026</w:t>
            </w:r>
          </w:p>
        </w:tc>
        <w:tc>
          <w:tcPr>
            <w:tcW w:type="dxa" w:w="3691"/>
          </w:tcPr>
          <w:p>
            <w:pPr>
              <w:pStyle w:val="TableText"/>
            </w:pPr>
            <w:r>
              <w:t>Eastbank Depot</w:t>
            </w:r>
          </w:p>
        </w:tc>
        <w:tc>
          <w:tcPr>
            <w:tcW w:type="dxa" w:w="3691"/>
          </w:tcPr>
          <w:p>
            <w:pPr>
              <w:pStyle w:val="TableText"/>
            </w:pPr>
            <w:r>
              <w:t>Window 08:00-16:00</w:t>
            </w:r>
          </w:p>
        </w:tc>
        <w:tc>
          <w:tcPr>
            <w:tcW w:type="dxa" w:w="3691"/>
          </w:tcPr>
          <w:p>
            <w:pPr>
              <w:pStyle w:val="TableText"/>
            </w:pPr>
            <w:r>
              <w:t>Unchanged</w:t>
            </w:r>
          </w:p>
        </w:tc>
      </w:tr>
    </w:tbl>
    <w:p>
      <w:pPr>
        <w:spacing w:before="388"/>
      </w:pPr>
      <w:r>
        <w:t>Example: a routine Canal House request received Friday at 18:30 has 30 service minutes accrued by 19:00. Its remaining acknowledgement allowance resumes in the next open window. This example does not change the critical targets.</w:t>
      </w:r>
    </w:p>
    <w:p>
      <w:pPr>
        <w:sectPr>
          <w:pgSz w:w="16838" w:h="11906" w:orient="landscape"/>
          <w:pgMar w:top="979" w:right="1037" w:bottom="1037" w:left="1037" w:header="432" w:footer="432" w:gutter="0"/>
          <w:cols w:num="1" w:space="720"/>
          <w:docGrid w:linePitch="360"/>
        </w:sectPr>
      </w:pPr>
    </w:p>
    <w:p>
      <w:pPr>
        <w:pStyle w:val="Heading1"/>
      </w:pPr>
      <w:bookmarkStart w:id="105" w:name="Sch_C"/>
      <w:r>
        <w:t>Schedule C  Evidence and service review</w:t>
      </w:r>
      <w:bookmarkEnd w:id="105"/>
    </w:p>
    <w:p>
      <w:r>
        <w:t>Each record must connect the reported condition to the action and the verified outcome. A closed status without evidence is reopened for review.</w:t>
      </w:r>
    </w:p>
    <w:tbl>
      <w:tblPr>
        <w:tblStyle w:val="LightShading-Accent1"/>
        <w:tblW w:type="auto" w:w="0"/>
        <w:jc w:val="left"/>
        <w:tblLook w:firstColumn="1" w:firstRow="1" w:lastColumn="0" w:lastRow="0" w:noHBand="0" w:noVBand="1" w:val="04A0"/>
      </w:tblPr>
      <w:tblGrid>
        <w:gridCol w:w="3277"/>
        <w:gridCol w:w="3277"/>
        <w:gridCol w:w="3277"/>
      </w:tblGrid>
      <w:tr>
        <w:trPr>
          <w:tblHeader/>
          <w:cantSplit/>
        </w:trPr>
        <w:tc>
          <w:tcPr>
            <w:tcW w:type="dxa" w:w="3277"/>
          </w:tcPr>
          <w:p>
            <w:pPr>
              <w:pStyle w:val="TableText"/>
            </w:pPr>
            <w:r>
              <w:t>Stage</w:t>
            </w:r>
          </w:p>
        </w:tc>
        <w:tc>
          <w:tcPr>
            <w:tcW w:type="dxa" w:w="3277"/>
          </w:tcPr>
          <w:p>
            <w:pPr>
              <w:pStyle w:val="TableText"/>
            </w:pPr>
            <w:r>
              <w:t>Required evidence</w:t>
            </w:r>
          </w:p>
        </w:tc>
        <w:tc>
          <w:tcPr>
            <w:tcW w:type="dxa" w:w="3277"/>
          </w:tcPr>
          <w:p>
            <w:pPr>
              <w:pStyle w:val="TableText"/>
            </w:pPr>
            <w:r>
              <w:t>Accountable party</w:t>
            </w:r>
          </w:p>
        </w:tc>
      </w:tr>
      <w:tr>
        <w:trPr>
          <w:cantSplit/>
        </w:trPr>
        <w:tc>
          <w:tcPr>
            <w:tcW w:type="dxa" w:w="3277"/>
          </w:tcPr>
          <w:p>
            <w:pPr>
              <w:pStyle w:val="TableText"/>
            </w:pPr>
            <w:r>
              <w:t>Receive</w:t>
            </w:r>
          </w:p>
        </w:tc>
        <w:tc>
          <w:tcPr>
            <w:tcW w:type="dxa" w:w="3277"/>
          </w:tcPr>
          <w:p>
            <w:pPr>
              <w:pStyle w:val="TableText"/>
            </w:pPr>
            <w:r>
              <w:t>Timestamp; reporter; site; asset; assessed priority</w:t>
            </w:r>
          </w:p>
        </w:tc>
        <w:tc>
          <w:tcPr>
            <w:tcW w:type="dxa" w:w="3277"/>
          </w:tcPr>
          <w:p>
            <w:pPr>
              <w:pStyle w:val="TableText"/>
            </w:pPr>
            <w:r>
              <w:t>Dispatcher</w:t>
            </w:r>
          </w:p>
        </w:tc>
      </w:tr>
      <w:tr>
        <w:trPr>
          <w:cantSplit/>
        </w:trPr>
        <w:tc>
          <w:tcPr>
            <w:tcW w:type="dxa" w:w="3277"/>
          </w:tcPr>
          <w:p>
            <w:pPr>
              <w:pStyle w:val="TableText"/>
            </w:pPr>
            <w:r>
              <w:t>Attend</w:t>
            </w:r>
          </w:p>
        </w:tc>
        <w:tc>
          <w:tcPr>
            <w:tcW w:type="dxa" w:w="3277"/>
          </w:tcPr>
          <w:p>
            <w:pPr>
              <w:pStyle w:val="TableText"/>
            </w:pPr>
            <w:r>
              <w:t>Arrival and departure; escort; access delay if any</w:t>
            </w:r>
          </w:p>
        </w:tc>
        <w:tc>
          <w:tcPr>
            <w:tcW w:type="dxa" w:w="3277"/>
          </w:tcPr>
          <w:p>
            <w:pPr>
              <w:pStyle w:val="TableText"/>
            </w:pPr>
            <w:r>
              <w:t>Operative</w:t>
            </w:r>
          </w:p>
        </w:tc>
      </w:tr>
      <w:tr>
        <w:trPr>
          <w:cantSplit/>
        </w:trPr>
        <w:tc>
          <w:tcPr>
            <w:tcW w:type="dxa" w:w="3277"/>
          </w:tcPr>
          <w:p>
            <w:pPr>
              <w:pStyle w:val="TableText"/>
            </w:pPr>
            <w:r>
              <w:t>Verify</w:t>
            </w:r>
          </w:p>
        </w:tc>
        <w:tc>
          <w:tcPr>
            <w:tcW w:type="dxa" w:w="3277"/>
          </w:tcPr>
          <w:p>
            <w:pPr>
              <w:pStyle w:val="TableText"/>
            </w:pPr>
            <w:r>
              <w:t>Reading before/after; test method; workaround limitations</w:t>
            </w:r>
          </w:p>
        </w:tc>
        <w:tc>
          <w:tcPr>
            <w:tcW w:type="dxa" w:w="3277"/>
          </w:tcPr>
          <w:p>
            <w:pPr>
              <w:pStyle w:val="TableText"/>
            </w:pPr>
            <w:r>
              <w:t>Operative</w:t>
            </w:r>
          </w:p>
        </w:tc>
      </w:tr>
      <w:tr>
        <w:trPr>
          <w:cantSplit/>
        </w:trPr>
        <w:tc>
          <w:tcPr>
            <w:tcW w:type="dxa" w:w="3277"/>
          </w:tcPr>
          <w:p>
            <w:pPr>
              <w:pStyle w:val="TableText"/>
            </w:pPr>
            <w:r>
              <w:t>Review</w:t>
            </w:r>
          </w:p>
        </w:tc>
        <w:tc>
          <w:tcPr>
            <w:tcW w:type="dxa" w:w="3277"/>
          </w:tcPr>
          <w:p>
            <w:pPr>
              <w:pStyle w:val="TableText"/>
            </w:pPr>
            <w:r>
              <w:t>Acceptance decision; exceptions; follow-up owner</w:t>
            </w:r>
          </w:p>
        </w:tc>
        <w:tc>
          <w:tcPr>
            <w:tcW w:type="dxa" w:w="3277"/>
          </w:tcPr>
          <w:p>
            <w:pPr>
              <w:pStyle w:val="TableText"/>
            </w:pPr>
            <w:r>
              <w:t>Client reviewer</w:t>
            </w:r>
          </w:p>
        </w:tc>
      </w:tr>
    </w:tbl>
    <w:p>
      <w:pPr>
        <w:pStyle w:val="Heading2"/>
        <w:spacing w:before="448"/>
      </w:pPr>
      <w:bookmarkStart w:id="106" w:name="Figure_1"/>
      <w:r>
        <w:t xml:space="preserve">Figure </w:t>
      </w:r>
      <w:r>
        <w:fldChar w:fldCharType="begin"/>
      </w:r>
      <w:r>
        <w:instrText xml:space="preserve"> SEQ Figure \* ARABIC </w:instrText>
      </w:r>
      <w:r>
        <w:fldChar w:fldCharType="separate"/>
      </w:r>
      <w:r>
        <w:t xml:space="preserve">1</w:t>
      </w:r>
      <w:r>
        <w:fldChar w:fldCharType="end"/>
      </w:r>
      <w:r>
        <w:t>. Evidence handover</w:t>
      </w:r>
      <w:bookmarkEnd w:id="106"/>
    </w:p>
    <w:p>
      <w:pPr>
        <w:pStyle w:val="Figure"/>
      </w:pPr>
      <w:r>
        <w:drawing>
          <wp:inline xmlns:a="http://schemas.openxmlformats.org/drawingml/2006/main" xmlns:pic="http://schemas.openxmlformats.org/drawingml/2006/picture">
            <wp:extent cx="6126479"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79" cy="1276350"/>
                    </a:xfrm>
                    <a:prstGeom prst="rect"/>
                  </pic:spPr>
                </pic:pic>
              </a:graphicData>
            </a:graphic>
          </wp:inline>
        </w:drawing>
      </w:r>
    </w:p>
    <w:p>
      <w:pPr>
        <w:pStyle w:val="Caption"/>
        <w:spacing w:after="168"/>
      </w:pPr>
      <w:r>
        <w:t>The arrows represent the evidence handover, not a guarantee that each stage is accepted. A reviewer can return a record to verification.</w:t>
      </w:r>
    </w:p>
    <w:p>
      <w:pPr>
        <w:pStyle w:val="Heading2"/>
        <w:spacing w:before="168"/>
      </w:pPr>
      <w:bookmarkStart w:id="107" w:name="Figure_2"/>
      <w:r>
        <w:t xml:space="preserve">Figure </w:t>
      </w:r>
      <w:r>
        <w:fldChar w:fldCharType="begin"/>
      </w:r>
      <w:r>
        <w:instrText xml:space="preserve"> SEQ Figure \* ARABIC </w:instrText>
      </w:r>
      <w:r>
        <w:fldChar w:fldCharType="separate"/>
      </w:r>
      <w:r>
        <w:t xml:space="preserve">2</w:t>
      </w:r>
      <w:r>
        <w:fldChar w:fldCharType="end"/>
      </w:r>
      <w:r>
        <w:t>. Illustrative monthly outcomes</w:t>
      </w:r>
      <w:bookmarkEnd w:id="107"/>
    </w:p>
    <w:p>
      <w:pPr>
        <w:pStyle w:val="Figure"/>
      </w:pPr>
      <w:r>
        <w:drawing>
          <wp:inline xmlns:a="http://schemas.openxmlformats.org/drawingml/2006/main" xmlns:pic="http://schemas.openxmlformats.org/drawingml/2006/picture">
            <wp:extent cx="6126479" cy="17018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126479" cy="1701800"/>
                    </a:xfrm>
                    <a:prstGeom prst="rect"/>
                  </pic:spPr>
                </pic:pic>
              </a:graphicData>
            </a:graphic>
          </wp:inline>
        </w:drawing>
      </w:r>
    </w:p>
    <w:p>
      <w:pPr>
        <w:pStyle w:val="Caption"/>
        <w:spacing w:after="168"/>
      </w:pPr>
      <w:r>
        <w:t>Illustration only: 51 records, of which 42 are accepted, 6 returned and 3 open. Returned records are not accepted completions.</w:t>
      </w:r>
    </w:p>
    <w:p>
      <w:pPr>
        <w:pStyle w:val="Heading1"/>
        <w:pageBreakBefore/>
      </w:pPr>
      <w:bookmarkStart w:id="108" w:name="App_D"/>
      <w:r>
        <w:t>Appendix D  Acceptance record</w:t>
      </w:r>
      <w:bookmarkEnd w:id="108"/>
    </w:p>
    <w:p>
      <w:r>
        <w:t>Complete one record for each service job. Leave an unused field blank rather than inserting a fabricated value. This form is part of the editable agreement.</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Field</w:t>
            </w:r>
          </w:p>
        </w:tc>
        <w:tc>
          <w:tcPr>
            <w:tcW w:type="dxa" w:w="4916"/>
          </w:tcPr>
          <w:p>
            <w:pPr>
              <w:pStyle w:val="TableText"/>
            </w:pPr>
            <w:r>
              <w:t>Entry</w:t>
            </w:r>
          </w:p>
        </w:tc>
      </w:tr>
      <w:tr>
        <w:trPr>
          <w:cantSplit/>
        </w:trPr>
        <w:tc>
          <w:tcPr>
            <w:tcW w:type="dxa" w:w="4916"/>
          </w:tcPr>
          <w:p>
            <w:pPr>
              <w:pStyle w:val="TableText"/>
            </w:pPr>
            <w:r>
              <w:t>Job reference / site</w:t>
            </w:r>
          </w:p>
        </w:tc>
        <w:tc>
          <w:tcPr>
            <w:tcW w:type="dxa" w:w="4916"/>
          </w:tcPr>
          <w:p>
            <w:pPr>
              <w:pStyle w:val="TableText"/>
              <w:rPr>
                <w:sz w:val="20"/>
                <w:szCs w:val="20"/>
              </w:rPr>
            </w:pPr>
          </w:p>
        </w:tc>
      </w:tr>
      <w:tr>
        <w:trPr>
          <w:cantSplit/>
        </w:trPr>
        <w:tc>
          <w:tcPr>
            <w:tcW w:type="dxa" w:w="4916"/>
          </w:tcPr>
          <w:p>
            <w:pPr>
              <w:pStyle w:val="TableText"/>
            </w:pPr>
            <w:r>
              <w:t>Asset reference / priority</w:t>
            </w:r>
          </w:p>
        </w:tc>
        <w:tc>
          <w:tcPr>
            <w:tcW w:type="dxa" w:w="4916"/>
          </w:tcPr>
          <w:p>
            <w:pPr>
              <w:pStyle w:val="TableText"/>
              <w:rPr>
                <w:sz w:val="20"/>
                <w:szCs w:val="20"/>
              </w:rPr>
            </w:pPr>
          </w:p>
        </w:tc>
      </w:tr>
      <w:tr>
        <w:trPr>
          <w:cantSplit/>
        </w:trPr>
        <w:tc>
          <w:tcPr>
            <w:tcW w:type="dxa" w:w="4916"/>
          </w:tcPr>
          <w:p>
            <w:pPr>
              <w:pStyle w:val="TableText"/>
            </w:pPr>
            <w:r>
              <w:t>Reported / attended / completed</w:t>
            </w:r>
          </w:p>
        </w:tc>
        <w:tc>
          <w:tcPr>
            <w:tcW w:type="dxa" w:w="4916"/>
          </w:tcPr>
          <w:p>
            <w:pPr>
              <w:pStyle w:val="TableText"/>
              <w:rPr>
                <w:sz w:val="20"/>
                <w:szCs w:val="20"/>
              </w:rPr>
            </w:pPr>
          </w:p>
        </w:tc>
      </w:tr>
      <w:tr>
        <w:trPr>
          <w:cantSplit/>
        </w:trPr>
        <w:tc>
          <w:tcPr>
            <w:tcW w:type="dxa" w:w="4916"/>
          </w:tcPr>
          <w:p>
            <w:pPr>
              <w:pStyle w:val="TableText"/>
            </w:pPr>
            <w:r>
              <w:t>Access delay and evidence</w:t>
            </w:r>
          </w:p>
        </w:tc>
        <w:tc>
          <w:tcPr>
            <w:tcW w:type="dxa" w:w="4916"/>
          </w:tcPr>
          <w:p>
            <w:pPr>
              <w:pStyle w:val="TableText"/>
              <w:rPr>
                <w:sz w:val="20"/>
                <w:szCs w:val="20"/>
              </w:rPr>
            </w:pPr>
          </w:p>
        </w:tc>
      </w:tr>
      <w:tr>
        <w:trPr>
          <w:cantSplit/>
        </w:trPr>
        <w:tc>
          <w:tcPr>
            <w:tcW w:type="dxa" w:w="4916"/>
          </w:tcPr>
          <w:p>
            <w:pPr>
              <w:pStyle w:val="TableText"/>
            </w:pPr>
            <w:r>
              <w:t>Action and verification reading</w:t>
            </w:r>
          </w:p>
        </w:tc>
        <w:tc>
          <w:tcPr>
            <w:tcW w:type="dxa" w:w="4916"/>
          </w:tcPr>
          <w:p>
            <w:pPr>
              <w:pStyle w:val="TableText"/>
              <w:rPr>
                <w:sz w:val="20"/>
                <w:szCs w:val="20"/>
              </w:rPr>
            </w:pPr>
          </w:p>
        </w:tc>
      </w:tr>
      <w:tr>
        <w:trPr>
          <w:cantSplit/>
        </w:trPr>
        <w:tc>
          <w:tcPr>
            <w:tcW w:type="dxa" w:w="4916"/>
          </w:tcPr>
          <w:p>
            <w:pPr>
              <w:pStyle w:val="TableText"/>
            </w:pPr>
            <w:r>
              <w:t>Workaround and expiry, if used</w:t>
            </w:r>
          </w:p>
        </w:tc>
        <w:tc>
          <w:tcPr>
            <w:tcW w:type="dxa" w:w="4916"/>
          </w:tcPr>
          <w:p>
            <w:pPr>
              <w:pStyle w:val="TableText"/>
              <w:rPr>
                <w:sz w:val="20"/>
                <w:szCs w:val="20"/>
              </w:rPr>
            </w:pPr>
          </w:p>
        </w:tc>
      </w:tr>
      <w:tr>
        <w:trPr>
          <w:cantSplit/>
        </w:trPr>
        <w:tc>
          <w:tcPr>
            <w:tcW w:type="dxa" w:w="4916"/>
          </w:tcPr>
          <w:p>
            <w:pPr>
              <w:pStyle w:val="TableText"/>
            </w:pPr>
            <w:r>
              <w:t>Evidence file references</w:t>
            </w:r>
          </w:p>
        </w:tc>
        <w:tc>
          <w:tcPr>
            <w:tcW w:type="dxa" w:w="4916"/>
          </w:tcPr>
          <w:p>
            <w:pPr>
              <w:pStyle w:val="TableText"/>
              <w:rPr>
                <w:sz w:val="20"/>
                <w:szCs w:val="20"/>
              </w:rPr>
            </w:pPr>
          </w:p>
        </w:tc>
      </w:tr>
      <w:tr>
        <w:trPr>
          <w:cantSplit/>
        </w:trPr>
        <w:tc>
          <w:tcPr>
            <w:tcW w:type="dxa" w:w="4916"/>
          </w:tcPr>
          <w:p>
            <w:pPr>
              <w:pStyle w:val="TableText"/>
            </w:pPr>
            <w:r>
              <w:t>Follow-up owner / due date</w:t>
            </w:r>
          </w:p>
        </w:tc>
        <w:tc>
          <w:tcPr>
            <w:tcW w:type="dxa" w:w="4916"/>
          </w:tcPr>
          <w:p>
            <w:pPr>
              <w:pStyle w:val="TableText"/>
              <w:rPr>
                <w:sz w:val="20"/>
                <w:szCs w:val="20"/>
              </w:rPr>
            </w:pPr>
          </w:p>
        </w:tc>
      </w:tr>
    </w:tbl>
    <w:p>
      <w:pPr>
        <w:pStyle w:val="Heading2"/>
        <w:spacing w:before="448"/>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xml:space="preserve">[ ] Any additional charge has an </w:t>
      </w:r>
      <w:hyperlink w:anchor="App_E" w:history="1">
        <w:r>
          <w:t xml:space="preserve">Appendix E</w:t>
        </w:r>
      </w:hyperlink>
      <w:r>
        <w:t xml:space="preserve"> approval reference.</w:t>
      </w:r>
    </w:p>
    <w:p>
      <w:r>
        <w:t>[ ] Outstanding work has an owner and a due date.</w:t>
      </w:r>
    </w:p>
    <w:tbl>
      <w:tblPr>
        <w:tblStyle w:val="LightShading-Accent1"/>
        <w:tblW w:type="auto" w:w="0"/>
        <w:jc w:val="left"/>
        <w:tblLook w:firstColumn="1" w:firstRow="1" w:lastColumn="0" w:lastRow="0" w:noHBand="0" w:noVBand="1" w:val="04A0"/>
      </w:tblPr>
      <w:tblGrid>
        <w:gridCol w:w="3277"/>
        <w:gridCol w:w="3277"/>
        <w:gridCol w:w="3277"/>
      </w:tblGrid>
      <w:tr>
        <w:trPr>
          <w:tblHeader/>
          <w:cantSplit/>
        </w:trPr>
        <w:tc>
          <w:tcPr>
            <w:tcW w:type="dxa" w:w="3277"/>
          </w:tcPr>
          <w:p>
            <w:pPr>
              <w:pStyle w:val="TableText"/>
            </w:pPr>
            <w:r>
              <w:t>Decision</w:t>
            </w:r>
          </w:p>
        </w:tc>
        <w:tc>
          <w:tcPr>
            <w:tcW w:type="dxa" w:w="3277"/>
          </w:tcPr>
          <w:p>
            <w:pPr>
              <w:pStyle w:val="TableText"/>
            </w:pPr>
            <w:r>
              <w:t>Reviewer / date</w:t>
            </w:r>
          </w:p>
        </w:tc>
        <w:tc>
          <w:tcPr>
            <w:tcW w:type="dxa" w:w="3277"/>
          </w:tcPr>
          <w:p>
            <w:pPr>
              <w:pStyle w:val="TableText"/>
            </w:pPr>
            <w:r>
              <w:t>Reason or condition</w:t>
            </w:r>
          </w:p>
        </w:tc>
      </w:tr>
      <w:tr>
        <w:trPr>
          <w:cantSplit/>
        </w:trPr>
        <w:tc>
          <w:tcPr>
            <w:tcW w:type="dxa" w:w="3277"/>
          </w:tcPr>
          <w:p>
            <w:pPr>
              <w:pStyle w:val="TableText"/>
            </w:pPr>
            <w:r>
              <w:t>Accept / Return / Hold</w:t>
            </w:r>
          </w:p>
        </w:tc>
        <w:tc>
          <w:tcPr>
            <w:tcW w:type="dxa" w:w="3277"/>
          </w:tcPr>
          <w:p>
            <w:pPr>
              <w:pStyle w:val="TableText"/>
              <w:rPr>
                <w:sz w:val="20"/>
                <w:szCs w:val="20"/>
              </w:rPr>
            </w:pPr>
          </w:p>
        </w:tc>
        <w:tc>
          <w:tcPr>
            <w:tcW w:type="dxa" w:w="3277"/>
          </w:tcPr>
          <w:p>
            <w:pPr>
              <w:pStyle w:val="TableText"/>
              <w:rPr>
                <w:sz w:val="20"/>
                <w:szCs w:val="20"/>
              </w:rPr>
            </w:pPr>
          </w:p>
        </w:tc>
      </w:tr>
    </w:tbl>
    <w:p>
      <w:pPr>
        <w:pStyle w:val="Heading2"/>
        <w:spacing w:before="448"/>
      </w:pPr>
      <w:r>
        <w:t>Acceptance boundary</w:t>
      </w:r>
    </w:p>
    <w:p>
      <w:r>
        <w:t>Acceptance of a service record confirms the documented work, not a waiver of unrelated defects. A conditional acceptance must state its condition. A signature without a selected decision is incomplete.</w:t>
      </w:r>
    </w:p>
    <w:p>
      <w:pPr>
        <w:pStyle w:val="Heading1"/>
        <w:pageBreakBefore/>
      </w:pPr>
      <w:bookmarkStart w:id="109" w:name="App_E"/>
      <w:r>
        <w:t>Appendix E  Changes and execution</w:t>
      </w:r>
      <w:bookmarkEnd w:id="109"/>
    </w:p>
    <w:p>
      <w:pPr>
        <w:pStyle w:val="Heading2"/>
      </w:pPr>
      <w:r>
        <w:t>Change procedure</w:t>
      </w:r>
    </w:p>
    <w:p>
      <w:r>
        <w:t>REQUEST  Describe the proposed scope, reason, affected assets and proposed date.</w:t>
      </w:r>
    </w:p>
    <w:p>
      <w:r>
        <w:t xml:space="preserve">ASSESS  Record the net price, tax, service impact and any change to </w:t>
      </w:r>
      <w:hyperlink w:anchor="Sch_B" w:history="1">
        <w:r>
          <w:t xml:space="preserve">Schedule B</w:t>
        </w:r>
      </w:hyperlink>
      <w:r>
        <w:t>.</w:t>
      </w:r>
    </w:p>
    <w:p>
      <w:r>
        <w:t>AUTHORISE  Obtain both commercial signatories before chargeable work starts.</w:t>
      </w:r>
    </w:p>
    <w:p>
      <w:r>
        <w:t>RECORD  Assign a change reference and attach the agreed scope to the service record.</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Change field</w:t>
            </w:r>
          </w:p>
        </w:tc>
        <w:tc>
          <w:tcPr>
            <w:tcW w:type="dxa" w:w="4916"/>
          </w:tcPr>
          <w:p>
            <w:pPr>
              <w:pStyle w:val="TableText"/>
            </w:pPr>
            <w:r>
              <w:t>Agreed detail</w:t>
            </w:r>
          </w:p>
        </w:tc>
      </w:tr>
      <w:tr>
        <w:trPr>
          <w:cantSplit/>
        </w:trPr>
        <w:tc>
          <w:tcPr>
            <w:tcW w:type="dxa" w:w="4916"/>
          </w:tcPr>
          <w:p>
            <w:pPr>
              <w:pStyle w:val="TableText"/>
            </w:pPr>
            <w:r>
              <w:t>Change reference</w:t>
            </w:r>
          </w:p>
        </w:tc>
        <w:tc>
          <w:tcPr>
            <w:tcW w:type="dxa" w:w="4916"/>
          </w:tcPr>
          <w:p>
            <w:pPr>
              <w:pStyle w:val="TableText"/>
              <w:rPr>
                <w:sz w:val="20"/>
                <w:szCs w:val="20"/>
              </w:rPr>
            </w:pPr>
          </w:p>
        </w:tc>
      </w:tr>
      <w:tr>
        <w:trPr>
          <w:cantSplit/>
        </w:trPr>
        <w:tc>
          <w:tcPr>
            <w:tcW w:type="dxa" w:w="4916"/>
          </w:tcPr>
          <w:p>
            <w:pPr>
              <w:pStyle w:val="TableText"/>
            </w:pPr>
            <w:r>
              <w:t>Description and exclusions</w:t>
            </w:r>
          </w:p>
        </w:tc>
        <w:tc>
          <w:tcPr>
            <w:tcW w:type="dxa" w:w="4916"/>
          </w:tcPr>
          <w:p>
            <w:pPr>
              <w:pStyle w:val="TableText"/>
              <w:rPr>
                <w:sz w:val="20"/>
                <w:szCs w:val="20"/>
              </w:rPr>
            </w:pPr>
          </w:p>
        </w:tc>
      </w:tr>
      <w:tr>
        <w:trPr>
          <w:cantSplit/>
        </w:trPr>
        <w:tc>
          <w:tcPr>
            <w:tcW w:type="dxa" w:w="4916"/>
          </w:tcPr>
          <w:p>
            <w:pPr>
              <w:pStyle w:val="TableText"/>
            </w:pPr>
            <w:r>
              <w:t>Net / tax / total</w:t>
            </w:r>
          </w:p>
        </w:tc>
        <w:tc>
          <w:tcPr>
            <w:tcW w:type="dxa" w:w="4916"/>
          </w:tcPr>
          <w:p>
            <w:pPr>
              <w:pStyle w:val="TableText"/>
              <w:rPr>
                <w:sz w:val="20"/>
                <w:szCs w:val="20"/>
              </w:rPr>
            </w:pPr>
          </w:p>
        </w:tc>
      </w:tr>
      <w:tr>
        <w:trPr>
          <w:cantSplit/>
        </w:trPr>
        <w:tc>
          <w:tcPr>
            <w:tcW w:type="dxa" w:w="4916"/>
          </w:tcPr>
          <w:p>
            <w:pPr>
              <w:pStyle w:val="TableText"/>
            </w:pPr>
            <w:r>
              <w:t>Effective date and service impact</w:t>
            </w:r>
          </w:p>
        </w:tc>
        <w:tc>
          <w:tcPr>
            <w:tcW w:type="dxa" w:w="4916"/>
          </w:tcPr>
          <w:p>
            <w:pPr>
              <w:pStyle w:val="TableText"/>
              <w:rPr>
                <w:sz w:val="20"/>
                <w:szCs w:val="20"/>
              </w:rPr>
            </w:pPr>
          </w:p>
        </w:tc>
      </w:tr>
      <w:tr>
        <w:trPr>
          <w:cantSplit/>
        </w:trPr>
        <w:tc>
          <w:tcPr>
            <w:tcW w:type="dxa" w:w="4916"/>
          </w:tcPr>
          <w:p>
            <w:pPr>
              <w:pStyle w:val="TableText"/>
            </w:pPr>
            <w:r>
              <w:t>Client approval / supplier approval</w:t>
            </w:r>
          </w:p>
        </w:tc>
        <w:tc>
          <w:tcPr>
            <w:tcW w:type="dxa" w:w="4916"/>
          </w:tcPr>
          <w:p>
            <w:pPr>
              <w:pStyle w:val="TableText"/>
              <w:rPr>
                <w:sz w:val="20"/>
                <w:szCs w:val="20"/>
              </w:rPr>
            </w:pPr>
          </w:p>
        </w:tc>
      </w:tr>
    </w:tbl>
    <w:p>
      <w:pPr>
        <w:pStyle w:val="Heading2"/>
        <w:spacing w:before="448"/>
      </w:pPr>
      <w:r>
        <w:t>Execution</w:t>
      </w:r>
    </w:p>
    <w:p>
      <w:r>
        <w:t xml:space="preserve">The parties agree to the clauses and schedules in revision 2.1 of MCE-26-041. The authority in clause </w:t>
      </w:r>
      <w:r>
        <w:fldChar w:fldCharType="begin"/>
      </w:r>
      <w:r>
        <w:instrText xml:space="preserve"> REF Clause_Changes \n \h </w:instrText>
      </w:r>
      <w:r>
        <w:fldChar w:fldCharType="separate"/>
      </w:r>
      <w:r>
        <w:t xml:space="preserve">8</w:t>
      </w:r>
      <w:r>
        <w:fldChar w:fldCharType="end"/>
      </w:r>
      <w:r>
        <w:t xml:space="preserve"> does not permit an unsigned form to change the price.</w:t>
      </w:r>
    </w:p>
    <w:tbl>
      <w:tblPr>
        <w:tblStyle w:val="LightShading-Accent1"/>
        <w:tblW w:type="auto" w:w="0"/>
        <w:jc w:val="left"/>
        <w:tblLook w:firstColumn="1" w:firstRow="1" w:lastColumn="0" w:lastRow="0" w:noHBand="0" w:noVBand="1" w:val="04A0"/>
      </w:tblPr>
      <w:tblGrid>
        <w:gridCol w:w="4916"/>
        <w:gridCol w:w="4916"/>
      </w:tblGrid>
      <w:tr>
        <w:trPr>
          <w:tblHeader/>
          <w:cantSplit/>
        </w:trPr>
        <w:tc>
          <w:tcPr>
            <w:tcW w:type="dxa" w:w="4916"/>
          </w:tcPr>
          <w:p>
            <w:pPr>
              <w:pStyle w:val="TableText"/>
            </w:pPr>
            <w:r>
              <w:t>For Meridian Civic Estates</w:t>
            </w:r>
          </w:p>
        </w:tc>
        <w:tc>
          <w:tcPr>
            <w:tcW w:type="dxa" w:w="4916"/>
          </w:tcPr>
          <w:p>
            <w:pPr>
              <w:pStyle w:val="TableText"/>
            </w:pPr>
            <w:r>
              <w:t>For Harborlight Field Services Ltd</w:t>
            </w:r>
          </w:p>
        </w:tc>
      </w:tr>
      <w:tr>
        <w:trPr>
          <w:cantSplit/>
        </w:trPr>
        <w:tc>
          <w:tcPr>
            <w:tcW w:type="dxa" w:w="4916"/>
          </w:tcPr>
          <w:p>
            <w:pPr>
              <w:pStyle w:val="TableText"/>
            </w:pPr>
            <w:r>
              <w:t>Name: ________________________</w:t>
            </w:r>
          </w:p>
        </w:tc>
        <w:tc>
          <w:tcPr>
            <w:tcW w:type="dxa" w:w="4916"/>
          </w:tcPr>
          <w:p>
            <w:pPr>
              <w:pStyle w:val="TableText"/>
            </w:pPr>
            <w:r>
              <w:t>Name: ________________________</w:t>
            </w:r>
          </w:p>
        </w:tc>
      </w:tr>
      <w:tr>
        <w:trPr>
          <w:cantSplit/>
        </w:trPr>
        <w:tc>
          <w:tcPr>
            <w:tcW w:type="dxa" w:w="4916"/>
          </w:tcPr>
          <w:p>
            <w:pPr>
              <w:pStyle w:val="TableText"/>
            </w:pPr>
            <w:r>
              <w:t>Role: _________________________</w:t>
            </w:r>
          </w:p>
        </w:tc>
        <w:tc>
          <w:tcPr>
            <w:tcW w:type="dxa" w:w="4916"/>
          </w:tcPr>
          <w:p>
            <w:pPr>
              <w:pStyle w:val="TableText"/>
            </w:pPr>
            <w:r>
              <w:t>Role: _________________________</w:t>
            </w:r>
          </w:p>
        </w:tc>
      </w:tr>
      <w:tr>
        <w:trPr>
          <w:cantSplit/>
        </w:trPr>
        <w:tc>
          <w:tcPr>
            <w:tcW w:type="dxa" w:w="4916"/>
          </w:tcPr>
          <w:p>
            <w:pPr>
              <w:pStyle w:val="TableText"/>
            </w:pPr>
            <w:r>
              <w:t>Signature: _____________________</w:t>
            </w:r>
          </w:p>
        </w:tc>
        <w:tc>
          <w:tcPr>
            <w:tcW w:type="dxa" w:w="4916"/>
          </w:tcPr>
          <w:p>
            <w:pPr>
              <w:pStyle w:val="TableText"/>
            </w:pPr>
            <w:r>
              <w:t>Signature: _____________________</w:t>
            </w:r>
          </w:p>
        </w:tc>
      </w:tr>
      <w:tr>
        <w:trPr>
          <w:cantSplit/>
        </w:trPr>
        <w:tc>
          <w:tcPr>
            <w:tcW w:type="dxa" w:w="4916"/>
          </w:tcPr>
          <w:p>
            <w:pPr>
              <w:pStyle w:val="TableText"/>
            </w:pPr>
            <w:r>
              <w:t>Date: _________________________</w:t>
            </w:r>
          </w:p>
        </w:tc>
        <w:tc>
          <w:tcPr>
            <w:tcW w:type="dxa" w:w="4916"/>
          </w:tcPr>
          <w:p>
            <w:pPr>
              <w:pStyle w:val="TableText"/>
            </w:pPr>
            <w:r>
              <w:t>Date: _________________________</w:t>
            </w:r>
          </w:p>
        </w:tc>
      </w:tr>
    </w:tbl>
    <w:p>
      <w:pPr>
        <w:pStyle w:val="Heading2"/>
        <w:spacing w:before="448"/>
      </w:pPr>
      <w:r>
        <w:t>Document history</w:t>
      </w:r>
    </w:p>
    <w:tbl>
      <w:tblPr>
        <w:tblStyle w:val="LightShading-Accent1"/>
        <w:tblW w:type="auto" w:w="0"/>
        <w:jc w:val="left"/>
        <w:tblLook w:firstColumn="1" w:firstRow="1" w:lastColumn="0" w:lastRow="0" w:noHBand="0" w:noVBand="1" w:val="04A0"/>
      </w:tblPr>
      <w:tblGrid>
        <w:gridCol w:w="3277"/>
        <w:gridCol w:w="3277"/>
        <w:gridCol w:w="3277"/>
      </w:tblGrid>
      <w:tr>
        <w:trPr>
          <w:tblHeader/>
          <w:cantSplit/>
        </w:trPr>
        <w:tc>
          <w:tcPr>
            <w:tcW w:type="dxa" w:w="3277"/>
          </w:tcPr>
          <w:p>
            <w:pPr>
              <w:pStyle w:val="TableText"/>
            </w:pPr>
            <w:r>
              <w:t>Revision</w:t>
            </w:r>
          </w:p>
        </w:tc>
        <w:tc>
          <w:tcPr>
            <w:tcW w:type="dxa" w:w="3277"/>
          </w:tcPr>
          <w:p>
            <w:pPr>
              <w:pStyle w:val="TableText"/>
            </w:pPr>
            <w:r>
              <w:t>Date</w:t>
            </w:r>
          </w:p>
        </w:tc>
        <w:tc>
          <w:tcPr>
            <w:tcW w:type="dxa" w:w="3277"/>
          </w:tcPr>
          <w:p>
            <w:pPr>
              <w:pStyle w:val="TableText"/>
            </w:pPr>
            <w:r>
              <w:t>Summary</w:t>
            </w:r>
          </w:p>
        </w:tc>
      </w:tr>
      <w:tr>
        <w:trPr>
          <w:cantSplit/>
        </w:trPr>
        <w:tc>
          <w:tcPr>
            <w:tcW w:type="dxa" w:w="3277"/>
          </w:tcPr>
          <w:p>
            <w:pPr>
              <w:pStyle w:val="TableText"/>
            </w:pPr>
            <w:r>
              <w:t>1.0</w:t>
            </w:r>
          </w:p>
        </w:tc>
        <w:tc>
          <w:tcPr>
            <w:tcW w:type="dxa" w:w="3277"/>
          </w:tcPr>
          <w:p>
            <w:pPr>
              <w:pStyle w:val="TableText"/>
            </w:pPr>
            <w:r>
              <w:t>2 June 2026</w:t>
            </w:r>
          </w:p>
        </w:tc>
        <w:tc>
          <w:tcPr>
            <w:tcW w:type="dxa" w:w="3277"/>
          </w:tcPr>
          <w:p>
            <w:pPr>
              <w:pStyle w:val="TableText"/>
            </w:pPr>
            <w:r>
              <w:t>Initial commercial draft</w:t>
            </w:r>
          </w:p>
        </w:tc>
      </w:tr>
      <w:tr>
        <w:trPr>
          <w:cantSplit/>
        </w:trPr>
        <w:tc>
          <w:tcPr>
            <w:tcW w:type="dxa" w:w="3277"/>
          </w:tcPr>
          <w:p>
            <w:pPr>
              <w:pStyle w:val="TableText"/>
            </w:pPr>
            <w:r>
              <w:t>2.0</w:t>
            </w:r>
          </w:p>
        </w:tc>
        <w:tc>
          <w:tcPr>
            <w:tcW w:type="dxa" w:w="3277"/>
          </w:tcPr>
          <w:p>
            <w:pPr>
              <w:pStyle w:val="TableText"/>
            </w:pPr>
            <w:r>
              <w:t>12 June 2026</w:t>
            </w:r>
          </w:p>
        </w:tc>
        <w:tc>
          <w:tcPr>
            <w:tcW w:type="dxa" w:w="3277"/>
          </w:tcPr>
          <w:p>
            <w:pPr>
              <w:pStyle w:val="TableText"/>
            </w:pPr>
            <w:r>
              <w:t>Added site-specific routine windows</w:t>
            </w:r>
          </w:p>
        </w:tc>
      </w:tr>
      <w:tr>
        <w:trPr>
          <w:cantSplit/>
        </w:trPr>
        <w:tc>
          <w:tcPr>
            <w:tcW w:type="dxa" w:w="3277"/>
          </w:tcPr>
          <w:p>
            <w:pPr>
              <w:pStyle w:val="TableText"/>
            </w:pPr>
            <w:r>
              <w:t>2.1</w:t>
            </w:r>
          </w:p>
        </w:tc>
        <w:tc>
          <w:tcPr>
            <w:tcW w:type="dxa" w:w="3277"/>
          </w:tcPr>
          <w:p>
            <w:pPr>
              <w:pStyle w:val="TableText"/>
            </w:pPr>
            <w:r>
              <w:t>18 June 2026</w:t>
            </w:r>
          </w:p>
        </w:tc>
        <w:tc>
          <w:tcPr>
            <w:tcW w:type="dxa" w:w="3277"/>
          </w:tcPr>
          <w:p>
            <w:pPr>
              <w:pStyle w:val="TableText"/>
            </w:pPr>
            <w:r>
              <w:t>Clarified winter access and evidence acceptance</w:t>
            </w:r>
          </w:p>
        </w:tc>
      </w:tr>
    </w:tbl>
    <w:p>
      <w:pPr>
        <w:pStyle w:val="Caption"/>
        <w:spacing w:before="360"/>
      </w:pPr>
      <w:r>
        <w:t>END OF AGREEMENT</w:t>
      </w:r>
    </w:p>
    <w:sectPr w:rsidR="00FC693F" w:rsidRPr="0006063C" w:rsidSect="00034616">
      <w:pgSz w:w="11906" w:h="16838"/>
      <w:pgMar w:top="979" w:right="1037" w:bottom="1037" w:left="1037" w:header="432" w:footer="432" w:gutter="0"/>
      <w:cols w:num="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3720" w:val="left"/>
      </w:tabs>
    </w:pPr>
    <w:r>
      <w:t>MCE-26-041  |  Issued 18 June 2026</w:t>
      <w:tab/>
      <w:t xml:space="preserve">Agreement  /  </w:t>
    </w:r>
    <w:r>
      <w:rPr>
        <w:sz w:val="20"/>
      </w:rPr>
      <w:fldChar w:fldCharType="begin"/>
    </w:r>
    <w:r>
      <w:rPr>
        <w:sz w:val="20"/>
      </w:rPr>
      <w:instrText xml:space="preserve"> PAGE </w:instrText>
    </w:r>
    <w:r>
      <w:rPr>
        <w:sz w:val="20"/>
      </w:rPr>
      <w:fldChar w:fldCharType="separate"/>
    </w:r>
    <w:r>
      <w:rPr>
        <w:sz w:val="20"/>
      </w:rPr>
      <w:t xml:space="preserve">1</w:t>
    </w:r>
    <w:r>
      <w:rPr>
        <w:sz w:val="20"/>
      </w:rPr>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footnoteRef/>
      </w:r>
      <w:r>
        <w:t xml:space="preserve">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decimal"/>
      <w:pStyle w:val="Clause"/>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59" w:lineRule="auto"/>
    </w:pPr>
    <w:rPr>
      <w:rFonts w:ascii="Liberation Sans" w:hAnsi="Liberation Sans" w:cs="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Liberation Sans" w:hAnsi="Liberation Sans" w:cs="Liberation Sans" w:eastAsia="Liberation Sans"/>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Liberation Sans" w:hAnsi="Liberation Sans" w:cs="Liberation Sans" w:eastAsia="Liberation Sans"/>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ascii="DejaVu Sans" w:hAnsi="DejaVu Sans" w:cs="DejaVu Sans" w:eastAsia="DejaVu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24" w:line="240" w:lineRule="auto"/>
      <w:outlineLvl w:val="1"/>
    </w:pPr>
    <w:rPr>
      <w:rFonts w:ascii="DejaVu Sans" w:hAnsi="DejaVu Sans" w:cs="DejaVu Sans" w:eastAsia="DejaVu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DejaVu Sans" w:hAnsi="DejaVu Sans" w:cs="DejaVu Sans" w:eastAsia="DejaVu Sans"/>
      <w:b w:val="0"/>
      <w:i w:val="0"/>
      <w:color w:val="173B5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DejaVu Sans" w:hAnsi="DejaVu Sans" w:cs="DejaVu Sans" w:eastAsia="DejaVu Sans"/>
      <w:b w:val="0"/>
      <w:i/>
      <w:iCs/>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before="0" w:after="200"/>
    </w:pPr>
    <w:rPr>
      <w:rFonts w:ascii="Liberation Sans" w:hAnsi="Liberation Sans" w:cs="Liberation Sans" w:eastAsia="Liberation Sans"/>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yLine">
    <w:name w:val="Party Line"/>
    <w:basedOn w:val="Normal"/>
    <w:pPr>
      <w:keepNext/>
      <w:spacing w:before="222" w:after="224" w:line="240" w:lineRule="auto"/>
    </w:pPr>
    <w:rPr>
      <w:rFonts w:ascii="DejaVu Sans" w:hAnsi="DejaVu Sans" w:cs="DejaVu Sans" w:eastAsia="DejaVu Sans"/>
      <w:b/>
      <w:color w:val="173B55"/>
      <w:sz w:val="26"/>
    </w:rPr>
  </w:style>
  <w:style w:type="paragraph" w:customStyle="1" w:styleId="TableText">
    <w:name w:val="Table Text"/>
    <w:basedOn w:val="Normal"/>
    <w:pPr>
      <w:spacing w:before="0" w:after="103" w:line="259" w:lineRule="auto"/>
    </w:pPr>
    <w:rPr>
      <w:sz w:val="18"/>
    </w:rPr>
  </w:style>
  <w:style w:type="paragraph" w:customStyle="1" w:styleId="Clause">
    <w:name w:val="Clause"/>
    <w:basedOn w:val="Normal"/>
    <w:pPr>
      <w:numPr>
        <w:numId w:val="90"/>
      </w:numPr>
    </w:pPr>
  </w:style>
  <w:style w:type="paragraph" w:customStyle="1" w:styleId="Figure">
    <w:name w:val="Figure"/>
    <w:basedOn w:val="Normal"/>
    <w:pPr>
      <w:keepNext/>
      <w:spacing w:before="120" w:after="152" w:line="240" w:lineRule="auto"/>
      <w:jc w:val="center"/>
    </w:pPr>
  </w:style>
  <w:style w:type="paragraph" w:customStyle="1" w:styleId="FootnoteText">
    <w:name w:val="Footnote Text"/>
    <w:basedOn w:val="Normal"/>
    <w:pPr>
      <w:spacing w:before="0" w:after="0" w:line="259" w:lineRule="auto"/>
    </w:p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monitoring and response agreement</dc:title>
  <dc:subject>Procurement reference MCE-26-041, Revision 2.1</dc:subject>
  <dc:creator>Meridian Civic Estates - Procurement Services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