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r>
              <w:t xml:space="preserve"> including a documented comparison with the portable reference instrument, a second reading after stabilisation, a recorded ambient-temperature check and confirmation by the site escort</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