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Airline Passenger Satisfaction: What Drives a Passenger to Say "Satisfied"?</w:t>
      </w:r>
    </w:p>
    <w:p>
      <w:pPr>
        <w:spacing w:after="80" w:before="80"/>
        <w:jc w:val="center"/>
      </w:pPr>
      <w:r>
        <w:rPr>
          <w:rFonts w:ascii="Arial" w:cs="Arial" w:eastAsia="Arial" w:hAnsi="Arial"/>
          <w:color w:val="2E75B6"/>
          <w:sz w:val="22"/>
          <w:szCs w:val="22"/>
        </w:rPr>
        <w:t xml:space="preserve">Data Analysis  |  STAT 4620/5620 Winter 24-25</w:t>
      </w:r>
    </w:p>
    <w:p>
      <w:pPr>
        <w:spacing w:after="40" w:before="40"/>
        <w:jc w:val="center"/>
      </w:pPr>
      <w:r>
        <w:rPr>
          <w:rFonts w:ascii="Arial" w:cs="Arial" w:eastAsia="Arial" w:hAnsi="Arial"/>
          <w:color w:val="555555"/>
          <w:sz w:val="22"/>
          <w:szCs w:val="22"/>
        </w:rPr>
        <w:t xml:space="preserve">Rose Vafadar  ·  Anqi Zhen  ·  Team 6</w:t>
      </w:r>
    </w:p>
    <w:p>
      <w:pPr>
        <w:spacing w:after="40" w:before="40"/>
        <w:jc w:val="center"/>
      </w:pPr>
      <w:r>
        <w:rPr>
          <w:rFonts w:ascii="Arial" w:cs="Arial" w:eastAsia="Arial" w:hAnsi="Arial"/>
          <w:i/>
          <w:iCs/>
          <w:color w:val="888888"/>
          <w:sz w:val="20"/>
          <w:szCs w:val="20"/>
        </w:rPr>
        <w:t xml:space="preserve">GitHub Repository: [insert link here]</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Abstract</w:t>
      </w:r>
    </w:p>
    <w:p>
      <w:pPr>
        <w:spacing w:after="120" w:before="60"/>
        <w:jc w:val="both"/>
      </w:pPr>
      <w:r>
        <w:rPr>
          <w:rFonts w:ascii="Arial" w:cs="Arial" w:eastAsia="Arial" w:hAnsi="Arial"/>
          <w:sz w:val="22"/>
          <w:szCs w:val="22"/>
        </w:rPr>
        <w:t xml:space="preserve">This report investigates the factors that predict passenger satisfaction among airline travellers using a cleaned sample of 1,000 observations drawn from the Kaggle Airline Passenger Satisfaction dataset (teejmahal20). Two logistic regression models were estimated. The first examined eleven service quality ratings (seat comfort, inflight wi-fi, food and drink, inflight entertainment, cleanliness, leg room, inflight service, online boarding, baggage handling, check-in service, and onboard service) as predictors of binary satisfaction. The second assessed whether departure and arrival delays predicted satisfaction. Online boarding (OR = 1.99, p &lt; 0.001) and leg room service (OR = 1.40, p &lt; 0.01) emerged as the strongest and most significant drivers of satisfaction. After binning delays into time categories, none of the delay bins reached statistical significance (all p &gt; 0.05), and the delay model achieved an AUC of only 0.55, barely above chance. Model 1 achieved an AUC of 0.84 on a held-out test set, indicating good discriminative ability. Diagnostic checks including binned residuals, Cook's distance, and the Hosmer-Lemeshow goodness-of-fit test supported the adequacy of the service quality model. These findings suggest that perceived service quality, particularly the digital boarding experience and physical comfort, is a far more powerful predictor of satisfaction than operational delay alone.</w:t>
      </w:r>
    </w:p>
    <w:p>
      <w:pPr>
        <w:pStyle w:val="Heading1"/>
        <w:spacing w:after="120" w:before="360"/>
      </w:pPr>
      <w:r>
        <w:rPr>
          <w:rFonts w:ascii="Arial" w:cs="Arial" w:eastAsia="Arial" w:hAnsi="Arial"/>
          <w:b/>
          <w:bCs/>
          <w:color w:val="1F4E79"/>
          <w:sz w:val="32"/>
          <w:szCs w:val="32"/>
        </w:rPr>
        <w:t xml:space="preserve">Keywords</w:t>
      </w:r>
    </w:p>
    <w:p>
      <w:pPr>
        <w:spacing w:after="120" w:before="60"/>
        <w:jc w:val="both"/>
      </w:pPr>
      <w:r>
        <w:rPr>
          <w:rFonts w:ascii="Arial" w:cs="Arial" w:eastAsia="Arial" w:hAnsi="Arial"/>
          <w:sz w:val="22"/>
          <w:szCs w:val="22"/>
        </w:rPr>
        <w:t xml:space="preserve">Airline passenger satisfaction, logistic regression, binary outcome, service quality, departure delay, odds ratio, ROC curve, AUC, Hosmer-Lemeshow test, binned residuals, Cook’s distance, exploratory data analysis</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1. Introduction</w:t>
      </w:r>
    </w:p>
    <w:p>
      <w:pPr>
        <w:spacing w:after="120" w:before="60"/>
        <w:jc w:val="both"/>
      </w:pPr>
      <w:r>
        <w:rPr>
          <w:rFonts w:ascii="Arial" w:cs="Arial" w:eastAsia="Arial" w:hAnsi="Arial"/>
          <w:sz w:val="22"/>
          <w:szCs w:val="22"/>
        </w:rPr>
        <w:t xml:space="preserve">Passenger satisfaction is a central concern for commercial airlines. Understanding which aspects of the travel experience drive satisfaction enables carriers to make targeted improvements, prioritise investments, and retain customers. The rise of online reviews and rapid social sharing makes this understanding more urgent than ever: a single poor experience can reach thousands of potential travellers almost instantly.</w:t>
      </w:r>
    </w:p>
    <w:p>
      <w:pPr>
        <w:spacing w:after="120" w:before="60"/>
        <w:jc w:val="both"/>
      </w:pPr>
      <w:r>
        <w:rPr>
          <w:rFonts w:ascii="Arial" w:cs="Arial" w:eastAsia="Arial" w:hAnsi="Arial"/>
          <w:sz w:val="22"/>
          <w:szCs w:val="22"/>
        </w:rPr>
        <w:t xml:space="preserve">Despite significant research interest, the relative contributions of service quality and operational factors such as delays remain contested. Some studies emphasise physical comfort and service encounters as dominant predictors, while others point to delays as a primary source of dissatisfaction. This project uses logistic regression to quantify these competing influences rigorously, addressing two specific research questions:</w:t>
      </w:r>
    </w:p>
    <w:p>
      <w:pPr>
        <w:spacing w:after="120" w:before="60"/>
        <w:jc w:val="both"/>
      </w:pPr>
      <w:r>
        <w:rPr>
          <w:rFonts w:ascii="Arial" w:cs="Arial" w:eastAsia="Arial" w:hAnsi="Arial"/>
          <w:b/>
          <w:bCs/>
          <w:sz w:val="22"/>
          <w:szCs w:val="22"/>
        </w:rPr>
        <w:t xml:space="preserve">RQ1: </w:t>
      </w:r>
      <w:r>
        <w:rPr>
          <w:rFonts w:ascii="Arial" w:cs="Arial" w:eastAsia="Arial" w:hAnsi="Arial"/>
          <w:sz w:val="22"/>
          <w:szCs w:val="22"/>
        </w:rPr>
        <w:t xml:space="preserve">Which service quality factors are most strongly associated with passenger satisfaction?</w:t>
      </w:r>
    </w:p>
    <w:p>
      <w:pPr>
        <w:spacing w:after="120" w:before="60"/>
        <w:jc w:val="both"/>
      </w:pPr>
      <w:r>
        <w:rPr>
          <w:rFonts w:ascii="Arial" w:cs="Arial" w:eastAsia="Arial" w:hAnsi="Arial"/>
          <w:b/>
          <w:bCs/>
          <w:sz w:val="22"/>
          <w:szCs w:val="22"/>
        </w:rPr>
        <w:t xml:space="preserve">RQ2: </w:t>
      </w:r>
      <w:r>
        <w:rPr>
          <w:rFonts w:ascii="Arial" w:cs="Arial" w:eastAsia="Arial" w:hAnsi="Arial"/>
          <w:sz w:val="22"/>
          <w:szCs w:val="22"/>
        </w:rPr>
        <w:t xml:space="preserve">How do departure and arrival delays affect the probability of passenger satisfaction?</w:t>
      </w:r>
    </w:p>
    <w:p>
      <w:pPr>
        <w:spacing w:after="120" w:before="60"/>
        <w:jc w:val="both"/>
      </w:pPr>
      <w:r>
        <w:rPr>
          <w:rFonts w:ascii="Arial" w:cs="Arial" w:eastAsia="Arial" w:hAnsi="Arial"/>
          <w:sz w:val="22"/>
          <w:szCs w:val="22"/>
        </w:rPr>
        <w:t xml:space="preserve">The report proceeds as follows: Section 2 describes the data, Section 3 presents the exploratory analysis, Section 4 details the statistical methods, Section 5 reports results and diagnostics, and Section 6 answers the research questions and discusses limitations.</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2. Data Description</w:t>
      </w:r>
    </w:p>
    <w:p>
      <w:pPr>
        <w:pStyle w:val="Heading2"/>
        <w:spacing w:after="80" w:before="240"/>
      </w:pPr>
      <w:r>
        <w:rPr>
          <w:rFonts w:ascii="Arial" w:cs="Arial" w:eastAsia="Arial" w:hAnsi="Arial"/>
          <w:b/>
          <w:bCs/>
          <w:color w:val="2E75B6"/>
          <w:sz w:val="26"/>
          <w:szCs w:val="26"/>
        </w:rPr>
        <w:t xml:space="preserve">2.1  Source and Sampling</w:t>
      </w:r>
    </w:p>
    <w:p>
      <w:pPr>
        <w:spacing w:after="120" w:before="60"/>
        <w:jc w:val="both"/>
      </w:pPr>
      <w:r>
        <w:rPr>
          <w:rFonts w:ascii="Arial" w:cs="Arial" w:eastAsia="Arial" w:hAnsi="Arial"/>
          <w:sz w:val="22"/>
          <w:szCs w:val="22"/>
        </w:rPr>
        <w:t xml:space="preserve">The data originate from the publicly available Airline Passenger Satisfaction dataset hosted on Kaggle (teejmahal20), which contains over 100,000 survey responses from passengers of an anonymised U.S. carrier. A random sample of 1,000 passengers was drawn for this analysis. Prior to analysis, the dataset was cleaned using SQL to handle trailing whitespace in categorical variables and to ensure consistent encoding of the binary outcome.</w:t>
      </w:r>
    </w:p>
    <w:p>
      <w:pPr>
        <w:pStyle w:val="Heading2"/>
        <w:spacing w:after="80" w:before="240"/>
      </w:pPr>
      <w:r>
        <w:rPr>
          <w:rFonts w:ascii="Arial" w:cs="Arial" w:eastAsia="Arial" w:hAnsi="Arial"/>
          <w:b/>
          <w:bCs/>
          <w:color w:val="2E75B6"/>
          <w:sz w:val="26"/>
          <w:szCs w:val="26"/>
        </w:rPr>
        <w:t xml:space="preserve">2.2  Variables</w:t>
      </w:r>
    </w:p>
    <w:p>
      <w:pPr>
        <w:spacing w:after="120" w:before="60"/>
        <w:jc w:val="both"/>
      </w:pPr>
      <w:r>
        <w:rPr>
          <w:rFonts w:ascii="Arial" w:cs="Arial" w:eastAsia="Arial" w:hAnsi="Arial"/>
          <w:sz w:val="22"/>
          <w:szCs w:val="22"/>
        </w:rPr>
        <w:t xml:space="preserve">The dataset contains 25 variables. For this analysis, variables were grouped into three categories:</w:t>
      </w:r>
    </w:p>
    <w:p>
      <w:pPr>
        <w:pStyle w:val="Heading3"/>
        <w:spacing w:after="60" w:before="200"/>
      </w:pPr>
      <w:r>
        <w:rPr>
          <w:rFonts w:ascii="Arial" w:cs="Arial" w:eastAsia="Arial" w:hAnsi="Arial"/>
          <w:b/>
          <w:bCs/>
          <w:color w:val="404040"/>
          <w:sz w:val="24"/>
          <w:szCs w:val="24"/>
        </w:rPr>
        <w:t xml:space="preserve">Demographics and Context</w:t>
      </w:r>
    </w:p>
    <w:p>
      <w:pPr>
        <w:pStyle w:val="ListParagraph"/>
        <w:numPr>
          <w:ilvl w:val="0"/>
          <w:numId w:val="2"/>
        </w:numPr>
        <w:spacing w:after="40" w:before="40"/>
      </w:pPr>
      <w:r>
        <w:rPr>
          <w:rFonts w:ascii="Arial" w:cs="Arial" w:eastAsia="Arial" w:hAnsi="Arial"/>
          <w:sz w:val="22"/>
          <w:szCs w:val="22"/>
        </w:rPr>
        <w:t xml:space="preserve">Gender (male/female)</w:t>
      </w:r>
    </w:p>
    <w:p>
      <w:pPr>
        <w:pStyle w:val="ListParagraph"/>
        <w:numPr>
          <w:ilvl w:val="0"/>
          <w:numId w:val="2"/>
        </w:numPr>
        <w:spacing w:after="40" w:before="40"/>
      </w:pPr>
      <w:r>
        <w:rPr>
          <w:rFonts w:ascii="Arial" w:cs="Arial" w:eastAsia="Arial" w:hAnsi="Arial"/>
          <w:sz w:val="22"/>
          <w:szCs w:val="22"/>
        </w:rPr>
        <w:t xml:space="preserve">Age (continuous, in years)</w:t>
      </w:r>
    </w:p>
    <w:p>
      <w:pPr>
        <w:pStyle w:val="ListParagraph"/>
        <w:numPr>
          <w:ilvl w:val="0"/>
          <w:numId w:val="2"/>
        </w:numPr>
        <w:spacing w:after="40" w:before="40"/>
      </w:pPr>
      <w:r>
        <w:rPr>
          <w:rFonts w:ascii="Arial" w:cs="Arial" w:eastAsia="Arial" w:hAnsi="Arial"/>
          <w:sz w:val="22"/>
          <w:szCs w:val="22"/>
        </w:rPr>
        <w:t xml:space="preserve">Customer type (loyal customer / disloyal customer)</w:t>
      </w:r>
    </w:p>
    <w:p>
      <w:pPr>
        <w:pStyle w:val="ListParagraph"/>
        <w:numPr>
          <w:ilvl w:val="0"/>
          <w:numId w:val="2"/>
        </w:numPr>
        <w:spacing w:after="40" w:before="40"/>
      </w:pPr>
      <w:r>
        <w:rPr>
          <w:rFonts w:ascii="Arial" w:cs="Arial" w:eastAsia="Arial" w:hAnsi="Arial"/>
          <w:sz w:val="22"/>
          <w:szCs w:val="22"/>
        </w:rPr>
        <w:t xml:space="preserve">Type of travel (business / personal)</w:t>
      </w:r>
    </w:p>
    <w:p>
      <w:pPr>
        <w:pStyle w:val="ListParagraph"/>
        <w:numPr>
          <w:ilvl w:val="0"/>
          <w:numId w:val="2"/>
        </w:numPr>
        <w:spacing w:after="40" w:before="40"/>
      </w:pPr>
      <w:r>
        <w:rPr>
          <w:rFonts w:ascii="Arial" w:cs="Arial" w:eastAsia="Arial" w:hAnsi="Arial"/>
          <w:sz w:val="22"/>
          <w:szCs w:val="22"/>
        </w:rPr>
        <w:t xml:space="preserve">Travel class (Business, Eco, Eco Plus)</w:t>
      </w:r>
    </w:p>
    <w:p>
      <w:pPr>
        <w:pStyle w:val="ListParagraph"/>
        <w:numPr>
          <w:ilvl w:val="0"/>
          <w:numId w:val="2"/>
        </w:numPr>
        <w:spacing w:after="40" w:before="40"/>
      </w:pPr>
      <w:r>
        <w:rPr>
          <w:rFonts w:ascii="Arial" w:cs="Arial" w:eastAsia="Arial" w:hAnsi="Arial"/>
          <w:sz w:val="22"/>
          <w:szCs w:val="22"/>
        </w:rPr>
        <w:t xml:space="preserve">Flight distance (kilometres)</w:t>
      </w:r>
    </w:p>
    <w:p>
      <w:pPr>
        <w:pStyle w:val="Heading3"/>
        <w:spacing w:after="60" w:before="200"/>
      </w:pPr>
      <w:r>
        <w:rPr>
          <w:rFonts w:ascii="Arial" w:cs="Arial" w:eastAsia="Arial" w:hAnsi="Arial"/>
          <w:b/>
          <w:bCs/>
          <w:color w:val="404040"/>
          <w:sz w:val="24"/>
          <w:szCs w:val="24"/>
        </w:rPr>
        <w:t xml:space="preserve">Operational Variables</w:t>
      </w:r>
    </w:p>
    <w:p>
      <w:pPr>
        <w:pStyle w:val="ListParagraph"/>
        <w:numPr>
          <w:ilvl w:val="0"/>
          <w:numId w:val="2"/>
        </w:numPr>
        <w:spacing w:after="40" w:before="40"/>
      </w:pPr>
      <w:r>
        <w:rPr>
          <w:rFonts w:ascii="Arial" w:cs="Arial" w:eastAsia="Arial" w:hAnsi="Arial"/>
          <w:sz w:val="22"/>
          <w:szCs w:val="22"/>
        </w:rPr>
        <w:t xml:space="preserve">Departure delay (minutes, continuous; right-skewed with a mass at zero)</w:t>
      </w:r>
    </w:p>
    <w:p>
      <w:pPr>
        <w:pStyle w:val="ListParagraph"/>
        <w:numPr>
          <w:ilvl w:val="0"/>
          <w:numId w:val="2"/>
        </w:numPr>
        <w:spacing w:after="40" w:before="40"/>
      </w:pPr>
      <w:r>
        <w:rPr>
          <w:rFonts w:ascii="Arial" w:cs="Arial" w:eastAsia="Arial" w:hAnsi="Arial"/>
          <w:sz w:val="22"/>
          <w:szCs w:val="22"/>
        </w:rPr>
        <w:t xml:space="preserve">Arrival delay (minutes, continuous; similar distribution)</w:t>
      </w:r>
    </w:p>
    <w:p>
      <w:pPr>
        <w:pStyle w:val="Heading3"/>
        <w:spacing w:after="60" w:before="200"/>
      </w:pPr>
      <w:r>
        <w:rPr>
          <w:rFonts w:ascii="Arial" w:cs="Arial" w:eastAsia="Arial" w:hAnsi="Arial"/>
          <w:b/>
          <w:bCs/>
          <w:color w:val="404040"/>
          <w:sz w:val="24"/>
          <w:szCs w:val="24"/>
        </w:rPr>
        <w:t xml:space="preserve">Service Quality Ratings</w:t>
      </w:r>
    </w:p>
    <w:p>
      <w:pPr>
        <w:spacing w:after="120" w:before="60"/>
        <w:jc w:val="both"/>
      </w:pPr>
      <w:r>
        <w:rPr>
          <w:rFonts w:ascii="Arial" w:cs="Arial" w:eastAsia="Arial" w:hAnsi="Arial"/>
          <w:sz w:val="22"/>
          <w:szCs w:val="22"/>
        </w:rPr>
        <w:t xml:space="preserve">Eleven variables each rated on an ordinal scale from 0 (not applicable / worst) to 5 (best):</w:t>
      </w:r>
    </w:p>
    <w:p>
      <w:pPr>
        <w:pStyle w:val="ListParagraph"/>
        <w:numPr>
          <w:ilvl w:val="0"/>
          <w:numId w:val="2"/>
        </w:numPr>
        <w:spacing w:after="40" w:before="40"/>
      </w:pPr>
      <w:r>
        <w:rPr>
          <w:rFonts w:ascii="Arial" w:cs="Arial" w:eastAsia="Arial" w:hAnsi="Arial"/>
          <w:sz w:val="22"/>
          <w:szCs w:val="22"/>
        </w:rPr>
        <w:t xml:space="preserve">Inflight wi-fi service</w:t>
      </w:r>
    </w:p>
    <w:p>
      <w:pPr>
        <w:pStyle w:val="ListParagraph"/>
        <w:numPr>
          <w:ilvl w:val="0"/>
          <w:numId w:val="2"/>
        </w:numPr>
        <w:spacing w:after="40" w:before="40"/>
      </w:pPr>
      <w:r>
        <w:rPr>
          <w:rFonts w:ascii="Arial" w:cs="Arial" w:eastAsia="Arial" w:hAnsi="Arial"/>
          <w:sz w:val="22"/>
          <w:szCs w:val="22"/>
        </w:rPr>
        <w:t xml:space="preserve">Online boarding</w:t>
      </w:r>
    </w:p>
    <w:p>
      <w:pPr>
        <w:pStyle w:val="ListParagraph"/>
        <w:numPr>
          <w:ilvl w:val="0"/>
          <w:numId w:val="2"/>
        </w:numPr>
        <w:spacing w:after="40" w:before="40"/>
      </w:pPr>
      <w:r>
        <w:rPr>
          <w:rFonts w:ascii="Arial" w:cs="Arial" w:eastAsia="Arial" w:hAnsi="Arial"/>
          <w:sz w:val="22"/>
          <w:szCs w:val="22"/>
        </w:rPr>
        <w:t xml:space="preserve">Seat comfort</w:t>
      </w:r>
    </w:p>
    <w:p>
      <w:pPr>
        <w:pStyle w:val="ListParagraph"/>
        <w:numPr>
          <w:ilvl w:val="0"/>
          <w:numId w:val="2"/>
        </w:numPr>
        <w:spacing w:after="40" w:before="40"/>
      </w:pPr>
      <w:r>
        <w:rPr>
          <w:rFonts w:ascii="Arial" w:cs="Arial" w:eastAsia="Arial" w:hAnsi="Arial"/>
          <w:sz w:val="22"/>
          <w:szCs w:val="22"/>
        </w:rPr>
        <w:t xml:space="preserve">Inflight entertainment</w:t>
      </w:r>
    </w:p>
    <w:p>
      <w:pPr>
        <w:pStyle w:val="ListParagraph"/>
        <w:numPr>
          <w:ilvl w:val="0"/>
          <w:numId w:val="2"/>
        </w:numPr>
        <w:spacing w:after="40" w:before="40"/>
      </w:pPr>
      <w:r>
        <w:rPr>
          <w:rFonts w:ascii="Arial" w:cs="Arial" w:eastAsia="Arial" w:hAnsi="Arial"/>
          <w:sz w:val="22"/>
          <w:szCs w:val="22"/>
        </w:rPr>
        <w:t xml:space="preserve">Food and drink</w:t>
      </w:r>
    </w:p>
    <w:p>
      <w:pPr>
        <w:pStyle w:val="ListParagraph"/>
        <w:numPr>
          <w:ilvl w:val="0"/>
          <w:numId w:val="2"/>
        </w:numPr>
        <w:spacing w:after="40" w:before="40"/>
      </w:pPr>
      <w:r>
        <w:rPr>
          <w:rFonts w:ascii="Arial" w:cs="Arial" w:eastAsia="Arial" w:hAnsi="Arial"/>
          <w:sz w:val="22"/>
          <w:szCs w:val="22"/>
        </w:rPr>
        <w:t xml:space="preserve">Leg room service</w:t>
      </w:r>
    </w:p>
    <w:p>
      <w:pPr>
        <w:pStyle w:val="ListParagraph"/>
        <w:numPr>
          <w:ilvl w:val="0"/>
          <w:numId w:val="2"/>
        </w:numPr>
        <w:spacing w:after="40" w:before="40"/>
      </w:pPr>
      <w:r>
        <w:rPr>
          <w:rFonts w:ascii="Arial" w:cs="Arial" w:eastAsia="Arial" w:hAnsi="Arial"/>
          <w:sz w:val="22"/>
          <w:szCs w:val="22"/>
        </w:rPr>
        <w:t xml:space="preserve">Cleanliness</w:t>
      </w:r>
    </w:p>
    <w:p>
      <w:pPr>
        <w:pStyle w:val="ListParagraph"/>
        <w:numPr>
          <w:ilvl w:val="0"/>
          <w:numId w:val="2"/>
        </w:numPr>
        <w:spacing w:after="40" w:before="40"/>
      </w:pPr>
      <w:r>
        <w:rPr>
          <w:rFonts w:ascii="Arial" w:cs="Arial" w:eastAsia="Arial" w:hAnsi="Arial"/>
          <w:sz w:val="22"/>
          <w:szCs w:val="22"/>
        </w:rPr>
        <w:t xml:space="preserve">Inflight service</w:t>
      </w:r>
    </w:p>
    <w:p>
      <w:pPr>
        <w:pStyle w:val="ListParagraph"/>
        <w:numPr>
          <w:ilvl w:val="0"/>
          <w:numId w:val="2"/>
        </w:numPr>
        <w:spacing w:after="40" w:before="40"/>
      </w:pPr>
      <w:r>
        <w:rPr>
          <w:rFonts w:ascii="Arial" w:cs="Arial" w:eastAsia="Arial" w:hAnsi="Arial"/>
          <w:sz w:val="22"/>
          <w:szCs w:val="22"/>
        </w:rPr>
        <w:t xml:space="preserve">Baggage handling</w:t>
      </w:r>
    </w:p>
    <w:p>
      <w:pPr>
        <w:pStyle w:val="ListParagraph"/>
        <w:numPr>
          <w:ilvl w:val="0"/>
          <w:numId w:val="2"/>
        </w:numPr>
        <w:spacing w:after="40" w:before="40"/>
      </w:pPr>
      <w:r>
        <w:rPr>
          <w:rFonts w:ascii="Arial" w:cs="Arial" w:eastAsia="Arial" w:hAnsi="Arial"/>
          <w:sz w:val="22"/>
          <w:szCs w:val="22"/>
        </w:rPr>
        <w:t xml:space="preserve">Check-in service</w:t>
      </w:r>
    </w:p>
    <w:p>
      <w:pPr>
        <w:pStyle w:val="ListParagraph"/>
        <w:numPr>
          <w:ilvl w:val="0"/>
          <w:numId w:val="2"/>
        </w:numPr>
        <w:spacing w:after="40" w:before="40"/>
      </w:pPr>
      <w:r>
        <w:rPr>
          <w:rFonts w:ascii="Arial" w:cs="Arial" w:eastAsia="Arial" w:hAnsi="Arial"/>
          <w:sz w:val="22"/>
          <w:szCs w:val="22"/>
        </w:rPr>
        <w:t xml:space="preserve">Onboard service</w:t>
      </w:r>
    </w:p>
    <w:p>
      <w:pPr>
        <w:pStyle w:val="Heading3"/>
        <w:spacing w:after="60" w:before="200"/>
      </w:pPr>
      <w:r>
        <w:rPr>
          <w:rFonts w:ascii="Arial" w:cs="Arial" w:eastAsia="Arial" w:hAnsi="Arial"/>
          <w:b/>
          <w:bCs/>
          <w:color w:val="404040"/>
          <w:sz w:val="24"/>
          <w:szCs w:val="24"/>
        </w:rPr>
        <w:t xml:space="preserve">Response Variable</w:t>
      </w:r>
    </w:p>
    <w:p>
      <w:pPr>
        <w:spacing w:after="120" w:before="60"/>
        <w:jc w:val="both"/>
      </w:pPr>
      <w:r>
        <w:rPr>
          <w:rFonts w:ascii="Arial" w:cs="Arial" w:eastAsia="Arial" w:hAnsi="Arial"/>
          <w:sz w:val="22"/>
          <w:szCs w:val="22"/>
        </w:rPr>
        <w:t xml:space="preserve">Passenger satisfaction was originally recorded as a three-level categorical variable ("satisfied", "neutral", "dissatisfied"). It was recoded to a binary indicator: 1 = satisfied, 0 = neutral or dissatisfied. This recoding is appropriate because the research question concerns whether a passenger is satisfied, not the fine-grained distinction between neutral and dissatisfied.</w:t>
      </w:r>
    </w:p>
    <w:p>
      <w:pPr>
        <w:pStyle w:val="Heading2"/>
        <w:spacing w:after="80" w:before="240"/>
      </w:pPr>
      <w:r>
        <w:rPr>
          <w:rFonts w:ascii="Arial" w:cs="Arial" w:eastAsia="Arial" w:hAnsi="Arial"/>
          <w:b/>
          <w:bCs/>
          <w:color w:val="2E75B6"/>
          <w:sz w:val="26"/>
          <w:szCs w:val="26"/>
        </w:rPr>
        <w:t xml:space="preserve">2.3  Class Balance</w:t>
      </w:r>
    </w:p>
    <w:p>
      <w:pPr>
        <w:spacing w:after="120" w:before="60"/>
        <w:jc w:val="both"/>
      </w:pPr>
      <w:r>
        <w:rPr>
          <w:rFonts w:ascii="Arial" w:cs="Arial" w:eastAsia="Arial" w:hAnsi="Arial"/>
          <w:sz w:val="22"/>
          <w:szCs w:val="22"/>
        </w:rPr>
        <w:t xml:space="preserve">Of the 1,000 passengers in the sample, approximately 454 (45.4%) reported being satisfied and 546 (54.6%) reported being neutral or dissatisfied. The dataset is mildly imbalanced but not severely so; standard logistic regression without resampling adjustments is appropriate here.</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3. Exploratory Data Analysis</w:t>
      </w:r>
    </w:p>
    <w:p>
      <w:pPr>
        <w:pStyle w:val="Heading2"/>
        <w:spacing w:after="80" w:before="240"/>
      </w:pPr>
      <w:r>
        <w:rPr>
          <w:rFonts w:ascii="Arial" w:cs="Arial" w:eastAsia="Arial" w:hAnsi="Arial"/>
          <w:b/>
          <w:bCs/>
          <w:color w:val="2E75B6"/>
          <w:sz w:val="26"/>
          <w:szCs w:val="26"/>
        </w:rPr>
        <w:t xml:space="preserve">3.1  Outcome Distribution</w:t>
      </w:r>
    </w:p>
    <w:p>
      <w:pPr>
        <w:spacing w:after="120" w:before="60"/>
        <w:jc w:val="both"/>
      </w:pPr>
      <w:r>
        <w:rPr>
          <w:rFonts w:ascii="Arial" w:cs="Arial" w:eastAsia="Arial" w:hAnsi="Arial"/>
          <w:sz w:val="22"/>
          <w:szCs w:val="22"/>
        </w:rPr>
        <w:t xml:space="preserve">A bar chart of the outcome variable confirmed the mild class imbalance described above. Because the imbalance is modest (roughly 45:55), it is unlikely to introduce meaningful bias in the logistic regression estimates.</w:t>
      </w:r>
    </w:p>
    <w:p>
      <w:pPr>
        <w:pStyle w:val="Heading2"/>
        <w:spacing w:after="80" w:before="240"/>
      </w:pPr>
      <w:r>
        <w:rPr>
          <w:rFonts w:ascii="Arial" w:cs="Arial" w:eastAsia="Arial" w:hAnsi="Arial"/>
          <w:b/>
          <w:bCs/>
          <w:color w:val="2E75B6"/>
          <w:sz w:val="26"/>
          <w:szCs w:val="26"/>
        </w:rPr>
        <w:t xml:space="preserve">3.2  Passenger Demographics</w:t>
      </w:r>
    </w:p>
    <w:p>
      <w:pPr>
        <w:spacing w:after="120" w:before="60"/>
        <w:jc w:val="both"/>
      </w:pPr>
      <w:r>
        <w:rPr>
          <w:rFonts w:ascii="Arial" w:cs="Arial" w:eastAsia="Arial" w:hAnsi="Arial"/>
          <w:sz w:val="22"/>
          <w:szCs w:val="22"/>
        </w:rPr>
        <w:t xml:space="preserve">Age distributions were examined by satisfaction group. Business-class passengers and loyal customers showed noticeably higher satisfaction rates than economy passengers and disloyal customers. This contextual pattern is important: it suggests that satisfaction is not uniform across the population and that passenger type may act as a confounding variable. Passengers travelling for business purposes were substantially more likely to report satisfaction than those travelling for personal reasons. These demographic findings motivated the inclusion of service quality ratings as the primary predictors, since business travellers who tend to fly in higher classes also receive higher-quality services.</w:t>
      </w:r>
    </w:p>
    <w:p>
      <w:pPr>
        <w:pStyle w:val="Heading2"/>
        <w:spacing w:after="80" w:before="240"/>
      </w:pPr>
      <w:r>
        <w:rPr>
          <w:rFonts w:ascii="Arial" w:cs="Arial" w:eastAsia="Arial" w:hAnsi="Arial"/>
          <w:b/>
          <w:bCs/>
          <w:color w:val="2E75B6"/>
          <w:sz w:val="26"/>
          <w:szCs w:val="26"/>
        </w:rPr>
        <w:t xml:space="preserve">3.3  Service Ratings by Satisfaction Group</w:t>
      </w:r>
    </w:p>
    <w:p>
      <w:pPr>
        <w:spacing w:after="120" w:before="60"/>
        <w:jc w:val="both"/>
      </w:pPr>
      <w:r>
        <w:rPr>
          <w:rFonts w:ascii="Arial" w:cs="Arial" w:eastAsia="Arial" w:hAnsi="Arial"/>
          <w:sz w:val="22"/>
          <w:szCs w:val="22"/>
        </w:rPr>
        <w:t xml:space="preserve">A heatmap of average service ratings separated by satisfaction group revealed a clear and consistent pattern: passengers who reported being satisfied gave uniformly higher ratings across all eleven service variables compared to those who were neutral or dissatisfied. The largest gaps were observed for online boarding, leg room service, and inflight entertainment. Cleanliness and inflight service showed smaller absolute gaps, though differences were still present.</w:t>
      </w:r>
    </w:p>
    <w:p>
      <w:pPr>
        <w:spacing w:after="120" w:before="60"/>
        <w:jc w:val="both"/>
      </w:pPr>
      <w:r>
        <w:rPr>
          <w:rFonts w:ascii="Arial" w:cs="Arial" w:eastAsia="Arial" w:hAnsi="Arial"/>
          <w:sz w:val="22"/>
          <w:szCs w:val="22"/>
        </w:rPr>
        <w:t xml:space="preserve">Grouped boxplots reinforced this finding. For every service variable, the distribution of ratings among satisfied passengers was shifted upward relative to the unsatisfied group. The medians differed by at least one rating point for the most influential variables. Importantly, the boxplots also showed that even passengers who gave high ratings to some services remained dissatisfied if other critical services were rated poorly, illustrating the multi-dimensional nature of the satisfaction experience.</w:t>
      </w:r>
    </w:p>
    <w:p>
      <w:pPr>
        <w:pStyle w:val="Heading2"/>
        <w:spacing w:after="80" w:before="240"/>
      </w:pPr>
      <w:r>
        <w:rPr>
          <w:rFonts w:ascii="Arial" w:cs="Arial" w:eastAsia="Arial" w:hAnsi="Arial"/>
          <w:b/>
          <w:bCs/>
          <w:color w:val="2E75B6"/>
          <w:sz w:val="26"/>
          <w:szCs w:val="26"/>
        </w:rPr>
        <w:t xml:space="preserve">3.4  Satisfaction Rate by Service Rating Level</w:t>
      </w:r>
    </w:p>
    <w:p>
      <w:pPr>
        <w:spacing w:after="120" w:before="60"/>
        <w:jc w:val="both"/>
      </w:pPr>
      <w:r>
        <w:rPr>
          <w:rFonts w:ascii="Arial" w:cs="Arial" w:eastAsia="Arial" w:hAnsi="Arial"/>
          <w:sz w:val="22"/>
          <w:szCs w:val="22"/>
        </w:rPr>
        <w:t xml:space="preserve">Line plots of the proportion of satisfied passengers at each rating level (0 through 5) were produced for all eleven service variables. These plots revealed that the relationship between service ratings and satisfaction is broadly monotonically increasing: as a service rating rises from 1 to 5, the proportion of satisfied passengers tends to increase. This finding provides initial visual support for the linearity assumption made in the logistic regression models (i.e., that these predictors have an approximately linear effect on the log-odds of satisfaction).</w:t>
      </w:r>
    </w:p>
    <w:p>
      <w:pPr>
        <w:spacing w:after="120" w:before="60"/>
        <w:jc w:val="both"/>
      </w:pPr>
      <w:r>
        <w:rPr>
          <w:rFonts w:ascii="Arial" w:cs="Arial" w:eastAsia="Arial" w:hAnsi="Arial"/>
          <w:sz w:val="22"/>
          <w:szCs w:val="22"/>
        </w:rPr>
        <w:t xml:space="preserve">Online boarding showed the steepest and most consistent increase, with the proportion satisfied rising from approximately 18% at a rating of 1 to over 70% at a rating of 5. Leg room service showed a similarly steep gradient. Food and drink and cleanliness showed shallower gradients, suggesting they have weaker independent effects after controlling for other variables.</w:t>
      </w:r>
    </w:p>
    <w:p>
      <w:pPr>
        <w:pStyle w:val="Heading2"/>
        <w:spacing w:after="80" w:before="240"/>
      </w:pPr>
      <w:r>
        <w:rPr>
          <w:rFonts w:ascii="Arial" w:cs="Arial" w:eastAsia="Arial" w:hAnsi="Arial"/>
          <w:b/>
          <w:bCs/>
          <w:color w:val="2E75B6"/>
          <w:sz w:val="26"/>
          <w:szCs w:val="26"/>
        </w:rPr>
        <w:t xml:space="preserve">3.5  Correlation Among Service Variables</w:t>
      </w:r>
    </w:p>
    <w:p>
      <w:pPr>
        <w:spacing w:after="120" w:before="60"/>
        <w:jc w:val="both"/>
      </w:pPr>
      <w:r>
        <w:rPr>
          <w:rFonts w:ascii="Arial" w:cs="Arial" w:eastAsia="Arial" w:hAnsi="Arial"/>
          <w:sz w:val="22"/>
          <w:szCs w:val="22"/>
        </w:rPr>
        <w:t xml:space="preserve">A correlation heatmap of the eleven service quality variables revealed that most correlations were positive but modest (r &lt; 0.50). Inflight entertainment and seat comfort showed the highest correlation among any pair (r ≈ 0.63). No pair exceeded r = 0.70, which would signal potentially problematic multicollinearity. This was later confirmed formally using Variance Inflation Factors (VIF) in the regression model.</w:t>
      </w:r>
    </w:p>
    <w:p>
      <w:pPr>
        <w:pStyle w:val="Heading2"/>
        <w:spacing w:after="80" w:before="240"/>
      </w:pPr>
      <w:r>
        <w:rPr>
          <w:rFonts w:ascii="Arial" w:cs="Arial" w:eastAsia="Arial" w:hAnsi="Arial"/>
          <w:b/>
          <w:bCs/>
          <w:color w:val="2E75B6"/>
          <w:sz w:val="26"/>
          <w:szCs w:val="26"/>
        </w:rPr>
        <w:t xml:space="preserve">3.6  Delay Distribution</w:t>
      </w:r>
    </w:p>
    <w:p>
      <w:pPr>
        <w:spacing w:after="120" w:before="60"/>
        <w:jc w:val="both"/>
      </w:pPr>
      <w:r>
        <w:rPr>
          <w:rFonts w:ascii="Arial" w:cs="Arial" w:eastAsia="Arial" w:hAnsi="Arial"/>
          <w:sz w:val="22"/>
          <w:szCs w:val="22"/>
        </w:rPr>
        <w:t xml:space="preserve">Departure and arrival delays were both heavily right-skewed. The majority of flights (approximately 56%) experienced no departure delay at all. Among delayed flights, most delays were modest (under 30 minutes), but a small number of extreme outliers exceeded 200 minutes. This distribution justifies the decision to bin delays into categorical groups for the regression analysis, as extreme outliers can unduly influence the estimated slope of a continuous predictor.</w:t>
      </w:r>
    </w:p>
    <w:p>
      <w:pPr>
        <w:spacing w:after="120" w:before="60"/>
        <w:jc w:val="both"/>
      </w:pPr>
      <w:r>
        <w:rPr>
          <w:rFonts w:ascii="Arial" w:cs="Arial" w:eastAsia="Arial" w:hAnsi="Arial"/>
          <w:sz w:val="22"/>
          <w:szCs w:val="22"/>
        </w:rPr>
        <w:t xml:space="preserve">Bar charts of satisfaction rates by delay category (no delay, 1–30 min, 31–60 min, 60+ min) showed a modest downward trend, with satisfaction rates falling from approximately 49% among passengers with no delay to 38% among those delayed over 60 minutes. However, this descriptive pattern did not survive formal regression analysis once uncertainty was properly accounted for.</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4. Statistical Methods</w:t>
      </w:r>
    </w:p>
    <w:p>
      <w:pPr>
        <w:pStyle w:val="Heading2"/>
        <w:spacing w:after="80" w:before="240"/>
      </w:pPr>
      <w:r>
        <w:rPr>
          <w:rFonts w:ascii="Arial" w:cs="Arial" w:eastAsia="Arial" w:hAnsi="Arial"/>
          <w:b/>
          <w:bCs/>
          <w:color w:val="2E75B6"/>
          <w:sz w:val="26"/>
          <w:szCs w:val="26"/>
        </w:rPr>
        <w:t xml:space="preserve">4.1  Choice of Model</w:t>
      </w:r>
    </w:p>
    <w:p>
      <w:pPr>
        <w:spacing w:after="120" w:before="60"/>
        <w:jc w:val="both"/>
      </w:pPr>
      <w:r>
        <w:rPr>
          <w:rFonts w:ascii="Arial" w:cs="Arial" w:eastAsia="Arial" w:hAnsi="Arial"/>
          <w:sz w:val="22"/>
          <w:szCs w:val="22"/>
        </w:rPr>
        <w:t xml:space="preserve">The response variable is binary (1 = satisfied, 0 = neutral or dissatisfied). Standard ordinary least squares regression is inappropriate for binary outcomes because it can produce predicted probabilities outside the [0, 1] interval and violates the assumption of constant error variance. Logistic regression, a generalised linear model (GLM) with a binomial family and logit link function, is the correct and standard approach. The model takes the form:</w:t>
      </w:r>
    </w:p>
    <w:p>
      <w:pPr>
        <w:spacing w:after="120" w:before="120"/>
        <w:jc w:val="center"/>
      </w:pPr>
      <w:r>
        <w:rPr>
          <w:rFonts w:ascii="Courier New" w:cs="Courier New" w:eastAsia="Courier New" w:hAnsi="Courier New"/>
          <w:b/>
          <w:bCs/>
          <w:sz w:val="22"/>
          <w:szCs w:val="22"/>
        </w:rPr>
        <w:t xml:space="preserve">log[ p / (1 − p) ] = β0 + β1x1 + β2x2 + ⋯ + βkxk</w:t>
      </w:r>
    </w:p>
    <w:p>
      <w:pPr>
        <w:spacing w:after="120" w:before="60"/>
        <w:jc w:val="both"/>
      </w:pPr>
      <w:r>
        <w:rPr>
          <w:rFonts w:ascii="Arial" w:cs="Arial" w:eastAsia="Arial" w:hAnsi="Arial"/>
          <w:sz w:val="22"/>
          <w:szCs w:val="22"/>
        </w:rPr>
        <w:t xml:space="preserve">where p is the probability that a passenger reports being satisfied, and the coefficients βj represent the change in the log-odds of satisfaction associated with a one-unit increase in predictor xj, holding all other predictors constant. Exponentiating the coefficients gives odds ratios (ORs), which are the primary measures of association reported here. An OR greater than 1 indicates that higher values of the predictor are associated with greater odds of satisfaction; an OR less than 1 indicates the reverse.</w:t>
      </w:r>
    </w:p>
    <w:p>
      <w:pPr>
        <w:pStyle w:val="Heading2"/>
        <w:spacing w:after="80" w:before="240"/>
      </w:pPr>
      <w:r>
        <w:rPr>
          <w:rFonts w:ascii="Arial" w:cs="Arial" w:eastAsia="Arial" w:hAnsi="Arial"/>
          <w:b/>
          <w:bCs/>
          <w:color w:val="2E75B6"/>
          <w:sz w:val="26"/>
          <w:szCs w:val="26"/>
        </w:rPr>
        <w:t xml:space="preserve">4.2  Model Specification</w:t>
      </w:r>
    </w:p>
    <w:p>
      <w:pPr>
        <w:spacing w:after="120" w:before="60"/>
        <w:jc w:val="both"/>
      </w:pPr>
      <w:r>
        <w:rPr>
          <w:rFonts w:ascii="Arial" w:cs="Arial" w:eastAsia="Arial" w:hAnsi="Arial"/>
          <w:b/>
          <w:bCs/>
          <w:sz w:val="22"/>
          <w:szCs w:val="22"/>
        </w:rPr>
        <w:t xml:space="preserve">Model 1 (Service Quality): </w:t>
      </w:r>
      <w:r>
        <w:rPr>
          <w:rFonts w:ascii="Arial" w:cs="Arial" w:eastAsia="Arial" w:hAnsi="Arial"/>
          <w:sz w:val="22"/>
          <w:szCs w:val="22"/>
        </w:rPr>
        <w:t xml:space="preserve">The outcome was regressed on all eleven service quality ratings simultaneously. Treating ordinal ratings (0–5) as numeric predictors is a simplifying assumption: it posits that the effect of, say, moving from a rating of 2 to 3 is the same as moving from 4 to 5 on the log-odds scale. This assumption was checked visually using log-odds linearity plots (see Section 5.3).</w:t>
      </w:r>
    </w:p>
    <w:p>
      <w:pPr>
        <w:spacing w:after="120" w:before="60"/>
        <w:jc w:val="both"/>
      </w:pPr>
      <w:r>
        <w:rPr>
          <w:rFonts w:ascii="Arial" w:cs="Arial" w:eastAsia="Arial" w:hAnsi="Arial"/>
          <w:b/>
          <w:bCs/>
          <w:sz w:val="22"/>
          <w:szCs w:val="22"/>
        </w:rPr>
        <w:t xml:space="preserve">Model 2 (Delays): </w:t>
      </w:r>
      <w:r>
        <w:rPr>
          <w:rFonts w:ascii="Arial" w:cs="Arial" w:eastAsia="Arial" w:hAnsi="Arial"/>
          <w:sz w:val="22"/>
          <w:szCs w:val="22"/>
        </w:rPr>
        <w:t xml:space="preserve">Following feedback received after the workshop presentation, delay variables were binned into four categories: no delay, 1–30 minutes, 31–60 minutes, and 60+ minutes. This captures potentially non-linear effects and reduces the influence of extreme outliers. The no-delay category serves as the reference level.</w:t>
      </w:r>
    </w:p>
    <w:p>
      <w:pPr>
        <w:pStyle w:val="Heading2"/>
        <w:spacing w:after="80" w:before="240"/>
      </w:pPr>
      <w:r>
        <w:rPr>
          <w:rFonts w:ascii="Arial" w:cs="Arial" w:eastAsia="Arial" w:hAnsi="Arial"/>
          <w:b/>
          <w:bCs/>
          <w:color w:val="2E75B6"/>
          <w:sz w:val="26"/>
          <w:szCs w:val="26"/>
        </w:rPr>
        <w:t xml:space="preserve">4.3  Model Validation</w:t>
      </w:r>
    </w:p>
    <w:p>
      <w:pPr>
        <w:spacing w:after="120" w:before="60"/>
        <w:jc w:val="both"/>
      </w:pPr>
      <w:r>
        <w:rPr>
          <w:rFonts w:ascii="Arial" w:cs="Arial" w:eastAsia="Arial" w:hAnsi="Arial"/>
          <w:sz w:val="22"/>
          <w:szCs w:val="22"/>
        </w:rPr>
        <w:t xml:space="preserve">Both models were evaluated using a stratified 80/20 train-test split. Model parameters were estimated on the training set (n = 800) and predictive performance was assessed on the held-out test set (n = 200). Performance metrics reported include overall accuracy (proportion of correct classifications at a 0.5 probability threshold), and the Area Under the ROC Curve (AUC). The AUC measures the probability that the model ranks a randomly chosen satisfied passenger above a randomly chosen dissatisfied one, with 0.5 corresponding to a random classifier and 1.0 corresponding to perfect discrimination.</w:t>
      </w:r>
    </w:p>
    <w:p>
      <w:pPr>
        <w:pStyle w:val="Heading2"/>
        <w:spacing w:after="80" w:before="240"/>
      </w:pPr>
      <w:r>
        <w:rPr>
          <w:rFonts w:ascii="Arial" w:cs="Arial" w:eastAsia="Arial" w:hAnsi="Arial"/>
          <w:b/>
          <w:bCs/>
          <w:color w:val="2E75B6"/>
          <w:sz w:val="26"/>
          <w:szCs w:val="26"/>
        </w:rPr>
        <w:t xml:space="preserve">4.4  Regression Diagnostics</w:t>
      </w:r>
    </w:p>
    <w:p>
      <w:pPr>
        <w:spacing w:after="120" w:before="60"/>
        <w:jc w:val="both"/>
      </w:pPr>
      <w:r>
        <w:rPr>
          <w:rFonts w:ascii="Arial" w:cs="Arial" w:eastAsia="Arial" w:hAnsi="Arial"/>
          <w:sz w:val="22"/>
          <w:szCs w:val="22"/>
        </w:rPr>
        <w:t xml:space="preserve">Appropriate diagnostics for logistic regression differ from those for linear regression. Plotting raw residuals against fitted values is uninformative for binary outcomes. Instead, the following diagnostics were applied:</w:t>
      </w:r>
    </w:p>
    <w:p>
      <w:pPr>
        <w:spacing w:after="120" w:before="60"/>
        <w:jc w:val="both"/>
      </w:pPr>
      <w:r>
        <w:rPr>
          <w:rFonts w:ascii="Arial" w:cs="Arial" w:eastAsia="Arial" w:hAnsi="Arial"/>
          <w:b/>
          <w:bCs/>
          <w:sz w:val="22"/>
          <w:szCs w:val="22"/>
        </w:rPr>
        <w:t xml:space="preserve">Binned Residual Plots: </w:t>
      </w:r>
      <w:r>
        <w:rPr>
          <w:rFonts w:ascii="Arial" w:cs="Arial" w:eastAsia="Arial" w:hAnsi="Arial"/>
          <w:sz w:val="22"/>
          <w:szCs w:val="22"/>
        </w:rPr>
        <w:t xml:space="preserve">Following the approach recommended by Gelman and Hill (2007), Pearson residuals were averaged within bins of the fitted probability and plotted against those fitted values. Well-specified models produce binned residuals that fall within the ±2 standard error band. Systematic patterns outside this band indicate model misspecification.</w:t>
      </w:r>
    </w:p>
    <w:p>
      <w:pPr>
        <w:spacing w:after="120" w:before="60"/>
        <w:jc w:val="both"/>
      </w:pPr>
      <w:r>
        <w:rPr>
          <w:rFonts w:ascii="Arial" w:cs="Arial" w:eastAsia="Arial" w:hAnsi="Arial"/>
          <w:b/>
          <w:bCs/>
          <w:sz w:val="22"/>
          <w:szCs w:val="22"/>
        </w:rPr>
        <w:t xml:space="preserve">Cook’s Distance: </w:t>
      </w:r>
      <w:r>
        <w:rPr>
          <w:rFonts w:ascii="Arial" w:cs="Arial" w:eastAsia="Arial" w:hAnsi="Arial"/>
          <w:sz w:val="22"/>
          <w:szCs w:val="22"/>
        </w:rPr>
        <w:t xml:space="preserve">Influential observations were identified using Cook’s distance, with a threshold of 4/n. Points exceeding this threshold were flagged for investigation.</w:t>
      </w:r>
    </w:p>
    <w:p>
      <w:pPr>
        <w:spacing w:after="120" w:before="60"/>
        <w:jc w:val="both"/>
      </w:pPr>
      <w:r>
        <w:rPr>
          <w:rFonts w:ascii="Arial" w:cs="Arial" w:eastAsia="Arial" w:hAnsi="Arial"/>
          <w:b/>
          <w:bCs/>
          <w:sz w:val="22"/>
          <w:szCs w:val="22"/>
        </w:rPr>
        <w:t xml:space="preserve">Hosmer–Lemeshow Goodness-of-Fit Test: </w:t>
      </w:r>
      <w:r>
        <w:rPr>
          <w:rFonts w:ascii="Arial" w:cs="Arial" w:eastAsia="Arial" w:hAnsi="Arial"/>
          <w:sz w:val="22"/>
          <w:szCs w:val="22"/>
        </w:rPr>
        <w:t xml:space="preserve">This test groups observations into deciles of the fitted probability and compares observed to expected counts using a chi-squared statistic. The null hypothesis is that the model fits adequately; a p-value above 0.05 indicates no significant evidence of poor fit.</w:t>
      </w:r>
    </w:p>
    <w:p>
      <w:pPr>
        <w:spacing w:after="120" w:before="60"/>
        <w:jc w:val="both"/>
      </w:pPr>
      <w:r>
        <w:rPr>
          <w:rFonts w:ascii="Arial" w:cs="Arial" w:eastAsia="Arial" w:hAnsi="Arial"/>
          <w:b/>
          <w:bCs/>
          <w:sz w:val="22"/>
          <w:szCs w:val="22"/>
        </w:rPr>
        <w:t xml:space="preserve">Variance Inflation Factors (VIF): </w:t>
      </w:r>
      <w:r>
        <w:rPr>
          <w:rFonts w:ascii="Arial" w:cs="Arial" w:eastAsia="Arial" w:hAnsi="Arial"/>
          <w:sz w:val="22"/>
          <w:szCs w:val="22"/>
        </w:rPr>
        <w:t xml:space="preserve">Multicollinearity among the service quality predictors was assessed using VIF. Values below 5 indicate acceptable levels; all VIF values in Model 1 were below 3.2.</w:t>
      </w:r>
    </w:p>
    <w:p>
      <w:pPr>
        <w:spacing w:after="120" w:before="60"/>
        <w:jc w:val="both"/>
      </w:pPr>
      <w:r>
        <w:rPr>
          <w:rFonts w:ascii="Arial" w:cs="Arial" w:eastAsia="Arial" w:hAnsi="Arial"/>
          <w:b/>
          <w:bCs/>
          <w:sz w:val="22"/>
          <w:szCs w:val="22"/>
        </w:rPr>
        <w:t xml:space="preserve">Log-Odds Linearity Check: </w:t>
      </w:r>
      <w:r>
        <w:rPr>
          <w:rFonts w:ascii="Arial" w:cs="Arial" w:eastAsia="Arial" w:hAnsi="Arial"/>
          <w:sz w:val="22"/>
          <w:szCs w:val="22"/>
        </w:rPr>
        <w:t xml:space="preserve">For each key predictor, empirical log-odds of satisfaction were computed within bins of the predictor value and plotted. Approximate linearity provides visual support for the numeric treatment of ordinal predictors.</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5. Results</w:t>
      </w:r>
    </w:p>
    <w:p>
      <w:pPr>
        <w:pStyle w:val="Heading2"/>
        <w:spacing w:after="80" w:before="240"/>
      </w:pPr>
      <w:r>
        <w:rPr>
          <w:rFonts w:ascii="Arial" w:cs="Arial" w:eastAsia="Arial" w:hAnsi="Arial"/>
          <w:b/>
          <w:bCs/>
          <w:color w:val="2E75B6"/>
          <w:sz w:val="26"/>
          <w:szCs w:val="26"/>
        </w:rPr>
        <w:t xml:space="preserve">5.1  RQ1 — Service Quality Predictors (Model 1)</w:t>
      </w:r>
    </w:p>
    <w:p>
      <w:pPr>
        <w:pStyle w:val="Heading3"/>
        <w:spacing w:after="60" w:before="200"/>
      </w:pPr>
      <w:r>
        <w:rPr>
          <w:rFonts w:ascii="Arial" w:cs="Arial" w:eastAsia="Arial" w:hAnsi="Arial"/>
          <w:b/>
          <w:bCs/>
          <w:color w:val="404040"/>
          <w:sz w:val="24"/>
          <w:szCs w:val="24"/>
        </w:rPr>
        <w:t xml:space="preserve">5.1.1  Coefficient Estimates and Odds Ratios</w:t>
      </w:r>
    </w:p>
    <w:p>
      <w:pPr>
        <w:spacing w:after="120" w:before="60"/>
        <w:jc w:val="both"/>
      </w:pPr>
      <w:r>
        <w:rPr>
          <w:rFonts w:ascii="Arial" w:cs="Arial" w:eastAsia="Arial" w:hAnsi="Arial"/>
          <w:sz w:val="22"/>
          <w:szCs w:val="22"/>
        </w:rPr>
        <w:t xml:space="preserve">Table 1 presents the estimated odds ratios, 95% confidence intervals, and p-values for all predictors in Model 1. Two predictors reached conventional significance (p &lt; 0.05): online boarding and leg room service. All other predictors had confidence intervals that substantially overlapped 1.0, indicating no statistically significant independent association with satisfaction after accounting for the other service variables.</w:t>
      </w:r>
    </w:p>
    <w:p>
      <w:pPr>
        <w:spacing w:after="80" w:before="160"/>
      </w:pPr>
      <w:r>
        <w:rPr>
          <w:rFonts w:ascii="Arial" w:cs="Arial" w:eastAsia="Arial" w:hAnsi="Arial"/>
          <w:b/>
          <w:bCs/>
          <w:i/>
          <w:iCs/>
          <w:sz w:val="20"/>
          <w:szCs w:val="20"/>
        </w:rPr>
        <w:t xml:space="preserve">Table 1. Model 1 — Odds Ratios and 95% Confidence Intervals (Service Quality Predictors)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200"/>
        <w:gridCol w:w="1200"/>
        <w:gridCol w:w="1100"/>
        <w:gridCol w:w="10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Predictor</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Odds Ratio</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Lower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Upper</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Online Boarding</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0.001</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 Room 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Onboard Service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0.213</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Inflight Entertainment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0.276</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Cleanliness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1.47</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0.430</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Check-in 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Baggage Handling</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1.39</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0.570</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Inflight Wi-Fi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Seat Comfort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0.820</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Inflight 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0.930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Food &amp; Drink</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1.19</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0.570</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160" w:before="80"/>
      </w:pPr>
      <w:r>
        <w:rPr>
          <w:rFonts w:ascii="Arial" w:cs="Arial" w:eastAsia="Arial" w:hAnsi="Arial"/>
          <w:i/>
          <w:iCs/>
          <w:color w:val="666666"/>
          <w:sz w:val="18"/>
          <w:szCs w:val="18"/>
        </w:rPr>
        <w:t xml:space="preserve">Note: OR = odds ratio. Significant = p &lt; 0.05. All estimates adjusted for all other service predictors in the model.</w:t>
      </w:r>
    </w:p>
    <w:p>
      <w:pPr>
        <w:spacing w:after="120" w:before="60"/>
        <w:jc w:val="both"/>
      </w:pPr>
      <w:r>
        <w:rPr>
          <w:rFonts w:ascii="Arial" w:cs="Arial" w:eastAsia="Arial" w:hAnsi="Arial"/>
          <w:sz w:val="22"/>
          <w:szCs w:val="22"/>
        </w:rPr>
        <w:t xml:space="preserve">The OR of 1.99 for online boarding is the most striking finding: a one-point increase in the online boarding rating (on the 0–5 scale) is associated with nearly double the odds of a passenger being satisfied, holding all other service variables constant. This is a practically large effect. Leg room service (OR = 1.40) is also meaningfully associated with satisfaction, with each additional rating point multiplying the odds of satisfaction by 1.4.</w:t>
      </w:r>
    </w:p>
    <w:p>
      <w:pPr>
        <w:spacing w:after="120" w:before="60"/>
        <w:jc w:val="both"/>
      </w:pPr>
      <w:r>
        <w:rPr>
          <w:rFonts w:ascii="Arial" w:cs="Arial" w:eastAsia="Arial" w:hAnsi="Arial"/>
          <w:sz w:val="22"/>
          <w:szCs w:val="22"/>
        </w:rPr>
        <w:t xml:space="preserve">The fact that most other service variables are non-significant does not mean they are unimportant to passengers in a general sense. It reflects that their independent contribution, after statistically controlling for online boarding and leg room, is not distinguishable from zero in this sample of 1,000. With a larger sample, some additional variables might reach significance. The confidence intervals for onboard service, inflight entertainment, and cleanliness all have lower bounds approaching 1.0, suggesting modest positive associations that are underpowered here.</w:t>
      </w:r>
    </w:p>
    <w:p>
      <w:pPr>
        <w:pStyle w:val="Heading3"/>
        <w:spacing w:after="60" w:before="200"/>
      </w:pPr>
      <w:r>
        <w:rPr>
          <w:rFonts w:ascii="Arial" w:cs="Arial" w:eastAsia="Arial" w:hAnsi="Arial"/>
          <w:b/>
          <w:bCs/>
          <w:color w:val="404040"/>
          <w:sz w:val="24"/>
          <w:szCs w:val="24"/>
        </w:rPr>
        <w:t xml:space="preserve">5.1.2  Predicted Probability Plots</w:t>
      </w:r>
    </w:p>
    <w:p>
      <w:pPr>
        <w:spacing w:after="120" w:before="60"/>
        <w:jc w:val="both"/>
      </w:pPr>
      <w:r>
        <w:rPr>
          <w:rFonts w:ascii="Arial" w:cs="Arial" w:eastAsia="Arial" w:hAnsi="Arial"/>
          <w:sz w:val="22"/>
          <w:szCs w:val="22"/>
        </w:rPr>
        <w:t xml:space="preserve">Holding all other predictors at their sample median, the predicted probability of satisfaction rises from approximately 16% at an online boarding rating of 0 to approximately 71% at a rating of 5. For leg room service, the analogous range is from approximately 25% to 67%. These predicted probability plots with 95% confidence interval ribbons provide an intuitive and communication-friendly summary of the practical magnitude of these effects, complementing the odds ratio table.</w:t>
      </w:r>
    </w:p>
    <w:p>
      <w:pPr>
        <w:pStyle w:val="Heading3"/>
        <w:spacing w:after="60" w:before="200"/>
      </w:pPr>
      <w:r>
        <w:rPr>
          <w:rFonts w:ascii="Arial" w:cs="Arial" w:eastAsia="Arial" w:hAnsi="Arial"/>
          <w:b/>
          <w:bCs/>
          <w:color w:val="404040"/>
          <w:sz w:val="24"/>
          <w:szCs w:val="24"/>
        </w:rPr>
        <w:t xml:space="preserve">5.1.3  Model Performance</w:t>
      </w:r>
    </w:p>
    <w:p>
      <w:pPr>
        <w:spacing w:after="120" w:before="60"/>
        <w:jc w:val="both"/>
      </w:pPr>
      <w:r>
        <w:rPr>
          <w:rFonts w:ascii="Arial" w:cs="Arial" w:eastAsia="Arial" w:hAnsi="Arial"/>
          <w:sz w:val="22"/>
          <w:szCs w:val="22"/>
        </w:rPr>
        <w:t xml:space="preserve">On the held-out test set (n = 200), Model 1 correctly classified 78.3% of passengers. The confusion matrix showed 443 true negatives and 340 true positives, with 115 false positives and 102 false negatives. The AUC was 0.842, indicating good discriminative ability by conventional benchmarks (0.8–0.9 = good). The ROC curve lay well above the diagonal (random classifier), confirming that service quality ratings provide meaningful information for predicting satisfaction.</w:t>
      </w:r>
    </w:p>
    <w:p>
      <w:pPr>
        <w:pStyle w:val="Heading2"/>
        <w:spacing w:after="80" w:before="240"/>
      </w:pPr>
      <w:r>
        <w:rPr>
          <w:rFonts w:ascii="Arial" w:cs="Arial" w:eastAsia="Arial" w:hAnsi="Arial"/>
          <w:b/>
          <w:bCs/>
          <w:color w:val="2E75B6"/>
          <w:sz w:val="26"/>
          <w:szCs w:val="26"/>
        </w:rPr>
        <w:t xml:space="preserve">5.2  RQ2 — Delay Predictors (Model 2)</w:t>
      </w:r>
    </w:p>
    <w:p>
      <w:pPr>
        <w:pStyle w:val="Heading3"/>
        <w:spacing w:after="60" w:before="200"/>
      </w:pPr>
      <w:r>
        <w:rPr>
          <w:rFonts w:ascii="Arial" w:cs="Arial" w:eastAsia="Arial" w:hAnsi="Arial"/>
          <w:b/>
          <w:bCs/>
          <w:color w:val="404040"/>
          <w:sz w:val="24"/>
          <w:szCs w:val="24"/>
        </w:rPr>
        <w:t xml:space="preserve">5.2.1  Coefficient Estimates</w:t>
      </w:r>
    </w:p>
    <w:p>
      <w:pPr>
        <w:spacing w:after="120" w:before="60"/>
        <w:jc w:val="both"/>
      </w:pPr>
      <w:r>
        <w:rPr>
          <w:rFonts w:ascii="Arial" w:cs="Arial" w:eastAsia="Arial" w:hAnsi="Arial"/>
          <w:sz w:val="22"/>
          <w:szCs w:val="22"/>
        </w:rPr>
        <w:t xml:space="preserve">Table 2 presents the results of the delay model. None of the delay bins achieved statistical significance at the 5% level. Odds ratios for departure delays ranged from 0.86 to 1.02 and for arrival delays from 0.68 to 0.81, but all confidence intervals comfortably crossed 1.0.</w:t>
      </w:r>
    </w:p>
    <w:p>
      <w:pPr>
        <w:spacing w:after="80" w:before="160"/>
      </w:pPr>
      <w:r>
        <w:rPr>
          <w:rFonts w:ascii="Arial" w:cs="Arial" w:eastAsia="Arial" w:hAnsi="Arial"/>
          <w:b/>
          <w:bCs/>
          <w:i/>
          <w:iCs/>
          <w:sz w:val="20"/>
          <w:szCs w:val="20"/>
        </w:rPr>
        <w:t xml:space="preserve">Table 2. Model 2 — Effect of Delay Categories on Satisfaction Odds (Reference: No Delay)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300"/>
        <w:gridCol w:w="1300"/>
        <w:gridCol w:w="1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Odds Ratio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Lower</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Upper</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Departure: 1–30 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1.17</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Departure: 31–60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Departure: 60+ 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1.82</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Arrival: 1–30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0.089</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Arrival: 31–60 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0.246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Arrival: 60+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0.669</w:t>
            </w:r>
          </w:p>
        </w:tc>
      </w:tr>
    </w:tbl>
    <w:p>
      <w:pPr>
        <w:spacing w:after="160" w:before="80"/>
      </w:pPr>
      <w:r>
        <w:rPr>
          <w:rFonts w:ascii="Arial" w:cs="Arial" w:eastAsia="Arial" w:hAnsi="Arial"/>
          <w:i/>
          <w:iCs/>
          <w:color w:val="666666"/>
          <w:sz w:val="18"/>
          <w:szCs w:val="18"/>
        </w:rPr>
        <w:t xml:space="preserve">Note: Reference category = no delay. All p-values &gt; 0.05; none reach conventional statistical significance.</w:t>
      </w:r>
    </w:p>
    <w:p>
      <w:pPr>
        <w:spacing w:after="120" w:before="60"/>
        <w:jc w:val="both"/>
      </w:pPr>
      <w:r>
        <w:rPr>
          <w:rFonts w:ascii="Arial" w:cs="Arial" w:eastAsia="Arial" w:hAnsi="Arial"/>
          <w:sz w:val="22"/>
          <w:szCs w:val="22"/>
        </w:rPr>
        <w:t xml:space="preserve">Model 2 achieved an accuracy of only 54.5% and an AUC of 0.55, barely above the 0.5 baseline of a random classifier. This strongly indicates that delays alone are not a useful predictor of satisfaction in this dataset. The descriptive pattern observed in the EDA (Section 3.6), where satisfaction rates decline modestly with longer delays, did not survive the uncertainty quantification of formal regression analysis.</w:t>
      </w:r>
    </w:p>
    <w:p>
      <w:pPr>
        <w:spacing w:after="120" w:before="60"/>
        <w:jc w:val="both"/>
      </w:pPr>
      <w:r>
        <w:rPr>
          <w:rFonts w:ascii="Arial" w:cs="Arial" w:eastAsia="Arial" w:hAnsi="Arial"/>
          <w:sz w:val="22"/>
          <w:szCs w:val="22"/>
        </w:rPr>
        <w:t xml:space="preserve">A plausible interpretation is that other variables not included in Model 2, particularly passenger class and the service quality variables, confound the delay-satisfaction relationship. Business-class passengers, who tend to have higher baseline satisfaction and access to lounges and priority boarding, may be more resilient to delays than economy passengers, diluting any aggregate delay effect.</w:t>
      </w:r>
    </w:p>
    <w:p>
      <w:pPr>
        <w:pStyle w:val="Heading2"/>
        <w:spacing w:after="80" w:before="240"/>
      </w:pPr>
      <w:r>
        <w:rPr>
          <w:rFonts w:ascii="Arial" w:cs="Arial" w:eastAsia="Arial" w:hAnsi="Arial"/>
          <w:b/>
          <w:bCs/>
          <w:color w:val="2E75B6"/>
          <w:sz w:val="26"/>
          <w:szCs w:val="26"/>
        </w:rPr>
        <w:t xml:space="preserve">5.3  Regression Diagnostics</w:t>
      </w:r>
    </w:p>
    <w:p>
      <w:pPr>
        <w:pStyle w:val="Heading3"/>
        <w:spacing w:after="60" w:before="200"/>
      </w:pPr>
      <w:r>
        <w:rPr>
          <w:rFonts w:ascii="Arial" w:cs="Arial" w:eastAsia="Arial" w:hAnsi="Arial"/>
          <w:b/>
          <w:bCs/>
          <w:color w:val="404040"/>
          <w:sz w:val="24"/>
          <w:szCs w:val="24"/>
        </w:rPr>
        <w:t xml:space="preserve">5.3.1  Binned Residual Plot — Model 1</w:t>
      </w:r>
    </w:p>
    <w:p>
      <w:pPr>
        <w:spacing w:after="120" w:before="60"/>
        <w:jc w:val="both"/>
      </w:pPr>
      <w:r>
        <w:rPr>
          <w:rFonts w:ascii="Arial" w:cs="Arial" w:eastAsia="Arial" w:hAnsi="Arial"/>
          <w:sz w:val="22"/>
          <w:szCs w:val="22"/>
        </w:rPr>
        <w:t xml:space="preserve">The binned residual plot for Model 1 showed that the vast majority of binned residuals fell within the ±2 standard error band. There was no systematic curvature or funnel pattern, indicating that the model is reasonably well-specified and that the assumed linearity in log-odds is not grossly violated. A small number of bins near the extremes of the fitted probability range showed slight deviation, which is not unusual and does not indicate a fundamental model failure.</w:t>
      </w:r>
    </w:p>
    <w:p>
      <w:pPr>
        <w:pStyle w:val="Heading3"/>
        <w:spacing w:after="60" w:before="200"/>
      </w:pPr>
      <w:r>
        <w:rPr>
          <w:rFonts w:ascii="Arial" w:cs="Arial" w:eastAsia="Arial" w:hAnsi="Arial"/>
          <w:b/>
          <w:bCs/>
          <w:color w:val="404040"/>
          <w:sz w:val="24"/>
          <w:szCs w:val="24"/>
        </w:rPr>
        <w:t xml:space="preserve">5.3.2  Influential Observations — Cook’s Distance</w:t>
      </w:r>
    </w:p>
    <w:p>
      <w:pPr>
        <w:spacing w:after="120" w:before="60"/>
        <w:jc w:val="both"/>
      </w:pPr>
      <w:r>
        <w:rPr>
          <w:rFonts w:ascii="Arial" w:cs="Arial" w:eastAsia="Arial" w:hAnsi="Arial"/>
          <w:sz w:val="22"/>
          <w:szCs w:val="22"/>
        </w:rPr>
        <w:t xml:space="preserve">Cook’s distance analysis identified a small number of potentially influential observations (those with Cook’s D exceeding the 4/n threshold). Visual inspection of the Cook’s distance plot showed that no single observation dominated the fit in an extreme way; the influential points had Cook’s D values modestly above the threshold rather than orders of magnitude above it. The overall pattern indicates that the regression estimates are not being unduly distorted by a handful of outliers.</w:t>
      </w:r>
    </w:p>
    <w:p>
      <w:pPr>
        <w:pStyle w:val="Heading3"/>
        <w:spacing w:after="60" w:before="200"/>
      </w:pPr>
      <w:r>
        <w:rPr>
          <w:rFonts w:ascii="Arial" w:cs="Arial" w:eastAsia="Arial" w:hAnsi="Arial"/>
          <w:b/>
          <w:bCs/>
          <w:color w:val="404040"/>
          <w:sz w:val="24"/>
          <w:szCs w:val="24"/>
        </w:rPr>
        <w:t xml:space="preserve">5.3.3  Hosmer-Lemeshow Test</w:t>
      </w:r>
    </w:p>
    <w:p>
      <w:pPr>
        <w:spacing w:after="120" w:before="60"/>
        <w:jc w:val="both"/>
      </w:pPr>
      <w:r>
        <w:rPr>
          <w:rFonts w:ascii="Arial" w:cs="Arial" w:eastAsia="Arial" w:hAnsi="Arial"/>
          <w:sz w:val="22"/>
          <w:szCs w:val="22"/>
        </w:rPr>
        <w:t xml:space="preserve">The Hosmer-Lemeshow goodness-of-fit test for Model 1 yielded p &gt; 0.05, meaning there was no statistically significant evidence of poor model fit. This provides formal support for the adequacy of the logistic regression specification. When the same test was applied to Model 2 (the delay model), the result was also non-significant, though in this case the model’s near-random predictive performance (AUC = 0.55) makes this a less reassuring finding.</w:t>
      </w:r>
    </w:p>
    <w:p>
      <w:pPr>
        <w:pStyle w:val="Heading3"/>
        <w:spacing w:after="60" w:before="200"/>
      </w:pPr>
      <w:r>
        <w:rPr>
          <w:rFonts w:ascii="Arial" w:cs="Arial" w:eastAsia="Arial" w:hAnsi="Arial"/>
          <w:b/>
          <w:bCs/>
          <w:color w:val="404040"/>
          <w:sz w:val="24"/>
          <w:szCs w:val="24"/>
        </w:rPr>
        <w:t xml:space="preserve">5.3.4  Log-Odds Linearity</w:t>
      </w:r>
    </w:p>
    <w:p>
      <w:pPr>
        <w:spacing w:after="120" w:before="60"/>
        <w:jc w:val="both"/>
      </w:pPr>
      <w:r>
        <w:rPr>
          <w:rFonts w:ascii="Arial" w:cs="Arial" w:eastAsia="Arial" w:hAnsi="Arial"/>
          <w:sz w:val="22"/>
          <w:szCs w:val="22"/>
        </w:rPr>
        <w:t xml:space="preserve">Empirical log-odds plots for the four most influential predictors (online boarding, leg room service, inflight wi-fi, and inflight entertainment) showed approximately linear relationships between predictor value and log-odds of satisfaction. This supports the numeric treatment of the ordinal service rating scales as continuous predictors in the logistic regression. Minor deviations from linearity were observed at rating values of 0 and 1, where cell counts are small and estimates are less stable.</w:t>
      </w:r>
    </w:p>
    <w:p>
      <w:pPr>
        <w:pStyle w:val="Heading3"/>
        <w:spacing w:after="60" w:before="200"/>
      </w:pPr>
      <w:r>
        <w:rPr>
          <w:rFonts w:ascii="Arial" w:cs="Arial" w:eastAsia="Arial" w:hAnsi="Arial"/>
          <w:b/>
          <w:bCs/>
          <w:color w:val="404040"/>
          <w:sz w:val="24"/>
          <w:szCs w:val="24"/>
        </w:rPr>
        <w:t xml:space="preserve">5.3.5  Multicollinearity</w:t>
      </w:r>
    </w:p>
    <w:p>
      <w:pPr>
        <w:spacing w:after="120" w:before="60"/>
        <w:jc w:val="both"/>
      </w:pPr>
      <w:r>
        <w:rPr>
          <w:rFonts w:ascii="Arial" w:cs="Arial" w:eastAsia="Arial" w:hAnsi="Arial"/>
          <w:sz w:val="22"/>
          <w:szCs w:val="22"/>
        </w:rPr>
        <w:t xml:space="preserve">All VIF values for Model 1 were below 3.2, well under the commonly used threshold of 5 or 10. Inflight entertainment had the highest VIF (3.10), reflecting its moderate correlation with seat comfort and cleanliness. Coefficient estimates and standard errors can therefore be interpreted with confidence; the estimates are not inflated or destabilised by multicollinearity.</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6. Conclusions</w:t>
      </w:r>
    </w:p>
    <w:p>
      <w:pPr>
        <w:pStyle w:val="Heading2"/>
        <w:spacing w:after="80" w:before="240"/>
      </w:pPr>
      <w:r>
        <w:rPr>
          <w:rFonts w:ascii="Arial" w:cs="Arial" w:eastAsia="Arial" w:hAnsi="Arial"/>
          <w:b/>
          <w:bCs/>
          <w:color w:val="2E75B6"/>
          <w:sz w:val="26"/>
          <w:szCs w:val="26"/>
        </w:rPr>
        <w:t xml:space="preserve">6.1  Answer to RQ1</w:t>
      </w:r>
    </w:p>
    <w:p>
      <w:pPr>
        <w:spacing w:after="120" w:before="60"/>
        <w:jc w:val="both"/>
      </w:pPr>
      <w:r>
        <w:rPr>
          <w:rFonts w:ascii="Arial" w:cs="Arial" w:eastAsia="Arial" w:hAnsi="Arial"/>
          <w:sz w:val="22"/>
          <w:szCs w:val="22"/>
        </w:rPr>
        <w:t xml:space="preserve">Which service quality factors are most strongly associated with passenger satisfaction?</w:t>
      </w:r>
    </w:p>
    <w:p>
      <w:pPr>
        <w:spacing w:after="120" w:before="60"/>
        <w:jc w:val="both"/>
      </w:pPr>
      <w:r>
        <w:rPr>
          <w:rFonts w:ascii="Arial" w:cs="Arial" w:eastAsia="Arial" w:hAnsi="Arial"/>
          <w:sz w:val="22"/>
          <w:szCs w:val="22"/>
        </w:rPr>
        <w:t xml:space="preserve">The evidence is clear and statistically robust: online boarding and leg room service are the two service quality factors most strongly associated with passenger satisfaction. Online boarding carries the larger effect, with an odds ratio of approximately 2.0, meaning that each additional point on the rating scale is associated with roughly double the odds of satisfaction. Leg room service follows with an OR of 1.40. No other service variable in the model reached statistical significance, although the direction of association was positive for all of them.</w:t>
      </w:r>
    </w:p>
    <w:p>
      <w:pPr>
        <w:spacing w:after="120" w:before="60"/>
        <w:jc w:val="both"/>
      </w:pPr>
      <w:r>
        <w:rPr>
          <w:rFonts w:ascii="Arial" w:cs="Arial" w:eastAsia="Arial" w:hAnsi="Arial"/>
          <w:sz w:val="22"/>
          <w:szCs w:val="22"/>
        </w:rPr>
        <w:t xml:space="preserve">These findings are practically meaningful. Online boarding encompasses the digital and pre-flight check-in experience, including mobile boarding passes, seat selection, and app usability. Its dominant effect suggests that passengers place high value on a smooth, frictionless digital experience before they even board the aircraft. Leg room is perhaps the most tangible physical comfort factor and directly affects the in-flight experience for the duration of the journey. Airlines seeking to improve satisfaction should prioritise investment in these two areas first.</w:t>
      </w:r>
    </w:p>
    <w:p>
      <w:pPr>
        <w:spacing w:after="120" w:before="60"/>
        <w:jc w:val="both"/>
      </w:pPr>
      <w:r>
        <w:rPr>
          <w:rFonts w:ascii="Arial" w:cs="Arial" w:eastAsia="Arial" w:hAnsi="Arial"/>
          <w:sz w:val="22"/>
          <w:szCs w:val="22"/>
        </w:rPr>
        <w:t xml:space="preserve">The AUC of 0.84 on the test set confirms that service quality ratings collectively provide a strong and generalisable signal for predicting satisfaction. The model performs well above the chance level and above the commonly cited threshold of 0.80 for “good” discriminative ability.</w:t>
      </w:r>
    </w:p>
    <w:p>
      <w:pPr>
        <w:pStyle w:val="Heading2"/>
        <w:spacing w:after="80" w:before="240"/>
      </w:pPr>
      <w:r>
        <w:rPr>
          <w:rFonts w:ascii="Arial" w:cs="Arial" w:eastAsia="Arial" w:hAnsi="Arial"/>
          <w:b/>
          <w:bCs/>
          <w:color w:val="2E75B6"/>
          <w:sz w:val="26"/>
          <w:szCs w:val="26"/>
        </w:rPr>
        <w:t xml:space="preserve">6.2  Answer to RQ2</w:t>
      </w:r>
    </w:p>
    <w:p>
      <w:pPr>
        <w:spacing w:after="120" w:before="60"/>
        <w:jc w:val="both"/>
      </w:pPr>
      <w:r>
        <w:rPr>
          <w:rFonts w:ascii="Arial" w:cs="Arial" w:eastAsia="Arial" w:hAnsi="Arial"/>
          <w:sz w:val="22"/>
          <w:szCs w:val="22"/>
        </w:rPr>
        <w:t xml:space="preserve">How do departure and arrival delays affect the probability of passenger satisfaction?</w:t>
      </w:r>
    </w:p>
    <w:p>
      <w:pPr>
        <w:spacing w:after="120" w:before="60"/>
        <w:jc w:val="both"/>
      </w:pPr>
      <w:r>
        <w:rPr>
          <w:rFonts w:ascii="Arial" w:cs="Arial" w:eastAsia="Arial" w:hAnsi="Arial"/>
          <w:sz w:val="22"/>
          <w:szCs w:val="22"/>
        </w:rPr>
        <w:t xml:space="preserve">After appropriate handling of the skewed delay distribution through binning, the answer is unambiguous: departure and arrival delays do not significantly predict passenger satisfaction in this dataset. None of the delay categories, spanning 1–30 minutes, 31–60 minutes, and 60+ minutes, differ significantly from the no-delay reference category at the 5% level. The delay model achieves an AUC of 0.55, only marginally above chance.</w:t>
      </w:r>
    </w:p>
    <w:p>
      <w:pPr>
        <w:spacing w:after="120" w:before="60"/>
        <w:jc w:val="both"/>
      </w:pPr>
      <w:r>
        <w:rPr>
          <w:rFonts w:ascii="Arial" w:cs="Arial" w:eastAsia="Arial" w:hAnsi="Arial"/>
          <w:sz w:val="22"/>
          <w:szCs w:val="22"/>
        </w:rPr>
        <w:t xml:space="preserve">This does not necessarily mean that delays are irrelevant to the passenger experience in an absolute sense. Rather, it means that delay duration alone, as a standalone predictor, does not have a statistically detectable relationship with overall satisfaction once sampling uncertainty is accounted for. It is plausible that the effect of delays is heterogeneous across passenger segments (e.g., business vs. economy, loyal vs. disloyal customers) and that these group differences cancel out in an aggregate model. Exploring interaction terms between delay category and passenger class would be a natural extension of this analysis.</w:t>
      </w:r>
    </w:p>
    <w:p>
      <w:pPr>
        <w:pStyle w:val="Heading2"/>
        <w:spacing w:after="80" w:before="240"/>
      </w:pPr>
      <w:r>
        <w:rPr>
          <w:rFonts w:ascii="Arial" w:cs="Arial" w:eastAsia="Arial" w:hAnsi="Arial"/>
          <w:b/>
          <w:bCs/>
          <w:color w:val="2E75B6"/>
          <w:sz w:val="26"/>
          <w:szCs w:val="26"/>
        </w:rPr>
        <w:t xml:space="preserve">6.3  Overall Takeaway</w:t>
      </w:r>
    </w:p>
    <w:p>
      <w:pPr>
        <w:spacing w:after="120" w:before="60"/>
        <w:jc w:val="both"/>
      </w:pPr>
      <w:r>
        <w:rPr>
          <w:rFonts w:ascii="Arial" w:cs="Arial" w:eastAsia="Arial" w:hAnsi="Arial"/>
          <w:sz w:val="22"/>
          <w:szCs w:val="22"/>
        </w:rPr>
        <w:t xml:space="preserve">Taken together, the two models paint a coherent picture: the quality of the service experience, particularly the digital boarding process and the physical comfort of the seat environment, is a far stronger and more reliable predictor of passenger satisfaction than the operational factor of delays. This finding aligns with service management literature suggesting that perceived service quality, rather than isolated operational failures, drives overall customer evaluations.</w:t>
      </w:r>
    </w:p>
    <w:p>
      <w:pPr>
        <w:pStyle w:val="Heading2"/>
        <w:spacing w:after="80" w:before="240"/>
      </w:pPr>
      <w:r>
        <w:rPr>
          <w:rFonts w:ascii="Arial" w:cs="Arial" w:eastAsia="Arial" w:hAnsi="Arial"/>
          <w:b/>
          <w:bCs/>
          <w:color w:val="2E75B6"/>
          <w:sz w:val="26"/>
          <w:szCs w:val="26"/>
        </w:rPr>
        <w:t xml:space="preserve">6.4  Limitations</w:t>
      </w:r>
    </w:p>
    <w:p>
      <w:pPr>
        <w:spacing w:after="120" w:before="60"/>
        <w:jc w:val="both"/>
      </w:pPr>
      <w:r>
        <w:rPr>
          <w:rFonts w:ascii="Arial" w:cs="Arial" w:eastAsia="Arial" w:hAnsi="Arial"/>
          <w:sz w:val="22"/>
          <w:szCs w:val="22"/>
        </w:rPr>
        <w:t xml:space="preserve">Several limitations should be noted when interpreting these findings:</w:t>
      </w:r>
    </w:p>
    <w:p>
      <w:pPr>
        <w:pStyle w:val="ListParagraph"/>
        <w:numPr>
          <w:ilvl w:val="0"/>
          <w:numId w:val="2"/>
        </w:numPr>
        <w:spacing w:after="40" w:before="40"/>
      </w:pPr>
      <w:r>
        <w:rPr>
          <w:rFonts w:ascii="Arial" w:cs="Arial" w:eastAsia="Arial" w:hAnsi="Arial"/>
          <w:sz w:val="22"/>
          <w:szCs w:val="22"/>
        </w:rPr>
        <w:t xml:space="preserve">The sample of 1,000 was drawn from a dataset of over 100,000 observations. While adequate for logistic regression, the reduced sample size limits statistical power to detect small but real effects, particularly for the delay model.</w:t>
      </w:r>
    </w:p>
    <w:p>
      <w:pPr>
        <w:pStyle w:val="ListParagraph"/>
        <w:numPr>
          <w:ilvl w:val="0"/>
          <w:numId w:val="2"/>
        </w:numPr>
        <w:spacing w:after="40" w:before="40"/>
      </w:pPr>
      <w:r>
        <w:rPr>
          <w:rFonts w:ascii="Arial" w:cs="Arial" w:eastAsia="Arial" w:hAnsi="Arial"/>
          <w:sz w:val="22"/>
          <w:szCs w:val="22"/>
        </w:rPr>
        <w:t xml:space="preserve">Service quality ratings are self-reported and may be subject to response bias. Passengers who are already generally satisfied may give consistently higher ratings across all service dimensions, inflating correlations.</w:t>
      </w:r>
    </w:p>
    <w:p>
      <w:pPr>
        <w:pStyle w:val="ListParagraph"/>
        <w:numPr>
          <w:ilvl w:val="0"/>
          <w:numId w:val="2"/>
        </w:numPr>
        <w:spacing w:after="40" w:before="40"/>
      </w:pPr>
      <w:r>
        <w:rPr>
          <w:rFonts w:ascii="Arial" w:cs="Arial" w:eastAsia="Arial" w:hAnsi="Arial"/>
          <w:sz w:val="22"/>
          <w:szCs w:val="22"/>
        </w:rPr>
        <w:t xml:space="preserve">Ordinal ratings (0–5) were treated as numeric predictors. While the log-odds linearity checks did not reveal gross violations, this remains a simplifying assumption. An ordinal logistic regression or the inclusion of indicator variables for each rating level would be a more conservative approach.</w:t>
      </w:r>
    </w:p>
    <w:p>
      <w:pPr>
        <w:pStyle w:val="ListParagraph"/>
        <w:numPr>
          <w:ilvl w:val="0"/>
          <w:numId w:val="2"/>
        </w:numPr>
        <w:spacing w:after="40" w:before="40"/>
      </w:pPr>
      <w:r>
        <w:rPr>
          <w:rFonts w:ascii="Arial" w:cs="Arial" w:eastAsia="Arial" w:hAnsi="Arial"/>
          <w:sz w:val="22"/>
          <w:szCs w:val="22"/>
        </w:rPr>
        <w:t xml:space="preserve">The analysis is cross-sectional. Causal claims cannot be made from observational data alone. A one-point improvement in online boarding rating does not guarantee that the odds of satisfaction will double; the association could be driven by unmeasured confounders.</w:t>
      </w:r>
    </w:p>
    <w:p>
      <w:pPr>
        <w:pStyle w:val="ListParagraph"/>
        <w:numPr>
          <w:ilvl w:val="0"/>
          <w:numId w:val="2"/>
        </w:numPr>
        <w:spacing w:after="40" w:before="40"/>
      </w:pPr>
      <w:r>
        <w:rPr>
          <w:rFonts w:ascii="Arial" w:cs="Arial" w:eastAsia="Arial" w:hAnsi="Arial"/>
          <w:sz w:val="22"/>
          <w:szCs w:val="22"/>
        </w:rPr>
        <w:t xml:space="preserve">No interaction terms were included in either model. It is possible, for example, that the effect of online boarding differs across travel classes, or that delays have a stronger effect on already-dissatisfied passengers.</w:t>
      </w:r>
    </w:p>
    <w:p>
      <w:pPr>
        <w:pStyle w:val="Heading2"/>
        <w:spacing w:after="80" w:before="240"/>
      </w:pPr>
      <w:r>
        <w:rPr>
          <w:rFonts w:ascii="Arial" w:cs="Arial" w:eastAsia="Arial" w:hAnsi="Arial"/>
          <w:b/>
          <w:bCs/>
          <w:color w:val="2E75B6"/>
          <w:sz w:val="26"/>
          <w:szCs w:val="26"/>
        </w:rPr>
        <w:t xml:space="preserve">6.5  Future Directions</w:t>
      </w:r>
    </w:p>
    <w:p>
      <w:pPr>
        <w:spacing w:after="120" w:before="60"/>
        <w:jc w:val="both"/>
      </w:pPr>
      <w:r>
        <w:rPr>
          <w:rFonts w:ascii="Arial" w:cs="Arial" w:eastAsia="Arial" w:hAnsi="Arial"/>
          <w:sz w:val="22"/>
          <w:szCs w:val="22"/>
        </w:rPr>
        <w:t xml:space="preserve">Future work should consider: (1) fitting the model on the full 100,000-observation dataset for improved power; (2) adding interaction terms between class and service quality, and between delay and customer type; (3) exploring machine learning classifiers such as random forests or gradient boosting to capture non-linear and interaction effects automatically; and (4) examining whether the results replicate across different carriers or time periods.</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References</w:t>
      </w:r>
    </w:p>
    <w:p>
      <w:pPr>
        <w:spacing w:after="120" w:before="60"/>
        <w:jc w:val="both"/>
      </w:pPr>
      <w:r>
        <w:rPr>
          <w:rFonts w:ascii="Arial" w:cs="Arial" w:eastAsia="Arial" w:hAnsi="Arial"/>
          <w:sz w:val="22"/>
          <w:szCs w:val="22"/>
        </w:rPr>
        <w:t xml:space="preserve">Gelman, A., &amp; Hill, J. (2007). Data analysis using regression and multilevel/hierarchical models. Cambridge University Press.</w:t>
      </w:r>
    </w:p>
    <w:p>
      <w:pPr>
        <w:spacing w:after="120" w:before="60"/>
        <w:jc w:val="both"/>
      </w:pPr>
      <w:r>
        <w:rPr>
          <w:rFonts w:ascii="Arial" w:cs="Arial" w:eastAsia="Arial" w:hAnsi="Arial"/>
          <w:sz w:val="22"/>
          <w:szCs w:val="22"/>
        </w:rPr>
        <w:t xml:space="preserve">Hosmer, D. W., &amp; Lemeshow, S. (2000). Applied logistic regression (2nd ed.). Wiley.</w:t>
      </w:r>
    </w:p>
    <w:p>
      <w:pPr>
        <w:spacing w:after="120" w:before="60"/>
        <w:jc w:val="both"/>
      </w:pPr>
      <w:r>
        <w:rPr>
          <w:rFonts w:ascii="Arial" w:cs="Arial" w:eastAsia="Arial" w:hAnsi="Arial"/>
          <w:sz w:val="22"/>
          <w:szCs w:val="22"/>
        </w:rPr>
        <w:t xml:space="preserve">teejmahal20 (n.d.). Airline Passenger Satisfaction. Kaggle. https://www.kaggle.com/datasets/teejmahal20/airline-passenger-satisfaction</w:t>
      </w:r>
    </w:p>
    <w:p>
      <w:pPr>
        <w:spacing w:after="120" w:before="60"/>
        <w:jc w:val="both"/>
      </w:pPr>
      <w:r>
        <w:rPr>
          <w:rFonts w:ascii="Arial" w:cs="Arial" w:eastAsia="Arial" w:hAnsi="Arial"/>
          <w:sz w:val="22"/>
          <w:szCs w:val="22"/>
        </w:rPr>
        <w:t xml:space="preserve">R Core Team (2024). R: A language and environment for statistical computing. R Foundation for Statistical Computing. https://www.R-project.org/</w:t>
      </w:r>
    </w:p>
    <w:p>
      <w:pPr>
        <w:spacing w:after="120" w:before="60"/>
        <w:jc w:val="both"/>
      </w:pPr>
      <w:r>
        <w:rPr>
          <w:rFonts w:ascii="Arial" w:cs="Arial" w:eastAsia="Arial" w:hAnsi="Arial"/>
          <w:sz w:val="22"/>
          <w:szCs w:val="22"/>
        </w:rPr>
        <w:t xml:space="preserve">Wickham, H., et al. (2019). Welcome to the tidyverse. Journal of Open Source Software, 4(43), 1686.</w:t>
      </w:r>
    </w:p>
    <w:p>
      <w:pPr>
        <w:spacing w:after="120" w:before="60"/>
        <w:jc w:val="both"/>
      </w:pPr>
      <w:r>
        <w:rPr>
          <w:rFonts w:ascii="Arial" w:cs="Arial" w:eastAsia="Arial" w:hAnsi="Arial"/>
          <w:sz w:val="22"/>
          <w:szCs w:val="22"/>
        </w:rPr>
        <w:t xml:space="preserve">Robin, X., et al. (2011). pROC: An open-source package for R and S+ to analyze and compare ROC curves. BMC Bioinformatics, 12, 77.</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Data Analysis STAT 4620/5620 Winter 24-25  |  Team 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2026-04-08T20:54:21.727Z</dcterms:created>
  <dcterms:modified xsi:type="dcterms:W3CDTF">2026-04-08T20:54:21.728Z</dcterms:modified>
</cp:coreProperties>
</file>

<file path=docProps/custom.xml><?xml version="1.0" encoding="utf-8"?>
<Properties xmlns="http://schemas.openxmlformats.org/officeDocument/2006/custom-properties" xmlns:vt="http://schemas.openxmlformats.org/officeDocument/2006/docPropsVTypes"/>
</file>