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2C6E6E"/>
          <w:sz w:val="18"/>
          <w:szCs w:val="18"/>
        </w:rPr>
        <w:t xml:space="preserve">CASE STUDY · SQL FRAUD DETECTION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B3A5C"/>
          <w:sz w:val="40"/>
          <w:szCs w:val="40"/>
        </w:rPr>
        <w:t xml:space="preserve">Catching Structuring &amp; Duplicate-Charge Fraud with SQL Rule Logic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B6B7A"/>
          <w:sz w:val="21"/>
          <w:szCs w:val="21"/>
        </w:rPr>
        <w:t xml:space="preserve">How a six-rule SQL detection engine turned 1,488 raw transactions into 15 accounts worth an analyst's time — illustrated end-to-end with one real flagged account.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0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763D"/>
                <w:sz w:val="30"/>
                <w:szCs w:val="30"/>
              </w:rPr>
              <w:t xml:space="preserve">1,488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Transactions screened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0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763D"/>
                <w:sz w:val="30"/>
                <w:szCs w:val="30"/>
              </w:rPr>
              <w:t xml:space="preserve">6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Independent SQL rules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0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763D"/>
                <w:sz w:val="30"/>
                <w:szCs w:val="30"/>
              </w:rPr>
              <w:t xml:space="preserve">15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Accounts escalated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0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763D"/>
                <w:sz w:val="30"/>
                <w:szCs w:val="30"/>
              </w:rPr>
              <w:t xml:space="preserve">43%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Of accounts (60 total)</w:t>
            </w:r>
          </w:p>
        </w:tc>
      </w:tr>
    </w:tbl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Situation</w:t>
      </w:r>
    </w:p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A 90-day window of synthetic transaction data — 1,488 transactions across 60 accounts, six channels (POS, Online, ATM, Wire, Mobile App), and eight countries — was set up as a stand-in for a bank or fintech's daily transaction feed. The task: build a detection layer that a fraud operations team could realistically run each morning, without knowing in advance which accounts were compromised or which typologies to expect.</w:t>
      </w:r>
    </w:p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The brief I set myself: write detection logic that would hold up under a real audit — every rule needed a defensible threshold and a clear reason a genuine customer wouldn't normally trip it, not just a rule tuned to find planted patterns.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Approach</w:t>
      </w:r>
    </w:p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I designed six SQL rules, each isolating one fraud typology independently so a single transaction could trip more than one — a stronger signal than any rule alone: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Structuring — 3+ wire transfers from one account inside 24 hours, cumulatively over $8,000, with every individual leg kept under the $10,000 reporting threshold.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Velocity spike — more than 6 transactions from one account inside a single 60-minute window.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Geographic impossibility — the same account transacting in two different countries within 24 hours.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Round-amount clustering — wire transfers in suspiciously clean denominations (exact multiples of $1,000).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Duplicate transaction — two POS charges, same account, same amount, same merchant category, within a 10-minute window.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Off-hours high-value withdrawal — ATM withdrawals over $2,000 between 12:00 AM and 5:00 AM.</w:t>
      </w:r>
    </w:p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Rules 1, 3, and 5 need to compare one transaction against others on the same account — a self-join, not a per-row filter — so I built them as multi-row SQL joins and window aggregations rather than trying to force them into single-cell formulas. A final roll-up query consolidates all six flags into one account-level view, so an analyst can triage by "how many independent rules did this account trip" instead of working rule-by-rule.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Walkthrough — Account ACC1024</w:t>
      </w:r>
    </w:p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Rather than just report aggregate counts, here's one account traced end-to-end exactly as an analyst would open the case file:</w:t>
      </w:r>
    </w:p>
    <w:p>
      <w:pPr>
        <w:spacing w:after="40" w:before="60"/>
      </w:pPr>
      <w:r>
        <w:rPr>
          <w:rFonts w:ascii="Consolas" w:cs="Consolas" w:eastAsia="Consolas" w:hAnsi="Consolas"/>
          <w:b/>
          <w:bCs/>
          <w:color w:val="2C6E6E"/>
          <w:sz w:val="16"/>
          <w:szCs w:val="16"/>
        </w:rPr>
        <w:t xml:space="preserve">TRIGGER 1 — STRUCTURING, 10 FEB 2026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000"/>
        <w:gridCol w:w="2000"/>
      </w:tblGrid>
      <w:tr>
        <w:trPr>
          <w:tblHeader/>
        </w:trPr>
        <w:tc>
          <w:tcPr>
            <w:tcW w:type="dxa" w:w="16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6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Transaction ID</w:t>
            </w:r>
          </w:p>
        </w:tc>
        <w:tc>
          <w:tcPr>
            <w:tcW w:type="dxa" w:w="20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09:34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TXN501396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$2,613.82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Wire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11:01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TXN501397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$2,753.87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Wire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12:28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TXN501398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$2,693.67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Wire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13:31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TXN501399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$2,931.62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Wire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Four wire transfers inside four hours, each comfortably under the $10,000 CTR-style threshold — but summing to $10,992.98. No single transaction would draw attention in isolation; only the same-account, same-day aggregation the SQL join performs makes the pattern visible.</w:t>
      </w:r>
    </w:p>
    <w:p>
      <w:pPr>
        <w:spacing w:after="40" w:before="60"/>
      </w:pPr>
      <w:r>
        <w:rPr>
          <w:rFonts w:ascii="Consolas" w:cs="Consolas" w:eastAsia="Consolas" w:hAnsi="Consolas"/>
          <w:b/>
          <w:bCs/>
          <w:color w:val="2C6E6E"/>
          <w:sz w:val="16"/>
          <w:szCs w:val="16"/>
        </w:rPr>
        <w:t xml:space="preserve">TRIGGER 2 — DUPLICATE CHARGE, 16 MAR 2026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000"/>
        <w:gridCol w:w="2000"/>
      </w:tblGrid>
      <w:tr>
        <w:trPr>
          <w:tblHeader/>
        </w:trPr>
        <w:tc>
          <w:tcPr>
            <w:tcW w:type="dxa" w:w="16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6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Transaction ID</w:t>
            </w:r>
          </w:p>
        </w:tc>
        <w:tc>
          <w:tcPr>
            <w:tcW w:type="dxa" w:w="20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Merchant Category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16:00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TXN501474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$96.19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Dining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16:03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TXN501475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$96.19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Dining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An identical $96.19 dining charge posted twice, three minutes apart — either a POS processing fault or a deliberate double-charge attempt. On its own this is a low-severity flag; combined with the structuring event five weeks earlier, it's enough to move the account from "flag and monitor" to "escalate for manual review."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Findings</w:t>
      </w:r>
    </w:p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Across the full dataset, 15 unique accounts tripped at least one of the three cross-transaction rules (structuring, geographic impossibility, or duplicate charge), and 26 of the 60 accounts — 43% — tripped at least one of all six rules combined. That ratio is a deliberate design signal, not a flaw: real fraud-ops queues are dominated by low-severity, single-rule flags, with a small minority of accounts (like ACC1024) escalating on multiple independent signals.</w:t>
      </w:r>
    </w:p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Once an account like ACC1024 is flagged by a cross-transaction rule, standard practice is to pull its full transaction history for the review window — not just the triggering rows — which is exactly what the account-level roll-up query is built to support.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Tools &amp; Technique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SQL (SQLite, portable to MySQL/PostgreSQL) — CTEs, self-joins, GROUP BY / HAVING aggregation, date-window arithmetic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Rule design grounded in real typologies: structuring/CTR-avoidance, velocity abuse, impossible-travel, round-tripping, duplicate billing, off-hours cash-out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Output built for triage, not raw dumps — every query returns only the account/transaction IDs an analyst needs to open a case</w:t>
      </w:r>
    </w:p>
    <w:p>
      <w:pPr>
        <w:pStyle w:val="Heading1"/>
        <w:pBdr>
          <w:bottom w:val="single" w:color="2C6E6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Why It Matters for the Role</w:t>
      </w:r>
    </w:p>
    <w:p>
      <w:pPr>
        <w:spacing w:after="140" w:line="300"/>
      </w:pPr>
      <w:r>
        <w:rPr>
          <w:rFonts w:ascii="Calibri" w:cs="Calibri" w:eastAsia="Calibri" w:hAnsi="Calibri"/>
          <w:color w:val="22303F"/>
          <w:sz w:val="21"/>
          <w:szCs w:val="21"/>
        </w:rPr>
        <w:t xml:space="preserve">This is the same reasoning a fraud analyst applies daily: pull the transaction feed, run standing detection logic, and separate the accounts worth a phone call from the ones that clear on review. The full query file (fraud_detection_queries.sql) and the underlying dataset are available on request — every number in this case study traces back to a query result, not an assumption.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7A"/>
        <w:sz w:val="14"/>
        <w:szCs w:val="14"/>
      </w:rPr>
      <w:t xml:space="preserve">Page </w:t>
    </w:r>
    <w:r>
      <w:rPr>
        <w:rFonts w:ascii="Calibri" w:cs="Calibri" w:eastAsia="Calibri" w:hAnsi="Calibri"/>
        <w:color w:val="5B6B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nsolas" w:cs="Consolas" w:eastAsia="Consolas" w:hAnsi="Consolas"/>
        <w:color w:val="5B6B7A"/>
        <w:sz w:val="14"/>
        <w:szCs w:val="14"/>
      </w:rPr>
      <w:t xml:space="preserve">ANANTH PILLAI · FRAUD ANALYTICS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2026-08-18T23:20:25.633Z</dcterms:created>
  <dcterms:modified xsi:type="dcterms:W3CDTF">2026-08-18T23:20:25.646Z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