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onsolas" w:cs="Consolas" w:eastAsia="Consolas" w:hAnsi="Consolas"/>
          <w:b/>
          <w:bCs/>
          <w:color w:val="2C6E6E"/>
          <w:sz w:val="18"/>
          <w:szCs w:val="18"/>
        </w:rPr>
        <w:t xml:space="preserve">CASE STUDY · ADVANCED EXCEL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1B3A5C"/>
          <w:sz w:val="40"/>
          <w:szCs w:val="40"/>
        </w:rPr>
        <w:t xml:space="preserve">Building a Fraud Risk Monitoring Dashboard in Excel</w:t>
      </w:r>
    </w:p>
    <w:p>
      <w:pPr>
        <w:spacing w:after="260"/>
      </w:pPr>
      <w:r>
        <w:rPr>
          <w:rFonts w:ascii="Calibri" w:cs="Calibri" w:eastAsia="Calibri" w:hAnsi="Calibri"/>
          <w:i/>
          <w:iCs/>
          <w:color w:val="5B6B7A"/>
          <w:sz w:val="21"/>
          <w:szCs w:val="21"/>
        </w:rPr>
        <w:t xml:space="preserve">Turning a flat 1,488-row transaction feed into a scored, chart-driven dashboard an ops team could actually run from — using COUNTIFS/SUMIFS logic and native Excel charts, not a single manual lookup.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0E9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8763D"/>
                <w:sz w:val="30"/>
                <w:szCs w:val="30"/>
              </w:rPr>
              <w:t xml:space="preserve">1,488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color w:val="5B6B7A"/>
                <w:sz w:val="16"/>
                <w:szCs w:val="16"/>
              </w:rPr>
              <w:t xml:space="preserve">Transactions scored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0E9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8763D"/>
                <w:sz w:val="30"/>
                <w:szCs w:val="30"/>
              </w:rPr>
              <w:t xml:space="preserve">4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color w:val="5B6B7A"/>
                <w:sz w:val="16"/>
                <w:szCs w:val="16"/>
              </w:rPr>
              <w:t xml:space="preserve">Combined risk flags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0E9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8763D"/>
                <w:sz w:val="30"/>
                <w:szCs w:val="30"/>
              </w:rPr>
              <w:t xml:space="preserve">13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color w:val="5B6B7A"/>
                <w:sz w:val="16"/>
                <w:szCs w:val="16"/>
              </w:rPr>
              <w:t xml:space="preserve">High-risk transactions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0E9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8763D"/>
                <w:sz w:val="30"/>
                <w:szCs w:val="30"/>
              </w:rPr>
              <w:t xml:space="preserve">19,745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color w:val="5B6B7A"/>
                <w:sz w:val="16"/>
                <w:szCs w:val="16"/>
              </w:rPr>
              <w:t xml:space="preserve">Formulas, zero errors</w:t>
            </w:r>
          </w:p>
        </w:tc>
      </w:tr>
    </w:tbl>
    <w:p>
      <w:pPr>
        <w:pStyle w:val="Heading1"/>
        <w:pBdr>
          <w:bottom w:val="single" w:color="2C6E6E" w:sz="8" w:space="4"/>
        </w:pBdr>
        <w:spacing w:after="140" w:before="32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Situation</w:t>
      </w:r>
    </w:p>
    <w:p>
      <w:pPr>
        <w:spacing w:after="140" w:line="300"/>
      </w:pPr>
      <w:r>
        <w:rPr>
          <w:rFonts w:ascii="Calibri" w:cs="Calibri" w:eastAsia="Calibri" w:hAnsi="Calibri"/>
          <w:color w:val="22303F"/>
          <w:sz w:val="21"/>
          <w:szCs w:val="21"/>
        </w:rPr>
        <w:t xml:space="preserve">The SQL project (companion case study) is built for deep, one-off investigation — an analyst runs it when they already suspect an account. But most fraud-ops teams also need something they can open every morning: a live, transaction-level risk score across the whole feed, and a dashboard that shows where the pressure is building before it becomes a case. That's a different tool for a different moment in the workflow, and it's where Excel — not SQL — is actually the better fit.</w:t>
      </w:r>
    </w:p>
    <w:p>
      <w:pPr>
        <w:pStyle w:val="Heading1"/>
        <w:pBdr>
          <w:bottom w:val="single" w:color="2C6E6E" w:sz="8" w:space="4"/>
        </w:pBdr>
        <w:spacing w:after="140" w:before="32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Approach</w:t>
      </w:r>
    </w:p>
    <w:p>
      <w:pPr>
        <w:spacing w:after="140" w:line="300"/>
      </w:pPr>
      <w:r>
        <w:rPr>
          <w:rFonts w:ascii="Calibri" w:cs="Calibri" w:eastAsia="Calibri" w:hAnsi="Calibri"/>
          <w:color w:val="22303F"/>
          <w:sz w:val="21"/>
          <w:szCs w:val="21"/>
        </w:rPr>
        <w:t xml:space="preserve">I built a four-sheet workbook (Transactions → SQL Findings → Risk Scoring → Account Summary → Dashboard) that combines two kinds of detection logic: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color w:val="22303F"/>
          <w:sz w:val="21"/>
          <w:szCs w:val="21"/>
        </w:rPr>
        <w:t xml:space="preserve">Real-time, single-transaction rules computed directly in Excel with nested IF/AND and COUNTIFS — a velocity flag (more than 6 transactions from one account in the same hour), a round-amount flag (wire transfers in exact $1,000 multiples), and an off-hours flag (ATM withdrawals over $2,000 between midnight and 5 AM).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color w:val="22303F"/>
          <w:sz w:val="21"/>
          <w:szCs w:val="21"/>
        </w:rPr>
        <w:t xml:space="preserve">Account-level findings imported from the SQL project — structuring, geographic impossibility, and duplicate charges — brought in with a COUNTIF lookup against a reference list, since those patterns need a multi-row join that a single Excel formula can't see on its own.</w:t>
      </w:r>
    </w:p>
    <w:p>
      <w:pPr>
        <w:spacing w:after="140" w:line="300"/>
      </w:pPr>
      <w:r>
        <w:rPr>
          <w:rFonts w:ascii="Calibri" w:cs="Calibri" w:eastAsia="Calibri" w:hAnsi="Calibri"/>
          <w:color w:val="22303F"/>
          <w:sz w:val="21"/>
          <w:szCs w:val="21"/>
        </w:rPr>
        <w:t xml:space="preserve">The two combine into one RiskScore (0–4) and a RiskLevel of Low / Medium / High per transaction, with conditional formatting so a reviewer can scan the sheet visually instead of reading every cell. An Account Summary tab then rolls this up with SUMIFS and COUNTIFS — total transactions, flagged transactions, high-risk count, and flagged dollar volume per account — and the Dashboard tab turns that into three native Excel charts.</w:t>
      </w:r>
    </w:p>
    <w:p>
      <w:pPr>
        <w:pStyle w:val="Heading1"/>
        <w:pBdr>
          <w:bottom w:val="single" w:color="2C6E6E" w:sz="8" w:space="4"/>
        </w:pBdr>
        <w:spacing w:after="140" w:before="32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Dashboard</w:t>
      </w:r>
    </w:p>
    <w:p>
      <w:r>
        <w:drawing>
          <wp:inline distT="0" distB="0" distL="0" distR="0">
            <wp:extent cx="55245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rFonts w:ascii="Calibri" w:cs="Calibri" w:eastAsia="Calibri" w:hAnsi="Calibri"/>
          <w:i/>
          <w:iCs/>
          <w:color w:val="5B6B7A"/>
          <w:sz w:val="17"/>
          <w:szCs w:val="17"/>
        </w:rPr>
        <w:t xml:space="preserve">Risk-level distribution and flagged-transaction volume by merchant category — both built from SUMIFS/COUNTIFS aggregation tables feeding native Excel bar charts.</w:t>
      </w:r>
    </w:p>
    <w:p>
      <w:r>
        <w:drawing>
          <wp:inline distT="0" distB="0" distL="0" distR="0">
            <wp:extent cx="5524500" cy="1457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rFonts w:ascii="Calibri" w:cs="Calibri" w:eastAsia="Calibri" w:hAnsi="Calibri"/>
          <w:i/>
          <w:iCs/>
          <w:color w:val="5B6B7A"/>
          <w:sz w:val="17"/>
          <w:szCs w:val="17"/>
        </w:rPr>
        <w:t xml:space="preserve">90-day daily flagged-transaction trend. The two visible spikes are exactly where the velocity-spike pattern was concentrated — the kind of signal an ops lead would catch at a glance, not by reading rows.</w:t>
      </w:r>
    </w:p>
    <w:p>
      <w:pPr>
        <w:pStyle w:val="Heading1"/>
        <w:pBdr>
          <w:bottom w:val="single" w:color="2C6E6E" w:sz="8" w:space="4"/>
        </w:pBdr>
        <w:spacing w:after="140" w:before="32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Findings</w:t>
      </w:r>
    </w:p>
    <w:p>
      <w:pPr>
        <w:spacing w:after="140" w:line="300"/>
      </w:pPr>
      <w:r>
        <w:rPr>
          <w:rFonts w:ascii="Calibri" w:cs="Calibri" w:eastAsia="Calibri" w:hAnsi="Calibri"/>
          <w:color w:val="22303F"/>
          <w:sz w:val="21"/>
          <w:szCs w:val="21"/>
        </w:rPr>
        <w:t xml:space="preserve">Of 1,488 scored transactions, 1,046 came back Low risk, 429 Medium, and 13 High — a distribution that looks right for a healthy account base with a handful of accounts needing attention, rather than an over-tuned model flagging everything.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color w:val="22303F"/>
          <w:sz w:val="21"/>
          <w:szCs w:val="21"/>
        </w:rPr>
        <w:t xml:space="preserve">Online Marketplace (96 flagged) and Wire Transfer (76 flagged) carry the largest share of flagged volume by merchant category — the two channels where velocity abuse and structuring respectively are easiest to hide.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color w:val="22303F"/>
          <w:sz w:val="21"/>
          <w:szCs w:val="21"/>
        </w:rPr>
        <w:t xml:space="preserve">The daily trend isolates two clear spike days against a steady baseline of roughly 3–7 flagged transactions per day — exactly the kind of anomaly a morning dashboard check is meant to catch.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color w:val="22303F"/>
          <w:sz w:val="21"/>
          <w:szCs w:val="21"/>
        </w:rPr>
        <w:t xml:space="preserve">At the account level, ACC1004 surfaces as the clearest priority case: 41 of 41 transactions flagged, 10 of them High risk, $6,527.97 in flagged volume — a account-level view the SQL project alone doesn't produce.</w:t>
      </w:r>
    </w:p>
    <w:p>
      <w:pPr>
        <w:spacing w:after="140" w:line="300"/>
      </w:pPr>
      <w:r>
        <w:rPr>
          <w:rFonts w:ascii="Calibri" w:cs="Calibri" w:eastAsia="Calibri" w:hAnsi="Calibri"/>
          <w:color w:val="22303F"/>
          <w:sz w:val="21"/>
          <w:szCs w:val="21"/>
        </w:rPr>
        <w:t xml:space="preserve">One deliberate design choice worth calling out: once an account is flagged by a SQL cross-transaction rule, every transaction for that account inherits the flag — not just the triggering rows. That's not double-counting; it mirrors standard fraud-ops practice of pulling an account's full activity for review once it trips a pattern, rather than looking at the triggering transaction in isolation.</w:t>
      </w:r>
    </w:p>
    <w:p>
      <w:pPr>
        <w:pStyle w:val="Heading1"/>
        <w:pBdr>
          <w:bottom w:val="single" w:color="2C6E6E" w:sz="8" w:space="4"/>
        </w:pBdr>
        <w:spacing w:after="140" w:before="32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Tools &amp; Technique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color w:val="22303F"/>
          <w:sz w:val="21"/>
          <w:szCs w:val="21"/>
        </w:rPr>
        <w:t xml:space="preserve">Advanced Excel — nested IF/AND, COUNTIFS, SUMIFS, COUNTIF cross-sheet lookups, conditional formatting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color w:val="22303F"/>
          <w:sz w:val="21"/>
          <w:szCs w:val="21"/>
        </w:rPr>
        <w:t xml:space="preserve">Native Excel charting — bar and line charts built directly from formula-driven aggregation tables, not pasted values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color w:val="22303F"/>
          <w:sz w:val="21"/>
          <w:szCs w:val="21"/>
        </w:rPr>
        <w:t xml:space="preserve">Workbook validated end-to-end: 19,745 formulas recalculated with zero errors before publishing</w:t>
      </w:r>
    </w:p>
    <w:p>
      <w:pPr>
        <w:pStyle w:val="Heading1"/>
        <w:pBdr>
          <w:bottom w:val="single" w:color="2C6E6E" w:sz="8" w:space="4"/>
        </w:pBdr>
        <w:spacing w:after="140" w:before="32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Why It Matters for the Role</w:t>
      </w:r>
    </w:p>
    <w:p>
      <w:pPr>
        <w:spacing w:after="140" w:line="300"/>
      </w:pPr>
      <w:r>
        <w:rPr>
          <w:rFonts w:ascii="Calibri" w:cs="Calibri" w:eastAsia="Calibri" w:hAnsi="Calibri"/>
          <w:color w:val="22303F"/>
          <w:sz w:val="21"/>
          <w:szCs w:val="21"/>
        </w:rPr>
        <w:t xml:space="preserve">This is the artifact a fraud-ops team actually opens each morning — not a query result, but a live workbook a non-technical reviewer can scan, filter, and trust. Building it required the same judgment a working analyst needs: knowing which checks belong in a formula an analyst can run in real time, and which need the heavier cross-transaction logic SQL is built for — then making the two work together in one place. The full workbook (fraud_risk_audit.xlsx) is available on request.</w:t>
      </w:r>
    </w:p>
    <w:sectPr>
      <w:headerReference w:type="default" r:id="rId7"/>
      <w:footerReference w:type="default" r:id="rId8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B7A"/>
        <w:sz w:val="14"/>
        <w:szCs w:val="14"/>
      </w:rPr>
      <w:t xml:space="preserve">Page </w:t>
    </w:r>
    <w:r>
      <w:rPr>
        <w:rFonts w:ascii="Calibri" w:cs="Calibri" w:eastAsia="Calibri" w:hAnsi="Calibri"/>
        <w:color w:val="5B6B7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onsolas" w:cs="Consolas" w:eastAsia="Consolas" w:hAnsi="Consolas"/>
        <w:color w:val="5B6B7A"/>
        <w:sz w:val="14"/>
        <w:szCs w:val="14"/>
      </w:rPr>
      <w:t xml:space="preserve">ANANTH PILLAI · FRAUD ANALYTICS CASE STUDY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6902cba6992d09d92768046609aaee0251dbec3.png"/><Relationship Id="rId10" Type="http://schemas.openxmlformats.org/officeDocument/2006/relationships/image" Target="media/eb8cf0ab089c2659dadd42d05e0ef5d3b62f6ab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2026-08-18T23:22:38.441Z</dcterms:created>
  <dcterms:modified xsi:type="dcterms:W3CDTF">2026-08-18T23:22:38.441Z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