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2C6E6E"/>
          <w:sz w:val="18"/>
          <w:szCs w:val="18"/>
        </w:rPr>
        <w:t xml:space="preserve">CASE STUDY · INVESTIGATION &amp; ESCALATION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B3A5C"/>
          <w:sz w:val="40"/>
          <w:szCs w:val="40"/>
        </w:rPr>
        <w:t xml:space="preserve">From Alert to SAR: How a Flagged Account Gets Investigated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B6B7A"/>
          <w:sz w:val="21"/>
          <w:szCs w:val="21"/>
        </w:rPr>
        <w:t xml:space="preserve">The six SQL rules and the Excel risk model decide what gets flagged. This is the part that comes after — how an analyst reads a customer and transaction profile, tests it against baseline behaviour, and decides whether a flag is noise, a suspicious-activity case, or a SAR.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0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763D"/>
                <w:sz w:val="30"/>
                <w:szCs w:val="30"/>
              </w:rPr>
              <w:t xml:space="preserve">26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Accounts investigated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0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763D"/>
                <w:sz w:val="30"/>
                <w:szCs w:val="30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Disposition outcomes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0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763D"/>
                <w:sz w:val="30"/>
                <w:szCs w:val="30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SAR filed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0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763D"/>
                <w:sz w:val="30"/>
                <w:szCs w:val="30"/>
              </w:rPr>
              <w:t xml:space="preserve">90-day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Review window per case</w:t>
            </w:r>
          </w:p>
        </w:tc>
      </w:tr>
    </w:tbl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Situation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303F"/>
          <w:sz w:val="21"/>
          <w:szCs w:val="21"/>
        </w:rPr>
        <w:t xml:space="preserve">The SQL and Excel projects (companion case studies) answer “which accounts got flagged, and by what.” Neither answers the next question a fraud-ops manager actually asks: once a flag lands in the queue, how does an analyst decide whether it's nothing, a case worth escalating, or a SAR? That decision isn't automatic — it requires pulling the account's profile, comparing the flagged activity against its own history, and documenting a reason before anyone signs off.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303F"/>
          <w:sz w:val="21"/>
          <w:szCs w:val="21"/>
        </w:rPr>
        <w:t xml:space="preserve">This case study documents that layer: the investigation methodology applied to all 26 flagged accounts, and one full case — ACC1024 — carried from alert through investigation to a drafted Suspicious Activity Report.</w:t>
      </w:r>
    </w:p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Approach — Investigation Methodology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303F"/>
          <w:sz w:val="21"/>
          <w:szCs w:val="21"/>
        </w:rPr>
        <w:t xml:space="preserve">Every flagged account went through the same three-step review before a disposition was assigned: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Customer &amp; transaction profile pull — for the account's full 90-day history: transaction count, channel mix, typical amount range, merchant categories, and countries transacted in. This is the account's “normal.”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Behavioural analysis — the flagged transaction(s) compared directly against that baseline: is the amount, channel, country, or timing consistent with how this customer normally behaves, or a sharp deviation from it?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Escalation decision — applying a fixed disposition framework (below) so the outcome depends on the evidence, not on analyst discretion alone.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303F"/>
          <w:sz w:val="21"/>
          <w:szCs w:val="21"/>
        </w:rPr>
        <w:t xml:space="preserve">Disposition framework applied across all 26 flagged accounts: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20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Disposition</w:t>
            </w:r>
          </w:p>
        </w:tc>
        <w:tc>
          <w:tcPr>
            <w:tcW w:type="dxa" w:w="38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2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Accounts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False Positive – Cleared on Review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Exactly one single-transaction rule triggered (velocity, round-amount, or off-hours), no cross-transaction rule, and the flagged activity is consistent with the account's own baseline.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Escalated – Suspicious Activity (SAR considered, not filed)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Any cross-transaction rule triggered alone, or two or more rules combined, where the deviation from baseline is real but a plausible non-fraud explanation exists or the evidence is inconclusive.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Escalated – SAR Filed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A defined regulatory typology (e.g. structuring) combined with a second independent flag, with no reasonable explanation from the profile or behavioural review.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1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303F"/>
          <w:sz w:val="21"/>
          <w:szCs w:val="21"/>
        </w:rPr>
        <w:t xml:space="preserve">A distinction worth stating explicitly, since it drives the split between the second and third tiers above: “cross-transaction rules” refers to the three rules that can only be detected by comparing multiple transactions against each other — Structuring, Geographic Impossibility, and Duplicate Transaction — as opposed to the three single-transaction rules (Velocity, Round-Amount, Off-Hours) that a single row can trigger on its own.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Escalation threshold: just one cross-transaction rule triggered alone is enough to escalate an account — it does not need a second rule. A cross-transaction rule is inherently stronger evidence than a single-transaction rule, since it already required comparing the account against its own other activity to fire. (Example: ACC1001 triggered only Geographic Impossibility — one cross-transaction rule, nothing else — and was still escalated, not cleared as a false positive.)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SAR threshold: filing requires two or more cross-transaction rules on the same account, with one of them being Structuring specifically. One cross-transaction rule alone escalates the case for review, but does not by itself meet the bar to file. (Example: ACC1024 triggered both Structuring and Duplicate Transaction — two cross-transaction rules — which is what moved it from “escalated” to “SAR filed.”)</w:t>
      </w:r>
    </w:p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Walkthrough — Account ACC1024, Continued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303F"/>
          <w:sz w:val="21"/>
          <w:szCs w:val="21"/>
        </w:rPr>
        <w:t xml:space="preserve">The SQL case study left ACC1024 at “escalate for manual review” after two independent triggers — a structuring pattern on 10 Feb and a duplicate charge on 16 Mar. Here is the investigation that followed.</w:t>
      </w:r>
    </w:p>
    <w:p>
      <w:pPr>
        <w:spacing w:after="40" w:before="60"/>
      </w:pPr>
      <w:r>
        <w:rPr>
          <w:rFonts w:ascii="Consolas" w:cs="Consolas" w:eastAsia="Consolas" w:hAnsi="Consolas"/>
          <w:b/>
          <w:bCs/>
          <w:color w:val="2C6E6E"/>
          <w:sz w:val="16"/>
          <w:szCs w:val="16"/>
        </w:rPr>
        <w:t xml:space="preserve">STEP 1 — CUSTOMER &amp; TRANSACTION PROFILE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200"/>
      </w:tblGrid>
      <w:tr>
        <w:trPr>
          <w:tblHeader/>
        </w:trPr>
        <w:tc>
          <w:tcPr>
            <w:tcW w:type="dxa" w:w="20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4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Baseline (90-day history, ex-flagged txns)</w:t>
            </w:r>
          </w:p>
        </w:tc>
        <w:tc>
          <w:tcPr>
            <w:tcW w:type="dxa" w:w="32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Flagged Activity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Transaction count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26 transactions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4 wire transfers (10 Feb) + 1 duplicate POS pair (16 Mar)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Median amount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$91.75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$2,748.19 average per wire leg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Typical channels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POS (10), ATM (9), Online (7)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Wire (new channel for this account)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Country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United Kingdom — 100% of transactions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United Kingdom (no geographic change)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Prior wire activity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None in 90-day window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303F"/>
                <w:sz w:val="18"/>
                <w:szCs w:val="18"/>
              </w:rPr>
              <w:t xml:space="preserve">4 wires in a single 4-hour span</w:t>
            </w:r>
          </w:p>
        </w:tc>
      </w:tr>
    </w:tbl>
    <w:p>
      <w:pPr>
        <w:spacing w:after="40" w:before="60"/>
      </w:pPr>
      <w:r>
        <w:rPr>
          <w:rFonts w:ascii="Consolas" w:cs="Consolas" w:eastAsia="Consolas" w:hAnsi="Consolas"/>
          <w:b/>
          <w:bCs/>
          <w:color w:val="2C6E6E"/>
          <w:sz w:val="16"/>
          <w:szCs w:val="16"/>
        </w:rPr>
        <w:t xml:space="preserve">STEP 2 — BEHAVIOURAL ANALYSIS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303F"/>
          <w:sz w:val="21"/>
          <w:szCs w:val="21"/>
        </w:rPr>
        <w:t xml:space="preserve">Against that baseline, the 10 Feb activity is a sharp deviation on three dimensions at once, not one: the account had never used the Wire channel in the 90-day window; the median transaction size before this date was $91.75, and each wire leg was roughly 30x that; and four transfers were issued inside four hours where the account otherwise averaged fewer than one transaction every three days. Individually, a new channel, a larger amount, or a same-day cluster could each have an innocent explanation — a one-off large payment, a new biller, a busy day. Together, and specifically structured so each leg stayed under the $10,000 reporting threshold while the same-day total ($10,992.98) crossed it, the pattern matches classic structuring behaviour rather than any single plausible non-fraud read of the account's own history.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303F"/>
          <w:sz w:val="21"/>
          <w:szCs w:val="21"/>
        </w:rPr>
        <w:t xml:space="preserve">The 16 Mar duplicate charge on its own would not have changed the disposition — identical POS charges three minutes apart are common processing artefacts. Its role here is corroborating, not primary: a second, independent flag on the same account inside five weeks lowers the likelihood that the structuring event was a one-off coincidence.</w:t>
      </w:r>
    </w:p>
    <w:p>
      <w:pPr>
        <w:spacing w:after="40" w:before="60"/>
      </w:pPr>
      <w:r>
        <w:rPr>
          <w:rFonts w:ascii="Consolas" w:cs="Consolas" w:eastAsia="Consolas" w:hAnsi="Consolas"/>
          <w:b/>
          <w:bCs/>
          <w:color w:val="2C6E6E"/>
          <w:sz w:val="16"/>
          <w:szCs w:val="16"/>
        </w:rPr>
        <w:t xml:space="preserve">STEP 3 — ESCALATION DECISION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303F"/>
          <w:sz w:val="21"/>
          <w:szCs w:val="21"/>
        </w:rPr>
        <w:t xml:space="preserve">Applying the disposition framework: ACC1024 triggered a defined regulatory typology (structuring) with no explanation supported by the account's own transaction history, plus a second independent flag. That places it in the “Escalated – SAR Filed” category — the only account in this dataset to meet that bar. The reasoning recorded for the case file: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Structuring is a named typology (CTR/reporting-threshold avoidance), not a generic anomaly — it does not require a second flag to justify escalation on its own.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The account's 90-day baseline offers no supporting context (no prior wires, no history of round-number or large-value activity) that would explain the 10 Feb cluster as ordinary behaviour.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The duplicate charge five weeks later is independent corroboration, not the basis for escalation by itself.</w:t>
      </w:r>
    </w:p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Drafted SAR Narrative — Account ACC1024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303F"/>
          <w:sz w:val="21"/>
          <w:szCs w:val="21"/>
        </w:rPr>
        <w:t xml:space="preserve">The narrative below is the case-file writeup an analyst would draft to accompany a SAR filing, summarising the activity and the reasoning for a compliance reviewer:</w:t>
      </w:r>
    </w:p>
    <w:tbl>
      <w:tblPr>
        <w:tblW w:type="dxa" w:w="8200"/>
        <w:tblBorders>
          <w:top w:val="single" w:color="1B3A5C" w:sz="6"/>
          <w:left w:val="single" w:color="1B3A5C" w:sz="6"/>
          <w:bottom w:val="single" w:color="1B3A5C" w:sz="6"/>
          <w:right w:val="single" w:color="1B3A5C" w:sz="6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shd w:fill="F2F0E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40" w:line="28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8"/>
                <w:szCs w:val="18"/>
              </w:rPr>
              <w:t xml:space="preserve">SUBJECT ACCOUNT: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303F"/>
                <w:sz w:val="18"/>
                <w:szCs w:val="18"/>
              </w:rPr>
              <w:t xml:space="preserve">ACC1024  |  REVIEW PERIOD: 01 Jan 2026 – 29 Mar 2026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9"/>
                <w:szCs w:val="19"/>
              </w:rPr>
              <w:t xml:space="preserve">Between 09:34 and 13:31 on 10 February 2026, the subject account originated four wire transfers totalling $10,992.98 ($2,613.82, $2,753.87, $2,693.67, and $2,931.62), each individually below the $10,000 reporting threshold. This was the account's first use of the Wire channel in the 90-day review window; the account's median transaction size across the remaining 26 transactions in the period was $91.75, entirely across POS, ATM, and Online channels within the United Kingdom.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9"/>
                <w:szCs w:val="19"/>
              </w:rPr>
              <w:t xml:space="preserve">The clustering of four sub-threshold transfers within a single four-hour window, cumulatively exceeding the $10,000 threshold, is consistent with structuring — the deliberate division of a transaction to evade currency transaction reporting requirements. No activity in the account's transaction history supports an alternative explanation (e.g., a recurring biller, a documented large purchase, or prior wire usage).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9"/>
                <w:szCs w:val="19"/>
              </w:rPr>
              <w:t xml:space="preserve">On 16 March 2026, the account posted two identical $96.19 charges to the same merchant category three minutes apart. Reviewed independently this would not warrant escalation; in combination with the 10 February structuring pattern, it is treated as corroborating evidence of irregular account activity within the same review period.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8"/>
                <w:szCs w:val="18"/>
              </w:rPr>
              <w:t xml:space="preserve">RECOMMENDATION: </w:t>
            </w: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9"/>
                <w:szCs w:val="19"/>
              </w:rPr>
              <w:t xml:space="preserve">File a Suspicious Activity Report citing structuring (reporting-avoidance typology). Recommend continued account monitoring for 90 days following filing.</w:t>
            </w:r>
          </w:p>
        </w:tc>
      </w:tr>
    </w:tbl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Findings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303F"/>
          <w:sz w:val="21"/>
          <w:szCs w:val="21"/>
        </w:rPr>
        <w:t xml:space="preserve">Across the 26 accounts flagged by the SQL/Excel detection layer, investigation resolved 9 (35%) as false positives — isolated, single-rule flags consistent with the account's own baseline. 16 (61%) were escalated as suspicious activity: real deviations from baseline that lacked either a fully innocent explanation or enough evidence to file. Exactly 1 (4%) — ACC1024 — met the bar for a SAR: a named regulatory typology with no baseline support, corroborated by a second independent flag.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303F"/>
          <w:sz w:val="21"/>
          <w:szCs w:val="21"/>
        </w:rPr>
        <w:t xml:space="preserve">That distribution is itself a finding worth stating plainly: a healthy detection layer should surface far more “worth investigating” flags than “worth filing” cases. A SAR-filing rate anywhere near the flag rate would suggest either an unusually compromised account base or, more likely, rules tuned to force filings rather than surface genuine risk.</w:t>
      </w:r>
    </w:p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Fraud Trend Dashboard (Tableau)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303F"/>
          <w:sz w:val="21"/>
          <w:szCs w:val="21"/>
        </w:rPr>
        <w:t xml:space="preserve">The disposition outcomes above feed a Tableau workbook built to answer the question a fraud-ops lead asks every morning: which alert rule is generating the most noise, and which is generating the most real risk? The workbook uses one row per rule-trigger event (45 events across the 26 flagged accounts, each dated and tagged with its eventual disposition):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Rule Trigger Volume by Disposition — stacked bar, one bar per rule, split into False Positive / Suspicious – Under Review / SAR Filed. Round-Amount Clustering triggers most often (16 events) but resolves to false positive nearly half the time — the noisiest rule in the set. Structuring and Duplicate Transaction trigger far less often but carry the dataset's only SAR-filed case between them.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Monthly Trend Line — trigger events by month and rule, showing whether a given typology is a one-off spike or a sustained pattern worth re-tuning the threshold for.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Disposition Funnel — 26 flagged accounts → 16 escalated → 1 SAR filed, the same funnel a compliance reviewer would ask to see before signing off on the detection programme's effectiveness.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22303F"/>
          <w:sz w:val="21"/>
          <w:szCs w:val="21"/>
        </w:rPr>
        <w:t xml:space="preserve">Data source: tableau_fraud_trend_data.csv / .xlsx (45 rows, one per rule-trigger event, with Account ID, Alert Rule, Trigger Date, Disposition Category, and the account's total/cross-transaction rule counts). Built by connecting Tableau to this extract, then combining the three views above onto one dashboard with a date-range and rule filter.</w:t>
      </w:r>
    </w:p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Tools &amp; Technique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SQL (SQLite) — the six detection rules from the companion case study, plus the account-level roll-up used to identify cross-transaction risk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Advanced Excel — COUNTIFS/SUMIFS risk scoring and the Account Summary tab used to pull each account's 90-day transaction profile for review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Tableau — rule-trigger trend analysis and disposition-outcome dashboard, built from a purpose-built extract joining SQL/Excel flag output to investigation outcomes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Investigation documentation — structured case-file writeups and a drafted SAR narrative, following the same profile-then-behaviour-then-decision structure a compliance team would expect to see</w:t>
      </w:r>
    </w:p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Why It Matters for the Role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303F"/>
          <w:sz w:val="21"/>
          <w:szCs w:val="21"/>
        </w:rPr>
        <w:t xml:space="preserve">Detection logic only has value if someone can act on it. This is the part of the job that doesn't show up in a query result: reading a customer's own history, deciding whether a flagged pattern is really a deviation from it, and being able to write down — in language a compliance reviewer could follow — exactly why an account was cleared, escalated, or reported. The underlying workbook (fraud_risk_audit.xlsx), the SQL file, and the Tableau data extract are available on request.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2026-08-31T07:43:46.943Z</dcterms:created>
  <dcterms:modified xsi:type="dcterms:W3CDTF">2026-08-31T07:43:46.955Z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