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2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080000" cy="4628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462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  <w:u w:val="none"/>
        </w:rPr>
        <w:t>Министерство науки и высшего образования Российской Федерации</w:t>
      </w: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  <w:u w:val="none"/>
        </w:rPr>
        <w:t>Федеральное государственное бюджетное образовательное учреждение</w:t>
      </w: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  <w:u w:val="none"/>
        </w:rPr>
        <w:t>высшего образования</w:t>
      </w:r>
    </w:p>
    <w:p>
      <w:pPr>
        <w:keepNext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2"/>
          <w:u w:val="none"/>
        </w:rPr>
        <w:t>«ТАМБОВСКИЙ ГОСУДАРСТВЕННЫЙ ТЕХНИЧЕСКИЙ УНИВЕРСИТЕТ»</w:t>
      </w:r>
    </w:p>
    <w:p>
      <w:pPr>
        <w:keepNext/>
        <w:spacing w:before="100" w:after="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  <w:u w:val="none"/>
        </w:rPr>
        <w:t>УВЕДОМЛЕНИЕ</w:t>
      </w:r>
    </w:p>
    <w:p>
      <w:pPr>
        <w:keepNext/>
        <w:spacing w:before="0" w:after="100" w:line="240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30"/>
          <w:u w:val="none"/>
        </w:rPr>
        <w:t>О СОЗДАНИИ ПРОИЗВЕДЕНИЯ</w:t>
      </w:r>
    </w:p>
    <w:p>
      <w:pPr>
        <w:keepNext w:val="0"/>
        <w:spacing w:before="0" w:after="0" w:line="240" w:lineRule="auto"/>
        <w:ind w:left="0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 xml:space="preserve">Авторы </w:t>
      </w: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Николюкин Алексей Николаевич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(фамилия, инициалы)</w:t>
      </w:r>
    </w:p>
    <w:p>
      <w:pPr>
        <w:keepNext w:val="0"/>
        <w:spacing w:before="0" w:after="0" w:line="240" w:lineRule="auto"/>
        <w:ind w:left="226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Монастырёв Павел Владиславович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(фамилия, инициалы)</w:t>
      </w:r>
    </w:p>
    <w:p>
      <w:pPr>
        <w:keepNext w:val="0"/>
        <w:spacing w:before="0" w:after="0" w:line="240" w:lineRule="auto"/>
        <w:ind w:left="226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Hai Fang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(фамилия, инициалы)</w:t>
      </w:r>
    </w:p>
    <w:p>
      <w:pPr>
        <w:keepNext w:val="0"/>
        <w:spacing w:before="0" w:after="0" w:line="240" w:lineRule="auto"/>
        <w:ind w:left="2268"/>
        <w:jc w:val="left"/>
      </w:pP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Xinchen Zhang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(фамилия, инициалы)</w:t>
      </w:r>
    </w:p>
    <w:p>
      <w:pPr>
        <w:keepNext w:val="0"/>
        <w:spacing w:before="40" w:after="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А.Н. Николюкин и П.В. Монастырёв, являясь сотрудниками ФГБОУ ВО «ТГТУ», совместно с иностранными соавторами Hai Fang и Xinchen Zhang представляют на рассмотрение экспертной комиссии по определению возможности открытой публикации статьи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single"/>
        </w:rPr>
        <w:t>«ПРОГНОЗИРОВАНИЕ ПРОДОЛЬНЫХ УСИЛИЙ И ПРЕДВАРИТЕЛЬНЫЙ ПОДБОР СЕЧЕНИЙ СТЕРЖНЕЙ СТАЛЬНЫХ ФЕРМ С ПРИМЕНЕНИЕМ ИСКУССТВЕННОЙ НЕЙРОННОЙ СЕТИ»</w:t>
      </w:r>
    </w:p>
    <w:p>
      <w:pPr>
        <w:keepNext w:val="0"/>
        <w:spacing w:before="0" w:after="0" w:line="240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14"/>
          <w:u w:val="none"/>
        </w:rPr>
        <w:t>(название статьи или монографии, подлежащих экспертизе)</w:t>
      </w:r>
    </w:p>
    <w:p>
      <w:pPr>
        <w:keepNext w:val="0"/>
        <w:spacing w:before="0" w:after="6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предназначенной для опубликования в научно-техническом журнале «Региональная архитектура и строительство», г. Пенза.</w:t>
      </w:r>
    </w:p>
    <w:p>
      <w:pPr>
        <w:keepNext w:val="0"/>
        <w:spacing w:before="0" w:after="8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1. Авторы подтверждают, что рукопись статьи не содержит неопубликованные материалы другой организации без разрешения руководителя этой организации на предмет открытого опубликования.</w:t>
      </w:r>
    </w:p>
    <w:p>
      <w:pPr>
        <w:keepNext w:val="0"/>
        <w:spacing w:before="0" w:after="80" w:line="240" w:lineRule="auto"/>
        <w:ind w:firstLine="454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0"/>
          <w:u w:val="none"/>
        </w:rPr>
        <w:t>2. Авторы подтверждают, что рукопись статьи не содержит материалов научно-исследовательских, опытно-конструкторских и иных работ, выполняемых на основе государственных контрактов (договоров, соглашений, заданий, грантов, программ или проектов, по которым осуществляется бюджетное финансирование).</w:t>
      </w:r>
    </w:p>
    <w:p>
      <w:r>
        <w:br w:type="page"/>
      </w:r>
    </w:p>
    <w:p>
      <w:pPr>
        <w:keepNext/>
        <w:spacing w:before="0" w:after="80" w:line="240" w:lineRule="auto"/>
        <w:jc w:val="left"/>
      </w:pPr>
      <w:r>
        <w:rPr>
          <w:rFonts w:ascii="Times New Roman" w:hAnsi="Times New Roman" w:eastAsia="Times New Roman" w:cs="Times New Roman"/>
          <w:b/>
          <w:i w:val="0"/>
          <w:sz w:val="20"/>
          <w:u w:val="none"/>
        </w:rPr>
        <w:t>3. Сведения об авторах (на каждого автора):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1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Фамилия Имя Отчество</w:t>
              <w:br/>
              <w:t>(полностью)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Николюкин Алексей Николаевич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2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Должность автора, подразделение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Старший преподаватель кафедры «Конструкции зданий и сооружений»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3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Ученая степень, ученое звание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к.т.н.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4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Рабочий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+7 (953) 717-16-44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5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Мобильный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+7 (953) 717-16-44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6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E-mail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valax1@yandex.ru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7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Вклад автора в создание статьи,</w:t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6"/>
                <w:u w:val="none"/>
              </w:rPr>
              <w:t>в процентах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FF0000"/>
                <w:sz w:val="16"/>
                <w:u w:val="none"/>
              </w:rPr>
              <w:t>25%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Подпись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</w:tr>
    </w:tbl>
    <w:p>
      <w:pPr>
        <w:keepNext w:val="0"/>
        <w:spacing w:before="0" w:after="40" w:line="24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1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Фамилия Имя Отчество</w:t>
              <w:br/>
              <w:t>(полностью)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Монастырёв Павел Владиславович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2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Должность автора, подразделение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Директор Института архитектуры, строительства и транспорта, профессор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3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Ученая степень, ученое звание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д.т.н., профессор; член-корреспондент РААСН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4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Рабочий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+7 (960) 663-00-93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5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Мобильный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+7 (960) 663-00-93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6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E-mail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monastyrev68@mail.ru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7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Вклад автора в создание статьи,</w:t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6"/>
                <w:u w:val="none"/>
              </w:rPr>
              <w:t>в процентах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FF0000"/>
                <w:sz w:val="16"/>
                <w:u w:val="none"/>
              </w:rPr>
              <w:t>25%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Подпись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</w:tr>
    </w:tbl>
    <w:p>
      <w:pPr>
        <w:keepNext w:val="0"/>
        <w:spacing w:before="0" w:after="40" w:line="24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1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Фамилия Имя Отчество</w:t>
              <w:br/>
              <w:t>(полностью)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Hai Fang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2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Должность автора, подразделение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Professor, College of Civil Engineering, Nanjing Tech University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3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Ученая степень, ученое звание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4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Рабочий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5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Мобильный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6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E-mail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fanghainjut@163.com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7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Вклад автора в создание статьи,</w:t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6"/>
                <w:u w:val="none"/>
              </w:rPr>
              <w:t>в процентах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FF0000"/>
                <w:sz w:val="16"/>
                <w:u w:val="none"/>
              </w:rPr>
              <w:t>25%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Подпись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</w:tr>
    </w:tbl>
    <w:p>
      <w:pPr>
        <w:keepNext w:val="0"/>
        <w:spacing w:before="0" w:after="40" w:line="240" w:lineRule="auto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21"/>
        <w:gridCol w:w="3421"/>
        <w:gridCol w:w="3421"/>
      </w:tblGrid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1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Фамилия Имя Отчество</w:t>
              <w:br/>
              <w:t>(полностью)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Xinchen Zhang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2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Должность автора, подразделение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Associate Professor, College of Civil Engineering, Nanjing Tech University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3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Ученая степень, ученое звание автора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4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Рабочий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5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Мобильный телефон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—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6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E-mail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xc.zhang@njtech.edu.cn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7</w:t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Вклад автора в создание статьи,</w:t>
              <w:br/>
            </w:r>
            <w:r>
              <w:rPr>
                <w:rFonts w:ascii="Times New Roman" w:hAnsi="Times New Roman" w:eastAsia="Times New Roman" w:cs="Times New Roman"/>
                <w:b/>
                <w:i w:val="0"/>
                <w:sz w:val="16"/>
                <w:u w:val="none"/>
              </w:rPr>
              <w:t>в процентах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olor w:val="FF0000"/>
                <w:sz w:val="16"/>
                <w:u w:val="none"/>
              </w:rPr>
              <w:t>25%</w:t>
            </w:r>
          </w:p>
        </w:tc>
      </w:tr>
      <w:tr>
        <w:trPr>
          <w:cantSplit/>
        </w:trPr>
        <w:tc>
          <w:tcPr>
            <w:tcW w:type="dxa" w:w="425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center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  <w:tc>
          <w:tcPr>
            <w:tcW w:type="dxa" w:w="3458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  <w:t>Подпись</w:t>
            </w:r>
          </w:p>
        </w:tc>
        <w:tc>
          <w:tcPr>
            <w:tcW w:type="dxa" w:w="5414"/>
            <w:vAlign w:val="center"/>
            <w:tcMar>
              <w:top w:w="18" w:type="dxa"/>
              <w:start w:w="35" w:type="dxa"/>
              <w:bottom w:w="18" w:type="dxa"/>
              <w:end w:w="35" w:type="dxa"/>
            </w:tcMar>
          </w:tcPr>
          <w:p>
            <w:pPr>
              <w:keepNext w:val="0"/>
              <w:spacing w:before="0" w:after="0" w:line="240" w:lineRule="auto"/>
              <w:jc w:val="left"/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z w:val="16"/>
                <w:u w:val="none"/>
              </w:rPr>
            </w:r>
          </w:p>
        </w:tc>
      </w:tr>
    </w:tbl>
    <w:p>
      <w:pPr>
        <w:keepNext w:val="0"/>
        <w:spacing w:before="0" w:after="40" w:line="240" w:lineRule="auto"/>
      </w:pPr>
    </w:p>
    <w:sectPr w:rsidR="00FC693F" w:rsidRPr="0006063C" w:rsidSect="00034616">
      <w:pgSz w:w="11906" w:h="16838"/>
      <w:pgMar w:top="652" w:right="822" w:bottom="652" w:left="822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