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6"/>
        <w:gridCol w:w="4649"/>
      </w:tblGrid>
      <w:tr>
        <w:tc>
          <w:tcPr>
            <w:tcW w:type="dxa" w:w="5188"/>
          </w:tcPr>
          <w:p/>
        </w:tc>
        <w:tc>
          <w:tcPr>
            <w:tcW w:type="dxa" w:w="51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1"/>
                <w:u w:val="none"/>
              </w:rPr>
              <w:t>УТВЕРЖДАЮ</w:t>
            </w:r>
          </w:p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1"/>
                <w:u w:val="none"/>
              </w:rPr>
              <w:t>Проректор по научной работе</w:t>
            </w:r>
          </w:p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u w:val="none"/>
              </w:rPr>
              <w:t>____________________ Д.Ю. Муромцев</w:t>
            </w:r>
          </w:p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5"/>
                <w:u w:val="none"/>
              </w:rPr>
              <w:t>(подпись, инициалы и фамилия)</w:t>
            </w:r>
          </w:p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u w:val="none"/>
              </w:rPr>
              <w:t>«____» _______________________ 2026 г.</w:t>
            </w:r>
          </w:p>
        </w:tc>
      </w:tr>
    </w:tbl>
    <w:p>
      <w:pPr>
        <w:keepNext/>
        <w:spacing w:before="4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1"/>
          <w:u w:val="none"/>
        </w:rPr>
        <w:t>ЗАКЛЮЧЕНИЕ</w:t>
      </w:r>
    </w:p>
    <w:p>
      <w:pPr>
        <w:keepNext/>
        <w:spacing w:before="0" w:after="4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1"/>
          <w:u w:val="none"/>
        </w:rPr>
        <w:t>о возможности открытого опубликования</w:t>
      </w:r>
    </w:p>
    <w:p>
      <w:pPr>
        <w:keepNext w:val="0"/>
        <w:spacing w:before="0" w:after="2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статьи «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ПРОГНОЗИРОВАНИЕ ПРОДОЛЬНЫХ УСИЛИЙ И ПРЕДВАРИТЕЛЬНЫЙ ПОДБОР СЕЧЕНИЙ СТЕРЖНЕЙ СТАЛЬНЫХ ФЕРМ С ПРИМЕНЕНИЕМ ИСКУССТВЕННОЙ НЕЙРОННОЙ СЕТИ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» авторов А.Н. Николюкина, П.В. Монастырёва, Hai Fang, Xinchen Zhang</w:t>
      </w:r>
    </w:p>
    <w:p>
      <w:pPr>
        <w:keepNext w:val="0"/>
        <w:spacing w:before="0" w:after="2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(название статьи или монографии, подлежащих экспертизе, инициалы и фамилия авторов)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 xml:space="preserve">Экспертная комиссия ФГБОУ ВО «ТГТУ» в составе¹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 xml:space="preserve">Соколов М.В. — д.т.н., профессор кафедры «Компьютерно-интегрированные системы в машиностроении»;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 xml:space="preserve">Ерофеев А.В. — к.т.н., доцент кафедры «Конструкции зданий и сооружений»;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 xml:space="preserve">Чепрасова Т.И. — ведущий специалист по защите государственной тайны;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Кузнецова М.С. — начальник отдела патентоведения, стандартизации и метрологии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(фамилия и инициалы членов комиссии, наименование должности)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в период с «____» _______________ 2026 г. по «____» ________________ 2026 г. провела экспертизу материалов рукописи статьи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«ПРОГНОЗИРОВАНИЕ ПРОДОЛЬНЫХ УСИЛИЙ И ПРЕДВАРИТЕЛЬНЫЙ ПОДБОР СЕЧЕНИЙ СТЕРЖНЕЙ СТАЛЬНЫХ ФЕРМ С ПРИМЕНЕНИЕМ ИСКУССТВЕННОЙ НЕЙРОННОЙ СЕТИ»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(название статьи или монографии, подлежащих экспертизе)</w:t>
      </w:r>
    </w:p>
    <w:p>
      <w:pPr>
        <w:keepNext w:val="0"/>
        <w:spacing w:before="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на предмет отсутствия (наличия) в них сведений, составляющих государственную тайну, и возможности (невозможности) их открытого опубликования.</w:t>
      </w:r>
    </w:p>
    <w:p>
      <w:pPr>
        <w:keepNext w:val="0"/>
        <w:spacing w:before="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Руководствуясь Законом РФ «О государственной тайне», Перечнем сведений, отнесенных к государственной тайне, утвержденным Указом Президента РФ от 30 ноября 1995 г. № 1203, а также Перечнем сведений, подлежащих засекречиванию, утверждённым приказом Минобрнауки России от 04 декабря 2023 года № 31с, комиссия установила:</w:t>
      </w:r>
    </w:p>
    <w:p>
      <w:pPr>
        <w:keepNext w:val="0"/>
        <w:spacing w:before="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I. Сведения, содержащиеся в рассматриваемых материалах, находятся в компетенции ФГБОУ ВО «ТГТУ».</w:t>
      </w:r>
    </w:p>
    <w:p>
      <w:pPr>
        <w:keepNext w:val="0"/>
        <w:spacing w:before="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 xml:space="preserve">А) Сведения, содержащиеся в рассматриваемых материалах рукописи статьи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«ПРОГНОЗИРОВАНИЕ ПРОДОЛЬНЫХ УСИЛИЙ И ПРЕДВАРИТЕЛЬНЫЙ ПОДБОР СЕЧЕНИЙ СТЕРЖНЕЙ СТАЛЬНЫХ ФЕРМ С ПРИМЕНЕНИЕМ ИСКУССТВЕННОЙ НЕЙРОННОЙ СЕТИ»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(название статьи или монографии, содержащиеся в материалах)</w:t>
      </w:r>
    </w:p>
    <w:p>
      <w:pPr>
        <w:keepNext w:val="0"/>
        <w:spacing w:before="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не подпадают под действие Перечня сведений, составляющих государственную тайну (статья 5 Закона Российской Федерации «О государственной тайне»), не относятся к Перечню сведений, отнесенных к государственной тайне, утвержденному Указом Президента Российской Федерации от 30 ноября 1995 г. № 1203, не подлежат засекречиванию и данные материалы могут быть открыто опубликованы.</w:t>
      </w:r>
    </w:p>
    <w:p>
      <w:pPr>
        <w:keepNext w:val="0"/>
        <w:spacing w:before="20" w:after="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6"/>
          <w:u w:val="none"/>
        </w:rPr>
        <w:t>__________________________</w:t>
      </w:r>
    </w:p>
    <w:p>
      <w:pPr>
        <w:keepNext w:val="0"/>
        <w:spacing w:before="0" w:after="2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¹ Или руководитель-эксперт, если экспертиза материалов проводится руководителем структурного подразделения организации, в котором работает автор подготовленных материалов.</w:t>
      </w:r>
    </w:p>
    <w:p>
      <w:pPr>
        <w:keepNext/>
        <w:spacing w:before="20" w:after="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0"/>
          <w:u w:val="none"/>
        </w:rPr>
        <w:t>Члены комиссии: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7"/>
          <w:u w:val="single"/>
        </w:rPr>
        <w:t>Председатель экспертной комиссии, эксперт по вопросам конструкторско-технологического обеспечения машиностроительных производств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7"/>
          <w:u w:val="none"/>
        </w:rPr>
        <w:t xml:space="preserve">__________________________________________  </w:t>
      </w:r>
      <w:r>
        <w:rPr>
          <w:rFonts w:ascii="Times New Roman" w:hAnsi="Times New Roman" w:eastAsia="Times New Roman" w:cs="Times New Roman"/>
          <w:b w:val="0"/>
          <w:i w:val="0"/>
          <w:sz w:val="18"/>
          <w:u w:val="none"/>
        </w:rPr>
        <w:t>М.В. Соколов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3"/>
          <w:u w:val="none"/>
        </w:rPr>
        <w:t>(подпись, инициалы и фамилия)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7"/>
          <w:u w:val="single"/>
        </w:rPr>
        <w:t>Эксперт по вопросам строительства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7"/>
          <w:u w:val="none"/>
        </w:rPr>
        <w:t xml:space="preserve">__________________________________________  </w:t>
      </w:r>
      <w:r>
        <w:rPr>
          <w:rFonts w:ascii="Times New Roman" w:hAnsi="Times New Roman" w:eastAsia="Times New Roman" w:cs="Times New Roman"/>
          <w:b w:val="0"/>
          <w:i w:val="0"/>
          <w:sz w:val="18"/>
          <w:u w:val="none"/>
        </w:rPr>
        <w:t>А.В. Ерофеев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3"/>
          <w:u w:val="none"/>
        </w:rPr>
        <w:t>(подпись, инициалы и фамилия)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7"/>
          <w:u w:val="single"/>
        </w:rPr>
        <w:t>Эксперт по обеспечению установленного режима секретности в части предотвращения распространения сведений, составляющих государственную тайну, при открытом опубликовании материалов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7"/>
          <w:u w:val="none"/>
        </w:rPr>
        <w:t xml:space="preserve">__________________________________________  </w:t>
      </w:r>
      <w:r>
        <w:rPr>
          <w:rFonts w:ascii="Times New Roman" w:hAnsi="Times New Roman" w:eastAsia="Times New Roman" w:cs="Times New Roman"/>
          <w:b w:val="0"/>
          <w:i w:val="0"/>
          <w:sz w:val="18"/>
          <w:u w:val="none"/>
        </w:rPr>
        <w:t>Т.И. Чепрасова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3"/>
          <w:u w:val="none"/>
        </w:rPr>
        <w:t>(подпись, инициалы и фамилия)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7"/>
          <w:u w:val="single"/>
        </w:rPr>
        <w:t>Секретарь экспертной комиссии, эксперт по вопросам патентной экспертизы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7"/>
          <w:u w:val="none"/>
        </w:rPr>
        <w:t xml:space="preserve">__________________________________________  </w:t>
      </w:r>
      <w:r>
        <w:rPr>
          <w:rFonts w:ascii="Times New Roman" w:hAnsi="Times New Roman" w:eastAsia="Times New Roman" w:cs="Times New Roman"/>
          <w:b w:val="0"/>
          <w:i w:val="0"/>
          <w:sz w:val="18"/>
          <w:u w:val="none"/>
        </w:rPr>
        <w:t>М.С. Кузнецова</w:t>
      </w:r>
    </w:p>
    <w:p>
      <w:pPr>
        <w:keepNext w:val="0"/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13"/>
          <w:u w:val="none"/>
        </w:rPr>
        <w:t>(подпись, инициалы и фамилия)</w:t>
      </w:r>
    </w:p>
    <w:p>
      <w:r>
        <w:br w:type="page"/>
      </w:r>
    </w:p>
    <w:p>
      <w:pPr>
        <w:keepNext w:val="0"/>
        <w:spacing w:before="1280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Зарегистрировано «____» _______________ 2026 г.        рег. № ____________________</w:t>
      </w:r>
    </w:p>
    <w:sectPr w:rsidR="00FC693F" w:rsidRPr="0006063C" w:rsidSect="00034616">
      <w:pgSz w:w="11906" w:h="16838"/>
      <w:pgMar w:top="709" w:right="765" w:bottom="709" w:left="765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